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7"/>
        <w:ind w:left="0" w:leftChars="0" w:right="0" w:rightChars="0" w:firstLine="0" w:firstLineChars="0"/>
        <w:jc w:val="both"/>
        <w:rPr>
          <w:rFonts w:ascii="黑体" w:hAnsi="黑体" w:eastAsia="黑体"/>
        </w:rPr>
      </w:pPr>
      <w:r>
        <w:rPr>
          <w:rFonts w:ascii="黑体" w:hAnsi="黑体" w:eastAsia="黑体"/>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rPr>
        <w:instrText xml:space="preserve">ADDIN CNKISM.UserStyle</w:instrText>
      </w:r>
      <w:r>
        <w:rPr>
          <w:rFonts w:ascii="黑体" w:hAnsi="黑体" w:eastAsia="黑体"/>
        </w:rPr>
        <w:fldChar w:fldCharType="end"/>
      </w:r>
    </w:p>
    <w:p>
      <w:pPr>
        <w:ind w:firstLine="0" w:firstLineChars="0"/>
        <w:jc w:val="left"/>
        <w:rPr>
          <w:rFonts w:ascii="黑体" w:hAnsi="黑体" w:eastAsia="黑体"/>
        </w:rPr>
      </w:pPr>
    </w:p>
    <w:p>
      <w:pPr>
        <w:spacing w:line="240" w:lineRule="auto"/>
        <w:ind w:firstLine="0" w:firstLineChars="0"/>
        <w:jc w:val="center"/>
        <w:rPr>
          <w:rFonts w:eastAsia="黑体"/>
          <w:sz w:val="52"/>
          <w:szCs w:val="52"/>
        </w:rPr>
      </w:pPr>
      <w:r>
        <w:rPr>
          <w:rFonts w:hint="eastAsia" w:eastAsia="黑体"/>
          <w:sz w:val="52"/>
          <w:szCs w:val="52"/>
        </w:rPr>
        <w:t>喀什地区泽普县供水城乡一体化建设工程（泽普县农村规模化供水管道连通工程）临时用地</w:t>
      </w:r>
      <w:r>
        <w:rPr>
          <w:rFonts w:eastAsia="黑体"/>
          <w:sz w:val="52"/>
          <w:szCs w:val="52"/>
        </w:rPr>
        <w:t>土地复垦方案报告书</w:t>
      </w:r>
    </w:p>
    <w:p>
      <w:pPr>
        <w:spacing w:line="240" w:lineRule="auto"/>
        <w:ind w:firstLine="0" w:firstLineChars="0"/>
        <w:jc w:val="center"/>
        <w:rPr>
          <w:rFonts w:hint="eastAsia" w:eastAsia="黑体"/>
          <w:sz w:val="52"/>
          <w:szCs w:val="52"/>
          <w:lang w:eastAsia="zh-CN"/>
        </w:rPr>
      </w:pPr>
    </w:p>
    <w:p>
      <w:pPr>
        <w:spacing w:line="840" w:lineRule="auto"/>
        <w:ind w:firstLine="0" w:firstLineChars="0"/>
        <w:jc w:val="center"/>
        <w:rPr>
          <w:rFonts w:ascii="黑体" w:hAnsi="黑体" w:eastAsia="黑体" w:cs="黑体"/>
          <w:sz w:val="52"/>
          <w:szCs w:val="52"/>
        </w:rPr>
      </w:pPr>
    </w:p>
    <w:p>
      <w:pPr>
        <w:spacing w:line="840" w:lineRule="auto"/>
        <w:ind w:firstLine="0" w:firstLineChars="0"/>
        <w:jc w:val="center"/>
        <w:rPr>
          <w:rFonts w:ascii="黑体" w:hAnsi="黑体" w:eastAsia="黑体" w:cs="黑体"/>
          <w:sz w:val="52"/>
          <w:szCs w:val="52"/>
        </w:rPr>
      </w:pPr>
    </w:p>
    <w:p>
      <w:pPr>
        <w:spacing w:line="840" w:lineRule="auto"/>
        <w:ind w:firstLine="0" w:firstLineChars="0"/>
        <w:jc w:val="center"/>
        <w:rPr>
          <w:rFonts w:ascii="黑体" w:hAnsi="黑体" w:eastAsia="黑体" w:cs="黑体"/>
          <w:sz w:val="52"/>
          <w:szCs w:val="52"/>
        </w:rPr>
      </w:pPr>
    </w:p>
    <w:p>
      <w:pPr>
        <w:spacing w:line="840" w:lineRule="auto"/>
        <w:ind w:firstLine="0" w:firstLineChars="0"/>
        <w:jc w:val="center"/>
        <w:rPr>
          <w:rFonts w:ascii="黑体" w:hAnsi="黑体" w:eastAsia="黑体" w:cs="黑体"/>
          <w:sz w:val="52"/>
          <w:szCs w:val="52"/>
        </w:rPr>
      </w:pPr>
    </w:p>
    <w:p>
      <w:pPr>
        <w:spacing w:line="840" w:lineRule="auto"/>
        <w:ind w:firstLine="0" w:firstLineChars="0"/>
        <w:jc w:val="center"/>
        <w:rPr>
          <w:rFonts w:ascii="黑体" w:hAnsi="黑体" w:eastAsia="黑体" w:cs="黑体"/>
          <w:sz w:val="52"/>
          <w:szCs w:val="52"/>
        </w:rPr>
      </w:pPr>
    </w:p>
    <w:p>
      <w:pPr>
        <w:adjustRightInd/>
        <w:spacing w:line="360" w:lineRule="auto"/>
        <w:ind w:firstLine="1398" w:firstLineChars="466"/>
        <w:textAlignment w:val="auto"/>
        <w:rPr>
          <w:rFonts w:eastAsia="黑体"/>
          <w:sz w:val="30"/>
          <w:szCs w:val="30"/>
        </w:rPr>
      </w:pPr>
    </w:p>
    <w:p>
      <w:pPr>
        <w:adjustRightInd/>
        <w:spacing w:line="840" w:lineRule="auto"/>
        <w:ind w:left="480" w:leftChars="200" w:firstLine="900" w:firstLineChars="300"/>
        <w:textAlignment w:val="auto"/>
        <w:rPr>
          <w:rFonts w:eastAsia="黑体"/>
          <w:sz w:val="30"/>
          <w:szCs w:val="30"/>
        </w:rPr>
      </w:pPr>
      <w:r>
        <w:rPr>
          <w:rFonts w:hint="eastAsia" w:eastAsia="黑体"/>
          <w:sz w:val="30"/>
          <w:szCs w:val="30"/>
        </w:rPr>
        <w:t>项目单位：泽普县淼鑫水务有限责任公司</w:t>
      </w:r>
    </w:p>
    <w:p>
      <w:pPr>
        <w:adjustRightInd/>
        <w:spacing w:line="840" w:lineRule="auto"/>
        <w:ind w:left="480" w:leftChars="200" w:firstLine="900" w:firstLineChars="300"/>
        <w:textAlignment w:val="auto"/>
        <w:rPr>
          <w:rFonts w:eastAsia="黑体"/>
          <w:sz w:val="30"/>
          <w:szCs w:val="30"/>
        </w:rPr>
      </w:pPr>
      <w:r>
        <w:rPr>
          <w:rFonts w:hint="eastAsia" w:eastAsia="黑体"/>
          <w:sz w:val="30"/>
          <w:szCs w:val="30"/>
        </w:rPr>
        <w:t>编制单位：汉唐规划设计集团有限公司新疆分公司</w:t>
      </w:r>
    </w:p>
    <w:p>
      <w:pPr>
        <w:adjustRightInd/>
        <w:spacing w:line="840" w:lineRule="auto"/>
        <w:ind w:firstLine="0" w:firstLineChars="0"/>
        <w:jc w:val="center"/>
        <w:textAlignment w:val="auto"/>
        <w:rPr>
          <w:rFonts w:eastAsia="黑体"/>
          <w:sz w:val="30"/>
          <w:szCs w:val="30"/>
        </w:rPr>
      </w:pPr>
      <w:r>
        <w:rPr>
          <w:rFonts w:hint="eastAsia" w:eastAsia="黑体"/>
          <w:sz w:val="30"/>
          <w:szCs w:val="30"/>
        </w:rPr>
        <w:t>二〇二四年九月</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207"/>
        <w:ind w:left="0" w:leftChars="0" w:right="0" w:rightChars="0" w:firstLine="0" w:firstLineChars="0"/>
        <w:jc w:val="both"/>
        <w:rPr>
          <w:rFonts w:ascii="黑体" w:hAnsi="黑体" w:eastAsia="黑体"/>
        </w:rPr>
      </w:pPr>
      <w:r>
        <w:rPr>
          <w:rFonts w:ascii="黑体" w:hAnsi="黑体" w:eastAsia="黑体"/>
          <w:sz w:val="44"/>
          <w:szCs w:val="44"/>
        </w:rPr>
        <w:br w:type="page"/>
      </w:r>
      <w:r>
        <w:rPr>
          <w:rFonts w:ascii="黑体" w:hAnsi="黑体" w:eastAsia="黑体"/>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rPr>
        <w:instrText xml:space="preserve">ADDIN CNKISM.UserStyle</w:instrText>
      </w:r>
      <w:r>
        <w:rPr>
          <w:rFonts w:ascii="黑体" w:hAnsi="黑体" w:eastAsia="黑体"/>
        </w:rPr>
        <w:fldChar w:fldCharType="end"/>
      </w:r>
    </w:p>
    <w:p>
      <w:pPr>
        <w:ind w:firstLine="480"/>
        <w:sectPr>
          <w:headerReference r:id="rId5" w:type="first"/>
          <w:headerReference r:id="rId3" w:type="default"/>
          <w:headerReference r:id="rId4" w:type="even"/>
          <w:footnotePr>
            <w:numFmt w:val="decimalEnclosedCircleChinese"/>
          </w:footnotePr>
          <w:type w:val="nextColumn"/>
          <w:pgSz w:w="11906" w:h="16838"/>
          <w:pgMar w:top="1418" w:right="1247" w:bottom="1418" w:left="1247" w:header="851" w:footer="992" w:gutter="340"/>
          <w:pgNumType w:start="1"/>
          <w:cols w:space="720" w:num="1"/>
          <w:docGrid w:type="linesAndChars" w:linePitch="312" w:charSpace="0"/>
        </w:sectPr>
      </w:pPr>
    </w:p>
    <w:p>
      <w:pPr>
        <w:spacing w:line="240" w:lineRule="auto"/>
        <w:ind w:firstLine="480"/>
        <w:sectPr>
          <w:footnotePr>
            <w:numFmt w:val="decimalEnclosedCircleChinese"/>
          </w:footnotePr>
          <w:pgSz w:w="11906" w:h="16838"/>
          <w:pgMar w:top="1418" w:right="1247" w:bottom="1418" w:left="1247" w:header="851" w:footer="992" w:gutter="340"/>
          <w:pgNumType w:start="1"/>
          <w:cols w:space="720" w:num="1"/>
          <w:docGrid w:type="linesAndChars" w:linePitch="312" w:charSpace="0"/>
        </w:sectPr>
      </w:pPr>
      <w:r>
        <w:rPr>
          <w:rFonts w:hint="eastAsia"/>
        </w:rPr>
        <w:drawing>
          <wp:anchor distT="0" distB="0" distL="114300" distR="114300" simplePos="0" relativeHeight="251710464" behindDoc="1" locked="0" layoutInCell="1" allowOverlap="1">
            <wp:simplePos x="0" y="0"/>
            <wp:positionH relativeFrom="column">
              <wp:posOffset>-1003935</wp:posOffset>
            </wp:positionH>
            <wp:positionV relativeFrom="paragraph">
              <wp:posOffset>-900430</wp:posOffset>
            </wp:positionV>
            <wp:extent cx="7552690" cy="10692130"/>
            <wp:effectExtent l="0" t="0" r="0" b="0"/>
            <wp:wrapThrough wrapText="bothSides">
              <wp:wrapPolygon>
                <wp:start x="0" y="0"/>
                <wp:lineTo x="0" y="21551"/>
                <wp:lineTo x="21520" y="21551"/>
                <wp:lineTo x="21520" y="0"/>
                <wp:lineTo x="0" y="0"/>
              </wp:wrapPolygon>
            </wp:wrapThrough>
            <wp:docPr id="11" name="图片 11" descr="布丁扫描2024-09-11 19.5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布丁扫描2024-09-11 19.50.24_00"/>
                    <pic:cNvPicPr>
                      <a:picLocks noChangeAspect="1"/>
                    </pic:cNvPicPr>
                  </pic:nvPicPr>
                  <pic:blipFill>
                    <a:blip r:embed="rId14"/>
                    <a:stretch>
                      <a:fillRect/>
                    </a:stretch>
                  </pic:blipFill>
                  <pic:spPr>
                    <a:xfrm>
                      <a:off x="0" y="0"/>
                      <a:ext cx="7552690" cy="10692130"/>
                    </a:xfrm>
                    <a:prstGeom prst="rect">
                      <a:avLst/>
                    </a:prstGeom>
                  </pic:spPr>
                </pic:pic>
              </a:graphicData>
            </a:graphic>
          </wp:anchor>
        </w:drawing>
      </w:r>
    </w:p>
    <w:p>
      <w:pPr>
        <w:ind w:firstLine="480"/>
        <w:sectPr>
          <w:footnotePr>
            <w:numFmt w:val="decimalEnclosedCircleChinese"/>
          </w:footnotePr>
          <w:pgSz w:w="11906" w:h="16838"/>
          <w:pgMar w:top="1418" w:right="1247" w:bottom="1418" w:left="1247" w:header="851" w:footer="992" w:gutter="340"/>
          <w:pgNumType w:start="1"/>
          <w:cols w:space="720" w:num="1"/>
          <w:docGrid w:type="linesAndChars" w:linePitch="312" w:charSpace="0"/>
        </w:sectPr>
      </w:pPr>
      <w:r>
        <w:br w:type="page"/>
      </w:r>
    </w:p>
    <w:p>
      <w:pPr>
        <w:ind w:firstLine="0" w:firstLineChars="0"/>
        <w:jc w:val="center"/>
        <w:rPr>
          <w:rFonts w:eastAsia="黑体"/>
          <w:sz w:val="44"/>
          <w:szCs w:val="44"/>
        </w:rPr>
      </w:pPr>
      <w:r>
        <w:rPr>
          <w:rFonts w:hint="eastAsia" w:eastAsia="黑体"/>
          <w:sz w:val="44"/>
          <w:szCs w:val="44"/>
        </w:rPr>
        <w:t>喀什地区泽普县供水城乡一体化建设工程（泽普县农村规模化供水管道连通工程）临时用地</w:t>
      </w:r>
    </w:p>
    <w:p>
      <w:pPr>
        <w:ind w:firstLine="0" w:firstLineChars="0"/>
        <w:jc w:val="center"/>
        <w:rPr>
          <w:rFonts w:ascii="黑体" w:hAnsi="黑体" w:eastAsia="黑体" w:cs="黑体"/>
          <w:sz w:val="44"/>
          <w:szCs w:val="44"/>
        </w:rPr>
      </w:pPr>
      <w:r>
        <w:rPr>
          <w:rFonts w:eastAsia="黑体"/>
          <w:sz w:val="44"/>
          <w:szCs w:val="44"/>
        </w:rPr>
        <w:t>土地复垦方案报告书</w:t>
      </w:r>
    </w:p>
    <w:p>
      <w:pPr>
        <w:ind w:firstLine="283" w:firstLineChars="118"/>
      </w:pPr>
    </w:p>
    <w:p>
      <w:pPr>
        <w:ind w:firstLine="283" w:firstLineChars="118"/>
      </w:pPr>
    </w:p>
    <w:p>
      <w:pPr>
        <w:ind w:firstLine="283" w:firstLineChars="118"/>
      </w:pPr>
    </w:p>
    <w:p>
      <w:pPr>
        <w:ind w:firstLine="283" w:firstLineChars="118"/>
      </w:pPr>
    </w:p>
    <w:p>
      <w:pPr>
        <w:ind w:left="1692" w:leftChars="150" w:hanging="1332" w:hangingChars="476"/>
        <w:rPr>
          <w:sz w:val="28"/>
          <w:szCs w:val="28"/>
          <w:u w:val="single"/>
        </w:rPr>
      </w:pPr>
      <w:r>
        <w:rPr>
          <w:rFonts w:hint="eastAsia" w:ascii="仿宋_GB2312" w:hAnsi="宋体"/>
          <w:sz w:val="28"/>
          <w:szCs w:val="28"/>
        </w:rPr>
        <mc:AlternateContent>
          <mc:Choice Requires="wps">
            <w:drawing>
              <wp:anchor distT="0" distB="0" distL="114300" distR="114300" simplePos="0" relativeHeight="251680768" behindDoc="0" locked="0" layoutInCell="1" allowOverlap="1">
                <wp:simplePos x="0" y="0"/>
                <wp:positionH relativeFrom="column">
                  <wp:posOffset>1044575</wp:posOffset>
                </wp:positionH>
                <wp:positionV relativeFrom="paragraph">
                  <wp:posOffset>284480</wp:posOffset>
                </wp:positionV>
                <wp:extent cx="4573270" cy="0"/>
                <wp:effectExtent l="0" t="0" r="0" b="0"/>
                <wp:wrapNone/>
                <wp:docPr id="1"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2.25pt;margin-top:22.4pt;height:0pt;width:360.1pt;z-index:251680768;mso-width-relative:page;mso-height-relative:page;" filled="f" stroked="t" coordsize="21600,21600" o:gfxdata="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DGPy9YAAAAJAQAADwAAAAAAAAABACAAAAAiAAAAZHJzL2Rvd25y&#10;ZXYueG1sUEsBAhQAFAAAAAgAh07iQGhXNGb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项目名称：</w:t>
      </w:r>
      <w:r>
        <w:rPr>
          <w:rFonts w:hint="eastAsia"/>
          <w:sz w:val="28"/>
          <w:szCs w:val="28"/>
        </w:rPr>
        <w:t>喀什地区泽普县供水城乡一体化建设工程（泽普县农村规模</w:t>
      </w:r>
      <w:r>
        <w:rPr>
          <w:rFonts w:hint="eastAsia"/>
          <w:sz w:val="28"/>
          <w:szCs w:val="28"/>
          <w:u w:val="single"/>
        </w:rPr>
        <w:t>化供水管道连通工程）临时用地</w:t>
      </w:r>
    </w:p>
    <w:p>
      <w:pPr>
        <w:ind w:firstLine="330" w:firstLineChars="118"/>
        <w:rPr>
          <w:rFonts w:ascii="仿宋_GB2312" w:hAnsi="宋体"/>
          <w:sz w:val="28"/>
          <w:szCs w:val="28"/>
        </w:rPr>
      </w:pPr>
      <w:r>
        <w:rPr>
          <w:rFonts w:hint="eastAsia" w:ascii="仿宋_GB2312" w:hAnsi="宋体"/>
          <w:sz w:val="28"/>
          <w:szCs w:val="28"/>
        </w:rPr>
        <mc:AlternateContent>
          <mc:Choice Requires="wps">
            <w:drawing>
              <wp:anchor distT="0" distB="0" distL="114300" distR="114300" simplePos="0" relativeHeight="251681792" behindDoc="0" locked="0" layoutInCell="1" allowOverlap="1">
                <wp:simplePos x="0" y="0"/>
                <wp:positionH relativeFrom="column">
                  <wp:posOffset>1050925</wp:posOffset>
                </wp:positionH>
                <wp:positionV relativeFrom="paragraph">
                  <wp:posOffset>284480</wp:posOffset>
                </wp:positionV>
                <wp:extent cx="4573270" cy="0"/>
                <wp:effectExtent l="0" t="0" r="0" b="0"/>
                <wp:wrapNone/>
                <wp:docPr id="2"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2.75pt;margin-top:22.4pt;height:0pt;width:360.1pt;z-index:251681792;mso-width-relative:page;mso-height-relative:page;" filled="f" stroked="t" coordsize="21600,21600" o:gfxdata="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meSsadYAAAAJAQAADwAAAAAAAAABACAAAAAiAAAAZHJzL2Rvd25y&#10;ZXYueG1sUEsBAhQAFAAAAAgAh07iQHY+B/z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项目单位：泽普县淼鑫水务有限责任公司</w:t>
      </w:r>
    </w:p>
    <w:p>
      <w:pPr>
        <w:ind w:firstLine="330" w:firstLineChars="118"/>
        <w:rPr>
          <w:rFonts w:ascii="仿宋_GB2312" w:hAnsi="宋体"/>
          <w:sz w:val="28"/>
          <w:szCs w:val="28"/>
        </w:rPr>
      </w:pPr>
    </w:p>
    <w:p>
      <w:pPr>
        <w:ind w:firstLine="330" w:firstLineChars="118"/>
        <w:rPr>
          <w:rFonts w:ascii="仿宋_GB2312" w:hAnsi="宋体"/>
          <w:sz w:val="28"/>
          <w:szCs w:val="28"/>
        </w:rPr>
      </w:pPr>
      <w:r>
        <w:rPr>
          <w:rFonts w:hint="eastAsia" w:ascii="仿宋_GB2312" w:hAnsi="宋体"/>
          <w:sz w:val="28"/>
          <w:szCs w:val="28"/>
        </w:rPr>
        <mc:AlternateContent>
          <mc:Choice Requires="wps">
            <w:drawing>
              <wp:anchor distT="0" distB="0" distL="114300" distR="114300" simplePos="0" relativeHeight="251682816" behindDoc="0" locked="0" layoutInCell="1" allowOverlap="1">
                <wp:simplePos x="0" y="0"/>
                <wp:positionH relativeFrom="column">
                  <wp:posOffset>1050925</wp:posOffset>
                </wp:positionH>
                <wp:positionV relativeFrom="paragraph">
                  <wp:posOffset>280035</wp:posOffset>
                </wp:positionV>
                <wp:extent cx="4573270" cy="0"/>
                <wp:effectExtent l="0" t="0" r="0" b="0"/>
                <wp:wrapNone/>
                <wp:docPr id="3"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2.75pt;margin-top:22.05pt;height:0pt;width:360.1pt;z-index:251682816;mso-width-relative:page;mso-height-relative:page;" filled="f" stroked="t" coordsize="21600,21600" o:gfxdata="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w/UtYAAAAJAQAADwAAAAAAAAABACAAAAAiAAAAZHJzL2Rvd25y&#10;ZXYueG1sUEsBAhQAFAAAAAgAh07iQHwZFor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单位地址：</w:t>
      </w:r>
      <w:r>
        <w:rPr>
          <w:rFonts w:hint="eastAsia"/>
          <w:sz w:val="28"/>
          <w:szCs w:val="28"/>
        </w:rPr>
        <w:t>新疆喀什地区泽普县北新街17号</w:t>
      </w:r>
    </w:p>
    <w:p>
      <w:pPr>
        <w:ind w:firstLine="330" w:firstLineChars="118"/>
        <w:rPr>
          <w:rFonts w:ascii="仿宋_GB2312" w:hAnsi="宋体"/>
          <w:sz w:val="28"/>
          <w:szCs w:val="28"/>
        </w:rPr>
      </w:pPr>
    </w:p>
    <w:p>
      <w:pPr>
        <w:ind w:firstLine="330" w:firstLineChars="118"/>
        <w:rPr>
          <w:rFonts w:ascii="仿宋_GB2312" w:hAnsi="宋体"/>
          <w:sz w:val="28"/>
          <w:szCs w:val="28"/>
        </w:rPr>
      </w:pPr>
      <w:r>
        <w:rPr>
          <w:rFonts w:hint="eastAsia" w:ascii="仿宋_GB2312" w:hAnsi="宋体"/>
          <w:sz w:val="28"/>
          <w:szCs w:val="28"/>
        </w:rPr>
        <mc:AlternateContent>
          <mc:Choice Requires="wps">
            <w:drawing>
              <wp:anchor distT="0" distB="0" distL="114300" distR="114300" simplePos="0" relativeHeight="251683840" behindDoc="0" locked="0" layoutInCell="1" allowOverlap="1">
                <wp:simplePos x="0" y="0"/>
                <wp:positionH relativeFrom="column">
                  <wp:posOffset>1020445</wp:posOffset>
                </wp:positionH>
                <wp:positionV relativeFrom="paragraph">
                  <wp:posOffset>275590</wp:posOffset>
                </wp:positionV>
                <wp:extent cx="4573270" cy="0"/>
                <wp:effectExtent l="0" t="0" r="0" b="0"/>
                <wp:wrapNone/>
                <wp:docPr id="4"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0.35pt;margin-top:21.7pt;height:0pt;width:360.1pt;z-index:251683840;mso-width-relative:page;mso-height-relative:page;" filled="f" stroked="t" coordsize="21600,21600" o:gfxdata="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KNXedYAAAAJAQAADwAAAAAAAAABACAAAAAiAAAAZHJzL2Rvd25y&#10;ZXYueG1sUEsBAhQAFAAAAAgAh07iQAvqEBP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联系人： 库都孜·库皮</w:t>
      </w:r>
      <w:r>
        <w:rPr>
          <w:rFonts w:hint="eastAsia" w:ascii="仿宋_GB2312" w:hAnsi="宋体"/>
          <w:sz w:val="28"/>
          <w:szCs w:val="28"/>
        </w:rPr>
        <w:br w:type="textWrapping"/>
      </w:r>
    </w:p>
    <w:p>
      <w:pPr>
        <w:ind w:firstLine="330" w:firstLineChars="118"/>
        <w:rPr>
          <w:rFonts w:hint="default" w:ascii="仿宋_GB2312" w:hAnsi="宋体" w:eastAsia="仿宋_GB2312"/>
          <w:sz w:val="28"/>
          <w:szCs w:val="28"/>
          <w:lang w:val="en-US" w:eastAsia="zh-CN"/>
        </w:rPr>
      </w:pPr>
      <w:r>
        <w:rPr>
          <w:rFonts w:hint="eastAsia" w:ascii="仿宋_GB2312" w:hAnsi="宋体"/>
          <w:sz w:val="28"/>
          <w:szCs w:val="28"/>
        </w:rPr>
        <mc:AlternateContent>
          <mc:Choice Requires="wps">
            <w:drawing>
              <wp:anchor distT="0" distB="0" distL="114300" distR="114300" simplePos="0" relativeHeight="251684864" behindDoc="0" locked="0" layoutInCell="1" allowOverlap="1">
                <wp:simplePos x="0" y="0"/>
                <wp:positionH relativeFrom="column">
                  <wp:posOffset>1044575</wp:posOffset>
                </wp:positionH>
                <wp:positionV relativeFrom="paragraph">
                  <wp:posOffset>285750</wp:posOffset>
                </wp:positionV>
                <wp:extent cx="4573270" cy="0"/>
                <wp:effectExtent l="0" t="0" r="0" b="0"/>
                <wp:wrapNone/>
                <wp:docPr id="5"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2.25pt;margin-top:22.5pt;height:0pt;width:360.1pt;z-index:251684864;mso-width-relative:page;mso-height-relative:page;" filled="f" stroked="t" coordsize="21600,21600" o:gfxdata="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rEZV9YAAAAJAQAADwAAAAAAAAABACAAAAAiAAAAZHJzL2Rvd25y&#10;ZXYueG1sUEsBAhQAFAAAAAgAh07iQAHNAWX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联系电话：</w:t>
      </w:r>
      <w:r>
        <w:rPr>
          <w:rFonts w:hint="eastAsia"/>
          <w:sz w:val="28"/>
          <w:szCs w:val="28"/>
          <w:lang w:val="en-US" w:eastAsia="zh-CN"/>
        </w:rPr>
        <w:t xml:space="preserve">  </w:t>
      </w:r>
    </w:p>
    <w:p>
      <w:pPr>
        <w:ind w:firstLine="330" w:firstLineChars="118"/>
        <w:rPr>
          <w:rFonts w:ascii="仿宋_GB2312" w:hAnsi="宋体"/>
          <w:sz w:val="28"/>
          <w:szCs w:val="28"/>
        </w:rPr>
      </w:pPr>
      <w:r>
        <w:rPr>
          <w:rFonts w:hint="eastAsia" w:ascii="仿宋_GB2312" w:hAnsi="宋体"/>
          <w:sz w:val="28"/>
          <w:szCs w:val="28"/>
        </w:rPr>
        <mc:AlternateContent>
          <mc:Choice Requires="wps">
            <w:drawing>
              <wp:anchor distT="0" distB="0" distL="114300" distR="114300" simplePos="0" relativeHeight="251685888" behindDoc="0" locked="0" layoutInCell="1" allowOverlap="1">
                <wp:simplePos x="0" y="0"/>
                <wp:positionH relativeFrom="column">
                  <wp:posOffset>1050290</wp:posOffset>
                </wp:positionH>
                <wp:positionV relativeFrom="paragraph">
                  <wp:posOffset>281305</wp:posOffset>
                </wp:positionV>
                <wp:extent cx="4573270" cy="0"/>
                <wp:effectExtent l="0" t="0" r="0" b="0"/>
                <wp:wrapNone/>
                <wp:docPr id="6" name="直线 1818"/>
                <wp:cNvGraphicFramePr/>
                <a:graphic xmlns:a="http://schemas.openxmlformats.org/drawingml/2006/main">
                  <a:graphicData uri="http://schemas.microsoft.com/office/word/2010/wordprocessingShape">
                    <wps:wsp>
                      <wps:cNvCnPr/>
                      <wps:spPr>
                        <a:xfrm>
                          <a:off x="0" y="0"/>
                          <a:ext cx="4573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18" o:spid="_x0000_s1026" o:spt="20" style="position:absolute;left:0pt;margin-left:82.7pt;margin-top:22.15pt;height:0pt;width:360.1pt;z-index:251685888;mso-width-relative:page;mso-height-relative:page;" filled="f" stroked="t" coordsize="21600,21600" o:gfxdata="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pa/k9YAAAAJAQAADwAAAAAAAAABACAAAAAiAAAAZHJzL2Rvd25y&#10;ZXYueG1sUEsBAhQAFAAAAAgAh07iQB+kMv/HAQAAhAMAAA4AAAAAAAAAAQAgAAAAJQEAAGRycy9l&#10;Mm9Eb2MueG1sUEsFBgAAAAAGAAYAWQEAAF4FAAAAAA==&#10;">
                <v:fill on="f" focussize="0,0"/>
                <v:stroke color="#000000" joinstyle="round"/>
                <v:imagedata o:title=""/>
                <o:lock v:ext="edit" aspectratio="f"/>
              </v:line>
            </w:pict>
          </mc:Fallback>
        </mc:AlternateContent>
      </w:r>
      <w:r>
        <w:rPr>
          <w:rFonts w:hint="eastAsia" w:ascii="仿宋_GB2312" w:hAnsi="宋体"/>
          <w:sz w:val="28"/>
          <w:szCs w:val="28"/>
        </w:rPr>
        <w:t>送审时间</w:t>
      </w:r>
      <w:r>
        <w:rPr>
          <w:sz w:val="28"/>
          <w:szCs w:val="28"/>
        </w:rPr>
        <w:t>：</w:t>
      </w:r>
      <w:r>
        <w:rPr>
          <w:rFonts w:hint="eastAsia"/>
          <w:sz w:val="28"/>
          <w:szCs w:val="28"/>
        </w:rPr>
        <w:t>2024年9月</w:t>
      </w:r>
    </w:p>
    <w:p>
      <w:pPr>
        <w:ind w:firstLine="330" w:firstLineChars="118"/>
        <w:rPr>
          <w:rFonts w:ascii="仿宋_GB2312" w:hAnsi="宋体"/>
          <w:sz w:val="28"/>
          <w:szCs w:val="28"/>
        </w:rPr>
      </w:pPr>
    </w:p>
    <w:p>
      <w:pPr>
        <w:ind w:firstLine="330" w:firstLineChars="118"/>
        <w:rPr>
          <w:rFonts w:ascii="仿宋_GB2312" w:hAnsi="宋体"/>
          <w:sz w:val="28"/>
          <w:szCs w:val="28"/>
        </w:r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640"/>
        <w:rPr>
          <w:rFonts w:ascii="仿宋_GB2312" w:hAnsi="宋体"/>
          <w:sz w:val="32"/>
          <w:szCs w:val="32"/>
        </w:rPr>
        <w:sectPr>
          <w:footnotePr>
            <w:numFmt w:val="decimalEnclosedCircleChinese"/>
          </w:footnotePr>
          <w:pgSz w:w="11906" w:h="16838"/>
          <w:pgMar w:top="1418" w:right="1247" w:bottom="1418" w:left="1247" w:header="851" w:footer="992" w:gutter="340"/>
          <w:pgNumType w:start="1"/>
          <w:cols w:space="720" w:num="1"/>
          <w:docGrid w:type="linesAndChars" w:linePitch="312" w:charSpace="0"/>
        </w:sectPr>
      </w:pPr>
    </w:p>
    <w:p>
      <w:pPr>
        <w:ind w:firstLine="640"/>
        <w:jc w:val="center"/>
        <w:rPr>
          <w:sz w:val="32"/>
          <w:szCs w:val="32"/>
        </w:rPr>
      </w:pPr>
      <w:bookmarkStart w:id="0" w:name="_Toc326857777"/>
      <w:bookmarkStart w:id="1" w:name="_Toc272330927"/>
      <w:bookmarkStart w:id="2" w:name="_Toc260918438"/>
      <w:r>
        <w:rPr>
          <w:sz w:val="32"/>
          <w:szCs w:val="32"/>
        </w:rPr>
        <w:t>编制单位及人员基本情况</w:t>
      </w:r>
    </w:p>
    <w:tbl>
      <w:tblPr>
        <w:tblStyle w:val="88"/>
        <w:tblW w:w="92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688"/>
        <w:gridCol w:w="23"/>
        <w:gridCol w:w="2369"/>
        <w:gridCol w:w="1267"/>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编制单位</w:t>
            </w:r>
          </w:p>
        </w:tc>
        <w:tc>
          <w:tcPr>
            <w:tcW w:w="7048" w:type="dxa"/>
            <w:gridSpan w:val="5"/>
            <w:vAlign w:val="center"/>
          </w:tcPr>
          <w:p>
            <w:pPr>
              <w:spacing w:line="240" w:lineRule="auto"/>
              <w:ind w:firstLine="0" w:firstLineChars="0"/>
              <w:jc w:val="center"/>
              <w:rPr>
                <w:sz w:val="28"/>
                <w:szCs w:val="28"/>
              </w:rPr>
            </w:pPr>
            <w:r>
              <w:rPr>
                <w:rFonts w:hint="eastAsia"/>
                <w:sz w:val="28"/>
                <w:szCs w:val="28"/>
              </w:rPr>
              <w:t>汉唐规划设计集团有限公司新疆分公司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法人代表</w:t>
            </w:r>
          </w:p>
        </w:tc>
        <w:tc>
          <w:tcPr>
            <w:tcW w:w="7048" w:type="dxa"/>
            <w:gridSpan w:val="5"/>
            <w:vAlign w:val="center"/>
          </w:tcPr>
          <w:p>
            <w:pPr>
              <w:spacing w:line="240" w:lineRule="auto"/>
              <w:ind w:firstLine="0" w:firstLineChars="0"/>
              <w:jc w:val="center"/>
              <w:rPr>
                <w:sz w:val="28"/>
                <w:szCs w:val="28"/>
              </w:rPr>
            </w:pPr>
            <w:r>
              <w:rPr>
                <w:rFonts w:hint="eastAsia"/>
                <w:sz w:val="28"/>
                <w:szCs w:val="28"/>
              </w:rPr>
              <w:t>胡鹏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联系人</w:t>
            </w:r>
          </w:p>
        </w:tc>
        <w:tc>
          <w:tcPr>
            <w:tcW w:w="1711" w:type="dxa"/>
            <w:gridSpan w:val="2"/>
            <w:vAlign w:val="center"/>
          </w:tcPr>
          <w:p>
            <w:pPr>
              <w:spacing w:line="240" w:lineRule="auto"/>
              <w:ind w:firstLine="0" w:firstLineChars="0"/>
              <w:jc w:val="center"/>
              <w:rPr>
                <w:sz w:val="28"/>
                <w:szCs w:val="28"/>
              </w:rPr>
            </w:pPr>
            <w:r>
              <w:rPr>
                <w:rFonts w:hint="eastAsia"/>
                <w:sz w:val="28"/>
                <w:szCs w:val="28"/>
              </w:rPr>
              <w:t>胡鹏</w:t>
            </w:r>
          </w:p>
        </w:tc>
        <w:tc>
          <w:tcPr>
            <w:tcW w:w="2369" w:type="dxa"/>
            <w:vAlign w:val="center"/>
          </w:tcPr>
          <w:p>
            <w:pPr>
              <w:spacing w:line="240" w:lineRule="auto"/>
              <w:ind w:firstLine="0" w:firstLineChars="0"/>
              <w:jc w:val="center"/>
              <w:rPr>
                <w:sz w:val="28"/>
                <w:szCs w:val="28"/>
              </w:rPr>
            </w:pPr>
            <w:r>
              <w:rPr>
                <w:sz w:val="28"/>
                <w:szCs w:val="28"/>
              </w:rPr>
              <w:t>联系电话</w:t>
            </w:r>
          </w:p>
        </w:tc>
        <w:tc>
          <w:tcPr>
            <w:tcW w:w="2968" w:type="dxa"/>
            <w:gridSpan w:val="2"/>
            <w:vAlign w:val="center"/>
          </w:tcPr>
          <w:p>
            <w:pPr>
              <w:spacing w:line="240" w:lineRule="auto"/>
              <w:ind w:firstLine="0" w:firstLineChars="0"/>
              <w:jc w:val="center"/>
              <w:rPr>
                <w:rFonts w:hint="eastAsia" w:eastAsia="仿宋_GB2312"/>
                <w:sz w:val="28"/>
                <w:szCs w:val="28"/>
                <w:lang w:eastAsia="zh-CN"/>
              </w:rPr>
            </w:pPr>
            <w:r>
              <w:rPr>
                <w:rFonts w:hint="eastAsia"/>
                <w:sz w:val="28"/>
                <w:szCs w:val="28"/>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单位地址</w:t>
            </w:r>
          </w:p>
        </w:tc>
        <w:tc>
          <w:tcPr>
            <w:tcW w:w="7048" w:type="dxa"/>
            <w:gridSpan w:val="5"/>
            <w:vAlign w:val="center"/>
          </w:tcPr>
          <w:p>
            <w:pPr>
              <w:spacing w:line="320" w:lineRule="exact"/>
              <w:ind w:firstLine="0" w:firstLineChars="0"/>
              <w:jc w:val="center"/>
              <w:rPr>
                <w:sz w:val="28"/>
                <w:szCs w:val="28"/>
              </w:rPr>
            </w:pPr>
            <w:r>
              <w:rPr>
                <w:rFonts w:hint="eastAsia"/>
                <w:sz w:val="28"/>
                <w:szCs w:val="28"/>
              </w:rPr>
              <w:t>新疆喀什地区喀什市多来特巴格乡29村世纪大道南路66号中亚商贸第一城B5号楼2层S32室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41" w:hRule="exact"/>
          <w:jc w:val="center"/>
        </w:trPr>
        <w:tc>
          <w:tcPr>
            <w:tcW w:w="2171" w:type="dxa"/>
            <w:vAlign w:val="center"/>
          </w:tcPr>
          <w:p>
            <w:pPr>
              <w:spacing w:line="240" w:lineRule="auto"/>
              <w:ind w:firstLine="0" w:firstLineChars="0"/>
              <w:jc w:val="center"/>
              <w:rPr>
                <w:sz w:val="28"/>
                <w:szCs w:val="28"/>
              </w:rPr>
            </w:pPr>
            <w:r>
              <w:rPr>
                <w:sz w:val="28"/>
                <w:szCs w:val="28"/>
              </w:rPr>
              <w:t>资质证书</w:t>
            </w:r>
          </w:p>
        </w:tc>
        <w:tc>
          <w:tcPr>
            <w:tcW w:w="1711" w:type="dxa"/>
            <w:gridSpan w:val="2"/>
            <w:vAlign w:val="center"/>
          </w:tcPr>
          <w:p>
            <w:pPr>
              <w:snapToGrid w:val="0"/>
              <w:spacing w:line="240" w:lineRule="auto"/>
              <w:ind w:firstLine="0" w:firstLineChars="0"/>
              <w:jc w:val="center"/>
              <w:rPr>
                <w:sz w:val="28"/>
                <w:szCs w:val="28"/>
              </w:rPr>
            </w:pPr>
            <w:r>
              <w:rPr>
                <w:rFonts w:hint="eastAsia"/>
                <w:sz w:val="28"/>
                <w:szCs w:val="28"/>
              </w:rPr>
              <w:t>土地规划机构等级证书</w:t>
            </w:r>
          </w:p>
        </w:tc>
        <w:tc>
          <w:tcPr>
            <w:tcW w:w="2369" w:type="dxa"/>
            <w:vAlign w:val="center"/>
          </w:tcPr>
          <w:p>
            <w:pPr>
              <w:spacing w:line="240" w:lineRule="auto"/>
              <w:ind w:firstLine="0" w:firstLineChars="0"/>
              <w:jc w:val="center"/>
              <w:rPr>
                <w:sz w:val="28"/>
                <w:szCs w:val="28"/>
              </w:rPr>
            </w:pPr>
            <w:r>
              <w:rPr>
                <w:sz w:val="28"/>
                <w:szCs w:val="28"/>
              </w:rPr>
              <w:t>证书编号</w:t>
            </w:r>
          </w:p>
        </w:tc>
        <w:tc>
          <w:tcPr>
            <w:tcW w:w="2968" w:type="dxa"/>
            <w:gridSpan w:val="2"/>
            <w:vAlign w:val="center"/>
          </w:tcPr>
          <w:p>
            <w:pPr>
              <w:spacing w:line="240" w:lineRule="auto"/>
              <w:ind w:firstLine="0" w:firstLineChars="0"/>
              <w:jc w:val="center"/>
              <w:rPr>
                <w:sz w:val="28"/>
                <w:szCs w:val="28"/>
              </w:rPr>
            </w:pPr>
            <w:r>
              <w:rPr>
                <w:rFonts w:hint="eastAsia"/>
                <w:sz w:val="28"/>
                <w:szCs w:val="28"/>
              </w:rPr>
              <w:t>612023217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资质等级</w:t>
            </w:r>
          </w:p>
        </w:tc>
        <w:tc>
          <w:tcPr>
            <w:tcW w:w="1711" w:type="dxa"/>
            <w:gridSpan w:val="2"/>
            <w:vAlign w:val="center"/>
          </w:tcPr>
          <w:p>
            <w:pPr>
              <w:spacing w:line="240" w:lineRule="auto"/>
              <w:ind w:firstLine="0" w:firstLineChars="0"/>
              <w:jc w:val="center"/>
              <w:rPr>
                <w:sz w:val="28"/>
                <w:szCs w:val="28"/>
              </w:rPr>
            </w:pPr>
            <w:r>
              <w:rPr>
                <w:rFonts w:hint="eastAsia"/>
                <w:sz w:val="28"/>
                <w:szCs w:val="28"/>
              </w:rPr>
              <w:t>乙级</w:t>
            </w:r>
          </w:p>
        </w:tc>
        <w:tc>
          <w:tcPr>
            <w:tcW w:w="2369" w:type="dxa"/>
            <w:vAlign w:val="center"/>
          </w:tcPr>
          <w:p>
            <w:pPr>
              <w:spacing w:line="240" w:lineRule="auto"/>
              <w:ind w:firstLine="0" w:firstLineChars="0"/>
              <w:jc w:val="center"/>
              <w:rPr>
                <w:sz w:val="28"/>
                <w:szCs w:val="28"/>
              </w:rPr>
            </w:pPr>
            <w:r>
              <w:rPr>
                <w:sz w:val="28"/>
                <w:szCs w:val="28"/>
              </w:rPr>
              <w:t>发证机关</w:t>
            </w:r>
          </w:p>
        </w:tc>
        <w:tc>
          <w:tcPr>
            <w:tcW w:w="2968" w:type="dxa"/>
            <w:gridSpan w:val="2"/>
            <w:vAlign w:val="center"/>
          </w:tcPr>
          <w:p>
            <w:pPr>
              <w:snapToGrid w:val="0"/>
              <w:spacing w:line="240" w:lineRule="auto"/>
              <w:ind w:firstLine="0" w:firstLineChars="0"/>
              <w:jc w:val="center"/>
              <w:rPr>
                <w:sz w:val="28"/>
                <w:szCs w:val="28"/>
              </w:rPr>
            </w:pPr>
            <w:r>
              <w:rPr>
                <w:rFonts w:hint="eastAsia"/>
                <w:sz w:val="28"/>
                <w:szCs w:val="28"/>
              </w:rPr>
              <w:t>陕西省土地协会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9219" w:type="dxa"/>
            <w:gridSpan w:val="6"/>
            <w:vAlign w:val="center"/>
          </w:tcPr>
          <w:p>
            <w:pPr>
              <w:spacing w:line="240" w:lineRule="auto"/>
              <w:ind w:firstLine="0" w:firstLineChars="0"/>
              <w:jc w:val="center"/>
              <w:rPr>
                <w:sz w:val="30"/>
                <w:szCs w:val="30"/>
              </w:rPr>
            </w:pPr>
            <w:r>
              <w:rPr>
                <w:sz w:val="28"/>
                <w:szCs w:val="28"/>
              </w:rPr>
              <w:t>主要编制人员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sz w:val="28"/>
                <w:szCs w:val="28"/>
              </w:rPr>
              <w:t>姓名</w:t>
            </w:r>
          </w:p>
        </w:tc>
        <w:tc>
          <w:tcPr>
            <w:tcW w:w="1688" w:type="dxa"/>
            <w:vAlign w:val="center"/>
          </w:tcPr>
          <w:p>
            <w:pPr>
              <w:spacing w:line="240" w:lineRule="auto"/>
              <w:ind w:firstLine="0" w:firstLineChars="0"/>
              <w:jc w:val="center"/>
              <w:rPr>
                <w:sz w:val="28"/>
                <w:szCs w:val="28"/>
              </w:rPr>
            </w:pPr>
            <w:r>
              <w:rPr>
                <w:sz w:val="28"/>
                <w:szCs w:val="28"/>
              </w:rPr>
              <w:t>职务/职称</w:t>
            </w:r>
          </w:p>
        </w:tc>
        <w:tc>
          <w:tcPr>
            <w:tcW w:w="3659" w:type="dxa"/>
            <w:gridSpan w:val="3"/>
            <w:vAlign w:val="center"/>
          </w:tcPr>
          <w:p>
            <w:pPr>
              <w:spacing w:line="240" w:lineRule="auto"/>
              <w:ind w:firstLine="0" w:firstLineChars="0"/>
              <w:jc w:val="center"/>
              <w:rPr>
                <w:sz w:val="28"/>
                <w:szCs w:val="28"/>
              </w:rPr>
            </w:pPr>
            <w:r>
              <w:rPr>
                <w:rFonts w:hint="eastAsia"/>
                <w:sz w:val="28"/>
                <w:szCs w:val="28"/>
              </w:rPr>
              <w:drawing>
                <wp:anchor distT="0" distB="0" distL="114300" distR="114300" simplePos="0" relativeHeight="251700224" behindDoc="1" locked="0" layoutInCell="1" allowOverlap="1">
                  <wp:simplePos x="0" y="0"/>
                  <wp:positionH relativeFrom="column">
                    <wp:posOffset>2190750</wp:posOffset>
                  </wp:positionH>
                  <wp:positionV relativeFrom="paragraph">
                    <wp:posOffset>393065</wp:posOffset>
                  </wp:positionV>
                  <wp:extent cx="1384935" cy="2885440"/>
                  <wp:effectExtent l="0" t="0" r="0" b="0"/>
                  <wp:wrapNone/>
                  <wp:docPr id="73" name="图片 7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1"/>
                          <pic:cNvPicPr>
                            <a:picLocks noChangeAspect="1"/>
                          </pic:cNvPicPr>
                        </pic:nvPicPr>
                        <pic:blipFill>
                          <a:blip r:embed="rId15"/>
                          <a:stretch>
                            <a:fillRect/>
                          </a:stretch>
                        </pic:blipFill>
                        <pic:spPr>
                          <a:xfrm>
                            <a:off x="0" y="0"/>
                            <a:ext cx="1384935" cy="2885440"/>
                          </a:xfrm>
                          <a:prstGeom prst="rect">
                            <a:avLst/>
                          </a:prstGeom>
                        </pic:spPr>
                      </pic:pic>
                    </a:graphicData>
                  </a:graphic>
                </wp:anchor>
              </w:drawing>
            </w:r>
            <w:r>
              <w:rPr>
                <w:sz w:val="28"/>
                <w:szCs w:val="28"/>
              </w:rPr>
              <w:t>工作单位</w:t>
            </w:r>
          </w:p>
        </w:tc>
        <w:tc>
          <w:tcPr>
            <w:tcW w:w="1701" w:type="dxa"/>
            <w:vAlign w:val="center"/>
          </w:tcPr>
          <w:p>
            <w:pPr>
              <w:spacing w:line="240" w:lineRule="auto"/>
              <w:ind w:firstLine="0" w:firstLineChars="0"/>
              <w:jc w:val="center"/>
              <w:rPr>
                <w:sz w:val="28"/>
                <w:szCs w:val="28"/>
              </w:rPr>
            </w:pPr>
            <w:r>
              <w:rPr>
                <w:sz w:val="28"/>
                <w:szCs w:val="28"/>
              </w:rPr>
              <w:t>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exact"/>
          <w:jc w:val="center"/>
        </w:trPr>
        <w:tc>
          <w:tcPr>
            <w:tcW w:w="2171" w:type="dxa"/>
            <w:vAlign w:val="center"/>
          </w:tcPr>
          <w:p>
            <w:pPr>
              <w:spacing w:line="240" w:lineRule="auto"/>
              <w:ind w:firstLine="0" w:firstLineChars="0"/>
              <w:jc w:val="center"/>
              <w:rPr>
                <w:sz w:val="28"/>
                <w:szCs w:val="28"/>
              </w:rPr>
            </w:pPr>
            <w:r>
              <w:rPr>
                <w:rFonts w:hint="eastAsia"/>
                <w:sz w:val="28"/>
                <w:szCs w:val="28"/>
              </w:rPr>
              <w:t>文江龙</w:t>
            </w:r>
          </w:p>
        </w:tc>
        <w:tc>
          <w:tcPr>
            <w:tcW w:w="1688" w:type="dxa"/>
            <w:vAlign w:val="center"/>
          </w:tcPr>
          <w:p>
            <w:pPr>
              <w:snapToGrid w:val="0"/>
              <w:spacing w:line="240" w:lineRule="auto"/>
              <w:ind w:firstLine="0" w:firstLineChars="0"/>
              <w:jc w:val="center"/>
              <w:rPr>
                <w:sz w:val="28"/>
                <w:szCs w:val="28"/>
              </w:rPr>
            </w:pPr>
            <w:r>
              <w:rPr>
                <w:rFonts w:hint="eastAsia"/>
                <w:sz w:val="28"/>
                <w:szCs w:val="28"/>
              </w:rPr>
              <w:t>项目负责/工程师</w:t>
            </w:r>
          </w:p>
        </w:tc>
        <w:tc>
          <w:tcPr>
            <w:tcW w:w="3659" w:type="dxa"/>
            <w:gridSpan w:val="3"/>
            <w:vAlign w:val="center"/>
          </w:tcPr>
          <w:p>
            <w:pPr>
              <w:snapToGrid w:val="0"/>
              <w:spacing w:line="240" w:lineRule="auto"/>
              <w:ind w:firstLine="0" w:firstLineChars="0"/>
              <w:jc w:val="center"/>
              <w:rPr>
                <w:sz w:val="28"/>
                <w:szCs w:val="28"/>
              </w:rPr>
            </w:pPr>
            <w:r>
              <w:rPr>
                <w:rFonts w:hint="eastAsia"/>
                <w:sz w:val="28"/>
                <w:szCs w:val="28"/>
              </w:rPr>
              <w:t>汉唐规划设计集团有限公司新疆分公司</w:t>
            </w:r>
          </w:p>
        </w:tc>
        <w:tc>
          <w:tcPr>
            <w:tcW w:w="1701" w:type="dxa"/>
            <w:vAlign w:val="center"/>
          </w:tcPr>
          <w:p>
            <w:pPr>
              <w:spacing w:line="240" w:lineRule="auto"/>
              <w:ind w:firstLine="0" w:firstLineChars="0"/>
              <w:jc w:val="center"/>
              <w:rPr>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9" w:hRule="exact"/>
          <w:jc w:val="center"/>
        </w:trPr>
        <w:tc>
          <w:tcPr>
            <w:tcW w:w="2171" w:type="dxa"/>
            <w:vAlign w:val="center"/>
          </w:tcPr>
          <w:p>
            <w:pPr>
              <w:spacing w:line="240" w:lineRule="auto"/>
              <w:ind w:firstLine="0" w:firstLineChars="0"/>
              <w:jc w:val="center"/>
              <w:rPr>
                <w:sz w:val="28"/>
                <w:szCs w:val="28"/>
              </w:rPr>
            </w:pPr>
            <w:r>
              <w:rPr>
                <w:rFonts w:hint="eastAsia"/>
                <w:sz w:val="28"/>
                <w:szCs w:val="28"/>
              </w:rPr>
              <w:t>胡鹏</w:t>
            </w:r>
          </w:p>
        </w:tc>
        <w:tc>
          <w:tcPr>
            <w:tcW w:w="1688" w:type="dxa"/>
            <w:vAlign w:val="center"/>
          </w:tcPr>
          <w:p>
            <w:pPr>
              <w:snapToGrid w:val="0"/>
              <w:spacing w:line="240" w:lineRule="auto"/>
              <w:ind w:firstLine="0" w:firstLineChars="0"/>
              <w:jc w:val="center"/>
              <w:rPr>
                <w:sz w:val="28"/>
                <w:szCs w:val="28"/>
              </w:rPr>
            </w:pPr>
            <w:r>
              <w:rPr>
                <w:rFonts w:hint="eastAsia"/>
                <w:sz w:val="28"/>
                <w:szCs w:val="28"/>
              </w:rPr>
              <w:t>技术负责/工程师</w:t>
            </w:r>
          </w:p>
        </w:tc>
        <w:tc>
          <w:tcPr>
            <w:tcW w:w="3659" w:type="dxa"/>
            <w:gridSpan w:val="3"/>
            <w:vAlign w:val="center"/>
          </w:tcPr>
          <w:p>
            <w:pPr>
              <w:snapToGrid w:val="0"/>
              <w:spacing w:line="240" w:lineRule="auto"/>
              <w:ind w:firstLine="0" w:firstLineChars="0"/>
              <w:jc w:val="center"/>
              <w:rPr>
                <w:sz w:val="28"/>
                <w:szCs w:val="28"/>
              </w:rPr>
            </w:pPr>
            <w:r>
              <w:rPr>
                <w:rFonts w:hint="eastAsia"/>
                <w:sz w:val="28"/>
                <w:szCs w:val="28"/>
              </w:rPr>
              <w:t>汉唐规划设计集团有限公司新疆分公司</w:t>
            </w:r>
          </w:p>
        </w:tc>
        <w:tc>
          <w:tcPr>
            <w:tcW w:w="1701" w:type="dxa"/>
            <w:vAlign w:val="center"/>
          </w:tcPr>
          <w:p>
            <w:pPr>
              <w:spacing w:line="240" w:lineRule="auto"/>
              <w:ind w:firstLine="0" w:firstLineChars="0"/>
              <w:jc w:val="center"/>
              <w:rPr>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9" w:hRule="exact"/>
          <w:jc w:val="center"/>
        </w:trPr>
        <w:tc>
          <w:tcPr>
            <w:tcW w:w="2171" w:type="dxa"/>
            <w:vAlign w:val="center"/>
          </w:tcPr>
          <w:p>
            <w:pPr>
              <w:spacing w:line="240" w:lineRule="auto"/>
              <w:ind w:firstLine="0" w:firstLineChars="0"/>
              <w:jc w:val="center"/>
              <w:rPr>
                <w:sz w:val="28"/>
                <w:szCs w:val="28"/>
              </w:rPr>
            </w:pPr>
            <w:r>
              <w:rPr>
                <w:rFonts w:hint="eastAsia"/>
                <w:sz w:val="28"/>
                <w:szCs w:val="28"/>
              </w:rPr>
              <w:t>亚尔麦麦提</w:t>
            </w:r>
          </w:p>
        </w:tc>
        <w:tc>
          <w:tcPr>
            <w:tcW w:w="1688" w:type="dxa"/>
            <w:vAlign w:val="center"/>
          </w:tcPr>
          <w:p>
            <w:pPr>
              <w:snapToGrid w:val="0"/>
              <w:spacing w:line="240" w:lineRule="auto"/>
              <w:ind w:firstLine="0" w:firstLineChars="0"/>
              <w:jc w:val="center"/>
              <w:rPr>
                <w:sz w:val="28"/>
                <w:szCs w:val="28"/>
              </w:rPr>
            </w:pPr>
            <w:r>
              <w:rPr>
                <w:rFonts w:hint="eastAsia"/>
                <w:sz w:val="28"/>
                <w:szCs w:val="28"/>
              </w:rPr>
              <w:t>方案编制/助理工程师</w:t>
            </w:r>
          </w:p>
        </w:tc>
        <w:tc>
          <w:tcPr>
            <w:tcW w:w="3659" w:type="dxa"/>
            <w:gridSpan w:val="3"/>
            <w:vAlign w:val="center"/>
          </w:tcPr>
          <w:p>
            <w:pPr>
              <w:snapToGrid w:val="0"/>
              <w:spacing w:line="240" w:lineRule="auto"/>
              <w:ind w:firstLine="0" w:firstLineChars="0"/>
              <w:jc w:val="center"/>
              <w:rPr>
                <w:sz w:val="28"/>
                <w:szCs w:val="28"/>
              </w:rPr>
            </w:pPr>
            <w:r>
              <w:rPr>
                <w:rFonts w:hint="eastAsia"/>
                <w:sz w:val="28"/>
                <w:szCs w:val="28"/>
              </w:rPr>
              <w:t>汉唐规划设计集团有限公司新疆分公司</w:t>
            </w:r>
          </w:p>
        </w:tc>
        <w:tc>
          <w:tcPr>
            <w:tcW w:w="1701" w:type="dxa"/>
            <w:vAlign w:val="center"/>
          </w:tcPr>
          <w:p>
            <w:pPr>
              <w:spacing w:line="240" w:lineRule="auto"/>
              <w:ind w:firstLine="0" w:firstLineChars="0"/>
              <w:jc w:val="center"/>
              <w:rPr>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09" w:hRule="exact"/>
          <w:jc w:val="center"/>
        </w:trPr>
        <w:tc>
          <w:tcPr>
            <w:tcW w:w="2171" w:type="dxa"/>
            <w:vAlign w:val="center"/>
          </w:tcPr>
          <w:p>
            <w:pPr>
              <w:spacing w:line="240" w:lineRule="auto"/>
              <w:ind w:firstLine="0" w:firstLineChars="0"/>
              <w:jc w:val="center"/>
              <w:rPr>
                <w:sz w:val="28"/>
                <w:szCs w:val="28"/>
              </w:rPr>
            </w:pPr>
            <w:r>
              <w:rPr>
                <w:rFonts w:hint="eastAsia"/>
                <w:sz w:val="28"/>
                <w:szCs w:val="28"/>
              </w:rPr>
              <w:t>唐莹</w:t>
            </w:r>
          </w:p>
        </w:tc>
        <w:tc>
          <w:tcPr>
            <w:tcW w:w="1688" w:type="dxa"/>
            <w:vAlign w:val="center"/>
          </w:tcPr>
          <w:p>
            <w:pPr>
              <w:snapToGrid w:val="0"/>
              <w:spacing w:line="240" w:lineRule="auto"/>
              <w:ind w:firstLine="0" w:firstLineChars="0"/>
              <w:jc w:val="center"/>
              <w:rPr>
                <w:sz w:val="28"/>
                <w:szCs w:val="28"/>
              </w:rPr>
            </w:pPr>
            <w:r>
              <w:rPr>
                <w:rFonts w:hint="eastAsia"/>
                <w:sz w:val="28"/>
                <w:szCs w:val="28"/>
              </w:rPr>
              <w:t>预算编制/助理工程师</w:t>
            </w:r>
          </w:p>
        </w:tc>
        <w:tc>
          <w:tcPr>
            <w:tcW w:w="3659" w:type="dxa"/>
            <w:gridSpan w:val="3"/>
            <w:vAlign w:val="center"/>
          </w:tcPr>
          <w:p>
            <w:pPr>
              <w:snapToGrid w:val="0"/>
              <w:spacing w:line="240" w:lineRule="auto"/>
              <w:ind w:firstLine="0" w:firstLineChars="0"/>
              <w:jc w:val="center"/>
              <w:rPr>
                <w:sz w:val="28"/>
                <w:szCs w:val="28"/>
              </w:rPr>
            </w:pPr>
            <w:r>
              <w:rPr>
                <w:rFonts w:hint="eastAsia"/>
                <w:sz w:val="28"/>
                <w:szCs w:val="28"/>
              </w:rPr>
              <w:t>汉唐规划设计集团有限公司新疆分公司</w:t>
            </w:r>
          </w:p>
        </w:tc>
        <w:tc>
          <w:tcPr>
            <w:tcW w:w="1701" w:type="dxa"/>
            <w:vAlign w:val="center"/>
          </w:tcPr>
          <w:p>
            <w:pPr>
              <w:spacing w:line="240" w:lineRule="auto"/>
              <w:ind w:firstLine="0" w:firstLineChars="0"/>
              <w:jc w:val="center"/>
              <w:rPr>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171" w:type="dxa"/>
            <w:vAlign w:val="center"/>
          </w:tcPr>
          <w:p>
            <w:pPr>
              <w:spacing w:line="240" w:lineRule="auto"/>
              <w:ind w:firstLine="0" w:firstLineChars="0"/>
              <w:jc w:val="center"/>
              <w:rPr>
                <w:sz w:val="28"/>
                <w:szCs w:val="28"/>
              </w:rPr>
            </w:pPr>
            <w:r>
              <w:rPr>
                <w:rFonts w:hint="eastAsia"/>
                <w:sz w:val="28"/>
                <w:szCs w:val="28"/>
              </w:rPr>
              <w:t>倪雅峰</w:t>
            </w:r>
          </w:p>
        </w:tc>
        <w:tc>
          <w:tcPr>
            <w:tcW w:w="1688" w:type="dxa"/>
            <w:vAlign w:val="center"/>
          </w:tcPr>
          <w:p>
            <w:pPr>
              <w:snapToGrid w:val="0"/>
              <w:spacing w:line="240" w:lineRule="auto"/>
              <w:ind w:firstLine="0" w:firstLineChars="0"/>
              <w:jc w:val="center"/>
              <w:rPr>
                <w:sz w:val="28"/>
                <w:szCs w:val="28"/>
              </w:rPr>
            </w:pPr>
            <w:r>
              <w:rPr>
                <w:rFonts w:hint="eastAsia"/>
                <w:sz w:val="28"/>
                <w:szCs w:val="28"/>
              </w:rPr>
              <w:t>方案编制/助理工程师</w:t>
            </w:r>
          </w:p>
        </w:tc>
        <w:tc>
          <w:tcPr>
            <w:tcW w:w="3659" w:type="dxa"/>
            <w:gridSpan w:val="3"/>
            <w:vAlign w:val="center"/>
          </w:tcPr>
          <w:p>
            <w:pPr>
              <w:snapToGrid w:val="0"/>
              <w:spacing w:line="240" w:lineRule="auto"/>
              <w:ind w:firstLine="0" w:firstLineChars="0"/>
              <w:jc w:val="center"/>
              <w:rPr>
                <w:sz w:val="28"/>
                <w:szCs w:val="28"/>
              </w:rPr>
            </w:pPr>
            <w:r>
              <w:rPr>
                <w:rFonts w:hint="eastAsia"/>
                <w:sz w:val="28"/>
                <w:szCs w:val="28"/>
              </w:rPr>
              <w:t>汉唐规划设计集团有限公司新疆分公司</w:t>
            </w:r>
          </w:p>
        </w:tc>
        <w:tc>
          <w:tcPr>
            <w:tcW w:w="1701" w:type="dxa"/>
            <w:vAlign w:val="center"/>
          </w:tcPr>
          <w:p>
            <w:pPr>
              <w:spacing w:line="240" w:lineRule="auto"/>
              <w:ind w:firstLine="0" w:firstLineChars="0"/>
              <w:jc w:val="center"/>
              <w:rPr>
                <w:sz w:val="28"/>
                <w:szCs w:val="28"/>
              </w:rPr>
            </w:pPr>
          </w:p>
        </w:tc>
      </w:tr>
    </w:tbl>
    <w:p>
      <w:pPr>
        <w:ind w:left="0" w:leftChars="0" w:firstLine="0" w:firstLineChars="0"/>
        <w:rPr>
          <w:rFonts w:hint="eastAsia" w:ascii="仿宋_GB2312" w:hAnsi="仿宋_GB2312" w:eastAsia="仿宋_GB2312" w:cs="仿宋_GB2312"/>
          <w:szCs w:val="32"/>
          <w:lang w:eastAsia="zh-CN"/>
        </w:rPr>
        <w:sectPr>
          <w:headerReference r:id="rId6" w:type="default"/>
          <w:footerReference r:id="rId7" w:type="default"/>
          <w:pgSz w:w="11906" w:h="16838"/>
          <w:pgMar w:top="1418" w:right="1247" w:bottom="1418" w:left="1247" w:header="851" w:footer="992" w:gutter="340"/>
          <w:pgNumType w:fmt="upperRoman" w:start="1"/>
          <w:cols w:space="720" w:num="1"/>
          <w:docGrid w:type="linesAndChars" w:linePitch="326" w:charSpace="0"/>
        </w:sectPr>
      </w:pPr>
      <w:r>
        <w:rPr>
          <w:rFonts w:hint="eastAsia"/>
        </w:rPr>
        <w:drawing>
          <wp:anchor distT="0" distB="0" distL="114300" distR="114300" simplePos="0" relativeHeight="251699200" behindDoc="1" locked="0" layoutInCell="1" allowOverlap="1">
            <wp:simplePos x="0" y="0"/>
            <wp:positionH relativeFrom="column">
              <wp:posOffset>-998855</wp:posOffset>
            </wp:positionH>
            <wp:positionV relativeFrom="paragraph">
              <wp:posOffset>-882015</wp:posOffset>
            </wp:positionV>
            <wp:extent cx="7559675" cy="10692130"/>
            <wp:effectExtent l="0" t="0" r="0" b="0"/>
            <wp:wrapThrough wrapText="bothSides">
              <wp:wrapPolygon>
                <wp:start x="0" y="0"/>
                <wp:lineTo x="0" y="21582"/>
                <wp:lineTo x="21555" y="21582"/>
                <wp:lineTo x="21555" y="0"/>
                <wp:lineTo x="0" y="0"/>
              </wp:wrapPolygon>
            </wp:wrapThrough>
            <wp:docPr id="42" name="图片 42" descr="空白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空白页"/>
                    <pic:cNvPicPr>
                      <a:picLocks noChangeAspect="1"/>
                    </pic:cNvPicPr>
                  </pic:nvPicPr>
                  <pic:blipFill>
                    <a:blip r:embed="rId16"/>
                    <a:stretch>
                      <a:fillRect/>
                    </a:stretch>
                  </pic:blipFill>
                  <pic:spPr>
                    <a:xfrm>
                      <a:off x="0" y="0"/>
                      <a:ext cx="7559675" cy="10692130"/>
                    </a:xfrm>
                    <a:prstGeom prst="rect">
                      <a:avLst/>
                    </a:prstGeom>
                  </pic:spPr>
                </pic:pic>
              </a:graphicData>
            </a:graphic>
          </wp:anchor>
        </w:drawing>
      </w:r>
      <w:bookmarkStart w:id="3" w:name="_Toc32"/>
      <w:bookmarkStart w:id="4" w:name="_Toc12743"/>
      <w:bookmarkStart w:id="5" w:name="_Toc18287"/>
      <w:bookmarkStart w:id="6" w:name="_Toc2825"/>
      <w:bookmarkStart w:id="7" w:name="_Toc93403597"/>
      <w:bookmarkStart w:id="8" w:name="_Toc25300"/>
      <w:bookmarkStart w:id="9" w:name="_Toc341866345"/>
      <w:bookmarkStart w:id="10" w:name="_Toc332054156"/>
      <w:bookmarkStart w:id="11" w:name="_Toc331979928"/>
      <w:bookmarkStart w:id="12" w:name="_Toc331979717"/>
      <w:bookmarkStart w:id="13" w:name="_Toc30821"/>
      <w:bookmarkStart w:id="14" w:name="_Toc331979507"/>
      <w:bookmarkStart w:id="15" w:name="_Toc374433384"/>
      <w:bookmarkStart w:id="16" w:name="_Toc8581510"/>
      <w:bookmarkStart w:id="17" w:name="_Toc331979402"/>
      <w:r>
        <w:rPr>
          <w:rFonts w:hint="eastAsia" w:ascii="仿宋_GB2312" w:hAnsi="仿宋_GB2312" w:eastAsia="仿宋_GB2312" w:cs="仿宋_GB2312"/>
          <w:szCs w:val="32"/>
          <w:lang w:eastAsia="zh-CN"/>
        </w:rPr>
        <w:drawing>
          <wp:anchor distT="0" distB="0" distL="114300" distR="114300" simplePos="0" relativeHeight="251729920" behindDoc="1" locked="0" layoutInCell="1" allowOverlap="1">
            <wp:simplePos x="0" y="0"/>
            <wp:positionH relativeFrom="column">
              <wp:posOffset>-998855</wp:posOffset>
            </wp:positionH>
            <wp:positionV relativeFrom="paragraph">
              <wp:posOffset>-882015</wp:posOffset>
            </wp:positionV>
            <wp:extent cx="7559675" cy="10692130"/>
            <wp:effectExtent l="0" t="0" r="3175" b="13970"/>
            <wp:wrapThrough wrapText="bothSides">
              <wp:wrapPolygon>
                <wp:start x="0" y="0"/>
                <wp:lineTo x="0" y="21551"/>
                <wp:lineTo x="21555" y="21551"/>
                <wp:lineTo x="21555" y="0"/>
                <wp:lineTo x="0" y="0"/>
              </wp:wrapPolygon>
            </wp:wrapThrough>
            <wp:docPr id="65" name="图片 65" descr="空白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空白页"/>
                    <pic:cNvPicPr>
                      <a:picLocks noChangeAspect="1"/>
                    </pic:cNvPicPr>
                  </pic:nvPicPr>
                  <pic:blipFill>
                    <a:blip r:embed="rId16"/>
                    <a:stretch>
                      <a:fillRect/>
                    </a:stretch>
                  </pic:blipFill>
                  <pic:spPr>
                    <a:xfrm>
                      <a:off x="0" y="0"/>
                      <a:ext cx="7559675" cy="10692130"/>
                    </a:xfrm>
                    <a:prstGeom prst="rect">
                      <a:avLst/>
                    </a:prstGeom>
                  </pic:spPr>
                </pic:pic>
              </a:graphicData>
            </a:graphic>
          </wp:anchor>
        </w:drawing>
      </w:r>
      <w:r>
        <w:rPr>
          <w:rFonts w:hint="eastAsia" w:ascii="仿宋_GB2312" w:hAnsi="仿宋_GB2312" w:eastAsia="仿宋_GB2312" w:cs="仿宋_GB2312"/>
          <w:szCs w:val="32"/>
          <w:lang w:eastAsia="zh-CN"/>
        </w:rPr>
        <w:drawing>
          <wp:anchor distT="0" distB="0" distL="114300" distR="114300" simplePos="0" relativeHeight="251711488" behindDoc="1" locked="0" layoutInCell="1" allowOverlap="1">
            <wp:simplePos x="0" y="0"/>
            <wp:positionH relativeFrom="column">
              <wp:posOffset>-107950</wp:posOffset>
            </wp:positionH>
            <wp:positionV relativeFrom="paragraph">
              <wp:posOffset>-900430</wp:posOffset>
            </wp:positionV>
            <wp:extent cx="7559675" cy="10692130"/>
            <wp:effectExtent l="0" t="0" r="0" b="0"/>
            <wp:wrapThrough wrapText="bothSides">
              <wp:wrapPolygon>
                <wp:start x="0" y="0"/>
                <wp:lineTo x="0" y="21551"/>
                <wp:lineTo x="21555" y="21551"/>
                <wp:lineTo x="21555" y="0"/>
                <wp:lineTo x="0" y="0"/>
              </wp:wrapPolygon>
            </wp:wrapThrough>
            <wp:docPr id="49" name="图片 49" descr="喀什地区泽普县供水城乡一体化建设工程（泽普县农村规模化供水管道连通工程）临时用地土地复垦方案报告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喀什地区泽普县供水城乡一体化建设工程（泽普县农村规模化供水管道连通工程）临时用地土地复垦方案报告书_01"/>
                    <pic:cNvPicPr>
                      <a:picLocks noChangeAspect="1"/>
                    </pic:cNvPicPr>
                  </pic:nvPicPr>
                  <pic:blipFill>
                    <a:blip r:embed="rId17"/>
                    <a:stretch>
                      <a:fillRect/>
                    </a:stretch>
                  </pic:blipFill>
                  <pic:spPr>
                    <a:xfrm>
                      <a:off x="0" y="0"/>
                      <a:ext cx="7559675" cy="10692130"/>
                    </a:xfrm>
                    <a:prstGeom prst="rect">
                      <a:avLst/>
                    </a:prstGeom>
                  </pic:spPr>
                </pic:pic>
              </a:graphicData>
            </a:graphic>
          </wp:anchor>
        </w:drawing>
      </w:r>
    </w:p>
    <w:p>
      <w:pPr>
        <w:rPr>
          <w:rFonts w:hint="eastAsia"/>
        </w:rPr>
        <w:sectPr>
          <w:pgSz w:w="11906" w:h="16838"/>
          <w:pgMar w:top="1418" w:right="1247" w:bottom="1418" w:left="1247" w:header="851" w:footer="992" w:gutter="340"/>
          <w:pgNumType w:fmt="upperRoman" w:start="1"/>
          <w:cols w:space="720" w:num="1"/>
          <w:docGrid w:type="linesAndChars" w:linePitch="326" w:charSpace="0"/>
        </w:sectPr>
      </w:pPr>
    </w:p>
    <w:p>
      <w:pPr>
        <w:spacing w:line="240" w:lineRule="auto"/>
        <w:rPr>
          <w:rFonts w:hint="eastAsia" w:eastAsia="仿宋_GB2312"/>
          <w:lang w:eastAsia="zh-CN"/>
        </w:rPr>
        <w:sectPr>
          <w:pgSz w:w="11906" w:h="16838"/>
          <w:pgMar w:top="1418" w:right="1247" w:bottom="1418" w:left="1247" w:header="851" w:footer="992" w:gutter="340"/>
          <w:pgNumType w:fmt="upperRoman" w:start="1"/>
          <w:cols w:space="720" w:num="1"/>
          <w:docGrid w:type="linesAndChars" w:linePitch="326" w:charSpace="0"/>
        </w:sectPr>
      </w:pPr>
      <w:r>
        <w:rPr>
          <w:rFonts w:hint="eastAsia" w:eastAsia="仿宋_GB2312"/>
          <w:lang w:eastAsia="zh-CN"/>
        </w:rPr>
        <w:drawing>
          <wp:anchor distT="0" distB="0" distL="114300" distR="114300" simplePos="0" relativeHeight="251712512" behindDoc="1" locked="0" layoutInCell="1" allowOverlap="1">
            <wp:simplePos x="0" y="0"/>
            <wp:positionH relativeFrom="column">
              <wp:posOffset>304800</wp:posOffset>
            </wp:positionH>
            <wp:positionV relativeFrom="paragraph">
              <wp:posOffset>63500</wp:posOffset>
            </wp:positionV>
            <wp:extent cx="7559675" cy="10692130"/>
            <wp:effectExtent l="0" t="0" r="0" b="0"/>
            <wp:wrapThrough wrapText="bothSides">
              <wp:wrapPolygon>
                <wp:start x="0" y="0"/>
                <wp:lineTo x="0" y="21551"/>
                <wp:lineTo x="21555" y="21551"/>
                <wp:lineTo x="21555" y="0"/>
                <wp:lineTo x="0" y="0"/>
              </wp:wrapPolygon>
            </wp:wrapThrough>
            <wp:docPr id="50" name="图片 50" descr="2024.9.21泽普县农村规模化供水管道连通工程临时用地土地复垦方案报告书评审表（喻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4.9.21泽普县农村规模化供水管道连通工程临时用地土地复垦方案报告书评审表（喻强）_01"/>
                    <pic:cNvPicPr>
                      <a:picLocks noChangeAspect="1"/>
                    </pic:cNvPicPr>
                  </pic:nvPicPr>
                  <pic:blipFill>
                    <a:blip r:embed="rId18"/>
                    <a:stretch>
                      <a:fillRect/>
                    </a:stretch>
                  </pic:blipFill>
                  <pic:spPr>
                    <a:xfrm>
                      <a:off x="0" y="0"/>
                      <a:ext cx="7559675" cy="10692130"/>
                    </a:xfrm>
                    <a:prstGeom prst="rect">
                      <a:avLst/>
                    </a:prstGeom>
                  </pic:spPr>
                </pic:pic>
              </a:graphicData>
            </a:graphic>
          </wp:anchor>
        </w:drawing>
      </w:r>
    </w:p>
    <w:p>
      <w:pPr>
        <w:rPr>
          <w:rFonts w:hint="eastAsia"/>
        </w:rPr>
        <w:sectPr>
          <w:pgSz w:w="11906" w:h="16838"/>
          <w:pgMar w:top="1418" w:right="1247" w:bottom="1418" w:left="1247" w:header="851" w:footer="992" w:gutter="340"/>
          <w:pgNumType w:fmt="upperRoman" w:start="1"/>
          <w:cols w:space="720" w:num="1"/>
          <w:docGrid w:type="linesAndChars" w:linePitch="326" w:charSpace="0"/>
        </w:sectPr>
      </w:pPr>
    </w:p>
    <w:p>
      <w:pPr>
        <w:spacing w:line="240" w:lineRule="auto"/>
        <w:rPr>
          <w:rFonts w:hint="eastAsia" w:eastAsia="仿宋_GB2312"/>
          <w:lang w:eastAsia="zh-CN"/>
        </w:rPr>
        <w:sectPr>
          <w:pgSz w:w="11906" w:h="16838"/>
          <w:pgMar w:top="1418" w:right="1247" w:bottom="1418" w:left="1247" w:header="851" w:footer="992" w:gutter="340"/>
          <w:pgNumType w:fmt="upperRoman" w:start="1"/>
          <w:cols w:space="720" w:num="1"/>
          <w:docGrid w:type="linesAndChars" w:linePitch="326" w:charSpace="0"/>
        </w:sectPr>
      </w:pPr>
      <w:r>
        <w:rPr>
          <w:rFonts w:hint="eastAsia" w:eastAsia="仿宋_GB2312"/>
          <w:lang w:eastAsia="zh-CN"/>
        </w:rPr>
        <w:drawing>
          <wp:anchor distT="0" distB="0" distL="114300" distR="114300" simplePos="0" relativeHeight="251727872" behindDoc="1" locked="0" layoutInCell="1" allowOverlap="1">
            <wp:simplePos x="0" y="0"/>
            <wp:positionH relativeFrom="column">
              <wp:posOffset>304800</wp:posOffset>
            </wp:positionH>
            <wp:positionV relativeFrom="paragraph">
              <wp:posOffset>29210</wp:posOffset>
            </wp:positionV>
            <wp:extent cx="7557770" cy="10692130"/>
            <wp:effectExtent l="0" t="0" r="5080" b="13970"/>
            <wp:wrapThrough wrapText="bothSides">
              <wp:wrapPolygon>
                <wp:start x="0" y="0"/>
                <wp:lineTo x="0" y="21551"/>
                <wp:lineTo x="21560" y="21551"/>
                <wp:lineTo x="21560" y="0"/>
                <wp:lineTo x="0" y="0"/>
              </wp:wrapPolygon>
            </wp:wrapThrough>
            <wp:docPr id="64" name="图片 64" descr="泽普县供水城乡一体化建设工程临时用地土地复垦方案报告书评审表-张朝勇-2024.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泽普县供水城乡一体化建设工程临时用地土地复垦方案报告书评审表-张朝勇-2024.9_00"/>
                    <pic:cNvPicPr>
                      <a:picLocks noChangeAspect="1"/>
                    </pic:cNvPicPr>
                  </pic:nvPicPr>
                  <pic:blipFill>
                    <a:blip r:embed="rId19"/>
                    <a:stretch>
                      <a:fillRect/>
                    </a:stretch>
                  </pic:blipFill>
                  <pic:spPr>
                    <a:xfrm>
                      <a:off x="0" y="0"/>
                      <a:ext cx="7557770" cy="10692130"/>
                    </a:xfrm>
                    <a:prstGeom prst="rect">
                      <a:avLst/>
                    </a:prstGeom>
                  </pic:spPr>
                </pic:pic>
              </a:graphicData>
            </a:graphic>
          </wp:anchor>
        </w:drawing>
      </w:r>
    </w:p>
    <w:p>
      <w:pPr>
        <w:rPr>
          <w:rFonts w:hint="eastAsia"/>
        </w:rPr>
        <w:sectPr>
          <w:pgSz w:w="11906" w:h="16838"/>
          <w:pgMar w:top="1418" w:right="1247" w:bottom="1418" w:left="1247" w:header="851" w:footer="992" w:gutter="340"/>
          <w:pgNumType w:fmt="upperRoman" w:start="1"/>
          <w:cols w:space="720" w:num="1"/>
          <w:docGrid w:type="linesAndChars" w:linePitch="326" w:charSpace="0"/>
        </w:sectPr>
      </w:pPr>
      <w:r>
        <w:rPr>
          <w:rFonts w:hint="eastAsia"/>
        </w:rPr>
        <w:drawing>
          <wp:anchor distT="0" distB="0" distL="114300" distR="114300" simplePos="0" relativeHeight="251726848" behindDoc="1" locked="0" layoutInCell="1" allowOverlap="1">
            <wp:simplePos x="0" y="0"/>
            <wp:positionH relativeFrom="column">
              <wp:posOffset>-998855</wp:posOffset>
            </wp:positionH>
            <wp:positionV relativeFrom="paragraph">
              <wp:posOffset>-882015</wp:posOffset>
            </wp:positionV>
            <wp:extent cx="7559675" cy="10692130"/>
            <wp:effectExtent l="0" t="0" r="3175" b="13970"/>
            <wp:wrapThrough wrapText="bothSides">
              <wp:wrapPolygon>
                <wp:start x="0" y="0"/>
                <wp:lineTo x="0" y="21551"/>
                <wp:lineTo x="21555" y="21551"/>
                <wp:lineTo x="21555" y="0"/>
                <wp:lineTo x="0" y="0"/>
              </wp:wrapPolygon>
            </wp:wrapThrough>
            <wp:docPr id="63" name="图片 63" descr="空白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空白页"/>
                    <pic:cNvPicPr>
                      <a:picLocks noChangeAspect="1"/>
                    </pic:cNvPicPr>
                  </pic:nvPicPr>
                  <pic:blipFill>
                    <a:blip r:embed="rId16"/>
                    <a:stretch>
                      <a:fillRect/>
                    </a:stretch>
                  </pic:blipFill>
                  <pic:spPr>
                    <a:xfrm>
                      <a:off x="0" y="0"/>
                      <a:ext cx="7559675" cy="10692130"/>
                    </a:xfrm>
                    <a:prstGeom prst="rect">
                      <a:avLst/>
                    </a:prstGeom>
                  </pic:spPr>
                </pic:pic>
              </a:graphicData>
            </a:graphic>
          </wp:anchor>
        </w:drawing>
      </w:r>
    </w:p>
    <w:p>
      <w:pPr>
        <w:adjustRightInd/>
        <w:spacing w:line="360" w:lineRule="auto"/>
        <w:ind w:firstLine="0" w:firstLineChars="0"/>
        <w:jc w:val="center"/>
        <w:textAlignment w:val="auto"/>
        <w:rPr>
          <w:rFonts w:ascii="Times New Roman" w:hAnsi="Times New Roman" w:eastAsia="黑体" w:cs="Times New Roman"/>
          <w:sz w:val="28"/>
          <w:szCs w:val="28"/>
        </w:rPr>
      </w:pPr>
      <w:r>
        <w:rPr>
          <w:rFonts w:ascii="Times New Roman" w:hAnsi="Times New Roman" w:eastAsia="黑体" w:cs="Times New Roman"/>
          <w:sz w:val="28"/>
          <w:szCs w:val="28"/>
        </w:rPr>
        <w:t>《</w:t>
      </w:r>
      <w:r>
        <w:rPr>
          <w:rFonts w:hint="eastAsia" w:ascii="Times New Roman" w:hAnsi="Times New Roman" w:eastAsia="黑体" w:cs="Times New Roman"/>
          <w:sz w:val="28"/>
          <w:szCs w:val="28"/>
          <w:lang w:eastAsia="zh-CN"/>
        </w:rPr>
        <w:t>喀什地区泽普县供水城乡一体化建设工程（泽普县农村规模化供水管道连通工程）临时用地土地复垦方案报告书</w:t>
      </w:r>
      <w:r>
        <w:rPr>
          <w:rFonts w:ascii="Times New Roman" w:hAnsi="Times New Roman" w:eastAsia="黑体" w:cs="Times New Roman"/>
          <w:sz w:val="28"/>
          <w:szCs w:val="28"/>
        </w:rPr>
        <w:t>》</w:t>
      </w:r>
      <w:r>
        <w:rPr>
          <w:rFonts w:hint="eastAsia" w:ascii="Times New Roman" w:hAnsi="Times New Roman" w:eastAsia="黑体" w:cs="Times New Roman"/>
          <w:sz w:val="28"/>
          <w:szCs w:val="28"/>
          <w:lang w:val="en-US" w:eastAsia="zh-CN"/>
        </w:rPr>
        <w:t>修改</w:t>
      </w:r>
      <w:r>
        <w:rPr>
          <w:rFonts w:ascii="Times New Roman" w:hAnsi="Times New Roman" w:eastAsia="黑体" w:cs="Times New Roman"/>
          <w:sz w:val="28"/>
          <w:szCs w:val="28"/>
        </w:rPr>
        <w:t>说明对照表</w:t>
      </w:r>
    </w:p>
    <w:p>
      <w:pPr>
        <w:adjustRightInd/>
        <w:spacing w:line="360" w:lineRule="auto"/>
        <w:ind w:firstLine="480" w:firstLineChars="200"/>
        <w:jc w:val="left"/>
        <w:textAlignment w:val="auto"/>
        <w:rPr>
          <w:rFonts w:ascii="Times New Roman" w:hAnsi="Times New Roman" w:eastAsia="仿宋_GB2312" w:cs="Times New Roman"/>
          <w:sz w:val="24"/>
        </w:rPr>
      </w:pPr>
      <w:r>
        <w:rPr>
          <w:rFonts w:hint="eastAsia" w:ascii="Times New Roman" w:hAnsi="Times New Roman" w:eastAsia="仿宋_GB2312" w:cs="Times New Roman"/>
          <w:sz w:val="24"/>
        </w:rPr>
        <w:t>202</w:t>
      </w:r>
      <w:r>
        <w:rPr>
          <w:rFonts w:hint="eastAsia" w:ascii="Times New Roman" w:hAnsi="Times New Roman" w:eastAsia="仿宋_GB2312" w:cs="Times New Roman"/>
          <w:sz w:val="24"/>
          <w:lang w:val="en-US" w:eastAsia="zh-CN"/>
        </w:rPr>
        <w:t>4</w:t>
      </w:r>
      <w:r>
        <w:rPr>
          <w:rFonts w:hint="eastAsia" w:ascii="Times New Roman" w:hAnsi="Times New Roman" w:eastAsia="仿宋_GB2312" w:cs="Times New Roman"/>
          <w:sz w:val="24"/>
        </w:rPr>
        <w:t>年</w:t>
      </w:r>
      <w:r>
        <w:rPr>
          <w:rFonts w:hint="eastAsia" w:ascii="Times New Roman" w:hAnsi="Times New Roman" w:eastAsia="仿宋_GB2312" w:cs="Times New Roman"/>
          <w:sz w:val="24"/>
          <w:lang w:val="en-US" w:eastAsia="zh-CN"/>
        </w:rPr>
        <w:t>9</w:t>
      </w:r>
      <w:r>
        <w:rPr>
          <w:rFonts w:hint="eastAsia" w:ascii="Times New Roman" w:hAnsi="Times New Roman" w:eastAsia="仿宋_GB2312" w:cs="Times New Roman"/>
          <w:sz w:val="24"/>
        </w:rPr>
        <w:t>月，本单位（汉唐规划设计集团有限公司新疆分公司）编制完成了《</w:t>
      </w:r>
      <w:r>
        <w:rPr>
          <w:rFonts w:hint="eastAsia" w:ascii="Times New Roman" w:hAnsi="Times New Roman" w:eastAsia="仿宋_GB2312" w:cs="Times New Roman"/>
          <w:sz w:val="24"/>
          <w:lang w:eastAsia="zh-CN"/>
        </w:rPr>
        <w:t>喀什地区泽普县供水城乡一体化建设工程（泽普县农村规模化供水管道连通工程）临时用地土地复垦方案报告书</w:t>
      </w:r>
      <w:r>
        <w:rPr>
          <w:rFonts w:hint="eastAsia" w:ascii="Times New Roman" w:hAnsi="Times New Roman" w:eastAsia="仿宋_GB2312" w:cs="Times New Roman"/>
          <w:sz w:val="24"/>
        </w:rPr>
        <w:t>》（以下简称《方案》），于202</w:t>
      </w:r>
      <w:r>
        <w:rPr>
          <w:rFonts w:hint="eastAsia" w:ascii="Times New Roman" w:hAnsi="Times New Roman" w:eastAsia="仿宋_GB2312" w:cs="Times New Roman"/>
          <w:sz w:val="24"/>
          <w:lang w:val="en-US" w:eastAsia="zh-CN"/>
        </w:rPr>
        <w:t>4</w:t>
      </w:r>
      <w:r>
        <w:rPr>
          <w:rFonts w:hint="eastAsia" w:ascii="Times New Roman" w:hAnsi="Times New Roman" w:eastAsia="仿宋_GB2312" w:cs="Times New Roman"/>
          <w:sz w:val="24"/>
        </w:rPr>
        <w:t>年</w:t>
      </w:r>
      <w:r>
        <w:rPr>
          <w:rFonts w:hint="eastAsia" w:ascii="Times New Roman" w:hAnsi="Times New Roman" w:eastAsia="仿宋_GB2312" w:cs="Times New Roman"/>
          <w:sz w:val="24"/>
          <w:lang w:val="en-US" w:eastAsia="zh-CN"/>
        </w:rPr>
        <w:t>9</w:t>
      </w:r>
      <w:r>
        <w:rPr>
          <w:rFonts w:hint="eastAsia" w:ascii="Times New Roman" w:hAnsi="Times New Roman" w:eastAsia="仿宋_GB2312" w:cs="Times New Roman"/>
          <w:sz w:val="24"/>
        </w:rPr>
        <w:t>月</w:t>
      </w:r>
      <w:r>
        <w:rPr>
          <w:rFonts w:hint="eastAsia" w:ascii="Times New Roman" w:hAnsi="Times New Roman" w:eastAsia="仿宋_GB2312" w:cs="Times New Roman"/>
          <w:sz w:val="24"/>
          <w:lang w:val="en-US" w:eastAsia="zh-CN"/>
        </w:rPr>
        <w:t>20</w:t>
      </w:r>
      <w:r>
        <w:rPr>
          <w:rFonts w:hint="eastAsia" w:ascii="Times New Roman" w:hAnsi="Times New Roman" w:eastAsia="仿宋_GB2312" w:cs="Times New Roman"/>
          <w:sz w:val="24"/>
        </w:rPr>
        <w:t>日由</w:t>
      </w:r>
      <w:r>
        <w:rPr>
          <w:rFonts w:hint="eastAsia" w:cs="Times New Roman"/>
          <w:sz w:val="24"/>
          <w:lang w:val="en-US" w:eastAsia="zh-CN"/>
        </w:rPr>
        <w:t>喀什地区</w:t>
      </w:r>
      <w:r>
        <w:rPr>
          <w:rFonts w:hint="eastAsia" w:ascii="Times New Roman" w:hAnsi="Times New Roman" w:eastAsia="仿宋_GB2312" w:cs="Times New Roman"/>
          <w:sz w:val="24"/>
        </w:rPr>
        <w:t>自然资源局组织专家对该</w:t>
      </w:r>
      <w:r>
        <w:rPr>
          <w:rFonts w:hint="eastAsia" w:ascii="Times New Roman" w:hAnsi="Times New Roman" w:eastAsia="仿宋_GB2312" w:cs="Times New Roman"/>
          <w:sz w:val="24"/>
          <w:lang w:eastAsia="zh-CN"/>
        </w:rPr>
        <w:t>方案报告表</w:t>
      </w:r>
      <w:r>
        <w:rPr>
          <w:rFonts w:hint="eastAsia" w:ascii="Times New Roman" w:hAnsi="Times New Roman" w:eastAsia="仿宋_GB2312" w:cs="Times New Roman"/>
          <w:sz w:val="24"/>
        </w:rPr>
        <w:t>进行了</w:t>
      </w:r>
      <w:r>
        <w:rPr>
          <w:rFonts w:hint="eastAsia" w:ascii="Times New Roman" w:hAnsi="Times New Roman" w:eastAsia="仿宋_GB2312" w:cs="Times New Roman"/>
          <w:sz w:val="24"/>
          <w:lang w:val="en-US" w:eastAsia="zh-CN"/>
        </w:rPr>
        <w:t>审查</w:t>
      </w:r>
      <w:r>
        <w:rPr>
          <w:rFonts w:hint="eastAsia" w:ascii="Times New Roman" w:hAnsi="Times New Roman" w:eastAsia="仿宋_GB2312" w:cs="Times New Roman"/>
          <w:sz w:val="24"/>
        </w:rPr>
        <w:t>咨询论证，本单位根据咨询论证意见要求对方案进行了认真修改，具体修改如下：</w:t>
      </w:r>
    </w:p>
    <w:tbl>
      <w:tblPr>
        <w:tblStyle w:val="88"/>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77"/>
        <w:gridCol w:w="3906"/>
        <w:gridCol w:w="4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blHeader/>
        </w:trPr>
        <w:tc>
          <w:tcPr>
            <w:tcW w:w="11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评审专家</w:t>
            </w: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专家意见</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齐瑾辉</w:t>
            </w: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r>
              <w:rPr>
                <w:rFonts w:hint="default" w:ascii="Times New Roman" w:hAnsi="Times New Roman" w:eastAsia="仿宋_GB2312" w:cs="Times New Roman"/>
                <w:color w:val="auto"/>
                <w:sz w:val="24"/>
                <w:szCs w:val="24"/>
                <w:lang w:val="en-US" w:eastAsia="zh-CN"/>
              </w:rPr>
              <w:t>、P8《自然资源部办公厅关于印发规划、用途管制用地用海分类指南》(自然资发〔2023〕234号)补充到政策文件；取消过期和未使用的规范《自然资源部办公厅关于印发〈国土空间调查、规划、用途管制用地用海 分类指南（试行）〉的通知》（自然资办发〔2020〕51 号）</w:t>
            </w:r>
            <w:r>
              <w:rPr>
                <w:rFonts w:hint="default" w:ascii="Times New Roman" w:hAnsi="Times New Roman" w:eastAsia="仿宋_GB2312" w:cs="Times New Roman"/>
                <w:color w:val="auto"/>
                <w:sz w:val="24"/>
                <w:szCs w:val="24"/>
              </w:rPr>
              <w:t>。</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已补充修改，自然资源部办公厅关于印发规划、用途管制用地用海分类指南》(自然资发〔2023〕234号)已补充到政策文件，删除自然资源部办公厅关于印发〈国土空间调查、规划、用途管制用地用海 分类指南（试行）〉的通知》（自然资办发〔2020〕51 号）文件。P8页。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P14土壤章节补充不同地类表土层厚度等。</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已补充，3.2.4 土壤中已补充表土层厚度。P14页。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3、</w:t>
            </w:r>
            <w:r>
              <w:rPr>
                <w:rFonts w:hint="default" w:ascii="Times New Roman" w:hAnsi="Times New Roman" w:eastAsia="仿宋_GB2312" w:cs="Times New Roman"/>
                <w:color w:val="auto"/>
                <w:sz w:val="24"/>
                <w:szCs w:val="24"/>
                <w:lang w:val="en-US" w:eastAsia="zh-CN"/>
              </w:rPr>
              <w:t>P41复垦质量要求应该按地类土壤实际情况设计指标</w:t>
            </w:r>
            <w:r>
              <w:rPr>
                <w:rFonts w:hint="default" w:ascii="Times New Roman" w:hAnsi="Times New Roman" w:eastAsia="仿宋_GB2312" w:cs="Times New Roman"/>
                <w:color w:val="auto"/>
                <w:sz w:val="24"/>
                <w:szCs w:val="24"/>
                <w:lang w:eastAsia="zh-CN"/>
              </w:rPr>
              <w:t>。</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已修改，复垦质量要求已按照土壤实际情况设计。P41页。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r>
              <w:rPr>
                <w:rFonts w:hint="default" w:ascii="Times New Roman" w:hAnsi="Times New Roman" w:eastAsia="仿宋_GB2312" w:cs="Times New Roman"/>
                <w:color w:val="auto"/>
                <w:sz w:val="24"/>
                <w:szCs w:val="24"/>
                <w:lang w:val="en-US" w:eastAsia="zh-CN"/>
              </w:rPr>
              <w:t>P49补充典型设计图；混凝土硬化物属于建筑垃圾，需要拉运建筑垃圾填埋场回填</w:t>
            </w:r>
            <w:r>
              <w:rPr>
                <w:rFonts w:hint="default" w:ascii="Times New Roman" w:hAnsi="Times New Roman" w:eastAsia="仿宋_GB2312" w:cs="Times New Roman"/>
                <w:color w:val="auto"/>
                <w:sz w:val="24"/>
                <w:szCs w:val="24"/>
              </w:rPr>
              <w:t>。</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已补充，已补充复垦施工典型大样图。附件11。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sz w:val="24"/>
                <w:szCs w:val="24"/>
              </w:rPr>
              <w:t>5、</w:t>
            </w:r>
            <w:r>
              <w:rPr>
                <w:rFonts w:hint="default" w:ascii="Times New Roman" w:hAnsi="Times New Roman" w:eastAsia="仿宋_GB2312" w:cs="Times New Roman"/>
                <w:color w:val="auto"/>
                <w:sz w:val="24"/>
                <w:szCs w:val="24"/>
                <w:lang w:val="en-US" w:eastAsia="zh-CN"/>
              </w:rPr>
              <w:t>P95其他费用2.60万元偏低，建议按实际计提。</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已</w:t>
            </w:r>
            <w:r>
              <w:rPr>
                <w:rFonts w:hint="eastAsia" w:ascii="Times New Roman" w:hAnsi="Times New Roman" w:eastAsia="仿宋_GB2312" w:cs="Times New Roman"/>
                <w:color w:val="auto"/>
                <w:kern w:val="2"/>
                <w:sz w:val="24"/>
                <w:szCs w:val="24"/>
                <w:lang w:val="en-US" w:eastAsia="zh-CN" w:bidi="ar-SA"/>
              </w:rPr>
              <w:t>修改</w:t>
            </w:r>
            <w:r>
              <w:rPr>
                <w:rFonts w:hint="default" w:ascii="Times New Roman" w:hAnsi="Times New Roman"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其他费用已按照实际计提，并对全文做一致性修改</w:t>
            </w:r>
            <w:r>
              <w:rPr>
                <w:rFonts w:hint="default" w:ascii="Times New Roman" w:hAnsi="Times New Roman" w:eastAsia="仿宋_GB2312" w:cs="Times New Roman"/>
                <w:color w:val="auto"/>
                <w:kern w:val="2"/>
                <w:sz w:val="24"/>
                <w:szCs w:val="24"/>
                <w:lang w:val="en-US" w:eastAsia="zh-CN" w:bidi="ar-SA"/>
              </w:rPr>
              <w:t>。P</w:t>
            </w:r>
            <w:r>
              <w:rPr>
                <w:rFonts w:hint="eastAsia" w:ascii="Times New Roman" w:hAnsi="Times New Roman" w:eastAsia="仿宋_GB2312" w:cs="Times New Roman"/>
                <w:color w:val="auto"/>
                <w:kern w:val="2"/>
                <w:sz w:val="24"/>
                <w:szCs w:val="24"/>
                <w:lang w:val="en-US" w:eastAsia="zh-CN" w:bidi="ar-SA"/>
              </w:rPr>
              <w:t>95</w:t>
            </w:r>
            <w:r>
              <w:rPr>
                <w:rFonts w:hint="default" w:ascii="Times New Roman" w:hAnsi="Times New Roman" w:eastAsia="仿宋_GB2312" w:cs="Times New Roman"/>
                <w:color w:val="auto"/>
                <w:kern w:val="2"/>
                <w:sz w:val="24"/>
                <w:szCs w:val="24"/>
                <w:lang w:val="en-US" w:eastAsia="zh-CN" w:bidi="ar-SA"/>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6、补充环评水保批复；</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已核实，项目相关手续正在办理中。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7、制图不规范，现状图应该有自然局的公章，补充手签字和公章；</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val="en-US" w:eastAsia="zh-CN"/>
              </w:rPr>
              <w:t>已核实，</w:t>
            </w:r>
            <w:r>
              <w:rPr>
                <w:rFonts w:hint="default" w:ascii="Times New Roman" w:hAnsi="Times New Roman" w:eastAsia="仿宋_GB2312" w:cs="Times New Roman"/>
                <w:color w:val="auto"/>
                <w:sz w:val="24"/>
                <w:szCs w:val="24"/>
                <w:lang w:val="en-US" w:eastAsia="zh-CN"/>
              </w:rPr>
              <w:t>地类由建设单位提供，已与自然资源局进行了核对并与勘界报告一致。</w:t>
            </w:r>
            <w:r>
              <w:rPr>
                <w:rFonts w:hint="eastAsia" w:ascii="Times New Roman" w:hAnsi="Times New Roman" w:eastAsia="仿宋_GB2312" w:cs="Times New Roman"/>
                <w:color w:val="auto"/>
                <w:sz w:val="24"/>
                <w:szCs w:val="24"/>
                <w:lang w:val="en-US" w:eastAsia="zh-CN"/>
              </w:rPr>
              <w:t>上报自然资源局时纸质图件团签中补充手签及签章。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8、建议有关数据和问题全报告通改；</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val="en-US" w:eastAsia="zh-CN"/>
              </w:rPr>
              <w:t>已修改，相关工程量及问题进行全方案一致性修改。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喻强</w:t>
            </w: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9</w:t>
            </w:r>
            <w:r>
              <w:rPr>
                <w:rFonts w:hint="default" w:ascii="Times New Roman" w:hAnsi="Times New Roman" w:eastAsia="仿宋_GB2312" w:cs="Times New Roman"/>
                <w:color w:val="auto"/>
                <w:kern w:val="0"/>
                <w:sz w:val="24"/>
                <w:szCs w:val="24"/>
                <w:lang w:val="en-US" w:eastAsia="zh-CN"/>
              </w:rPr>
              <w:t>、P7：编制依据中的政策文件：建议将“《工业项目建设用地控制指标》（自然资源部，2023年修订）”删除，增加自然资源部和自治区自然资源厅有关加强临时用地管理的文件，将《自治区实施土地管理法办法》调整至法律法规</w:t>
            </w:r>
            <w:r>
              <w:rPr>
                <w:rFonts w:hint="eastAsia" w:ascii="Times New Roman" w:hAnsi="Times New Roman" w:eastAsia="仿宋_GB2312" w:cs="Times New Roman"/>
                <w:color w:val="auto"/>
                <w:kern w:val="0"/>
                <w:sz w:val="24"/>
                <w:szCs w:val="24"/>
                <w:lang w:val="en-US" w:eastAsia="zh-CN"/>
              </w:rPr>
              <w:t>。</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补充修改，已删除“《工业项目建设用地控制指标》（自然资源部，2023年修订）”，已补充自然资源部和自治区自然资源厅有关加强临时用地管理的文件，法律法规中已补充《自治区实施土地管理法办法》。P7-8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10</w:t>
            </w:r>
            <w:r>
              <w:rPr>
                <w:rFonts w:hint="default" w:ascii="Times New Roman" w:hAnsi="Times New Roman" w:eastAsia="仿宋_GB2312" w:cs="Times New Roman"/>
                <w:color w:val="auto"/>
                <w:kern w:val="0"/>
                <w:sz w:val="24"/>
                <w:szCs w:val="24"/>
                <w:lang w:val="en-US" w:eastAsia="zh-CN"/>
              </w:rPr>
              <w:t>、P21：“该项目的实施符合《中共中央、国务院关于抓好“三农”领域重点工作确保如期实现全面小康的意见》要求”，建议采用最新的中央有关农村工作的文件</w:t>
            </w:r>
            <w:r>
              <w:rPr>
                <w:rFonts w:hint="eastAsia" w:ascii="Times New Roman" w:hAnsi="Times New Roman" w:eastAsia="仿宋_GB2312" w:cs="Times New Roman"/>
                <w:color w:val="auto"/>
                <w:kern w:val="0"/>
                <w:sz w:val="24"/>
                <w:szCs w:val="24"/>
                <w:lang w:val="en-US" w:eastAsia="zh-CN"/>
              </w:rPr>
              <w:t>。</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default" w:ascii="Times New Roman" w:hAnsi="Times New Roman" w:eastAsia="仿宋_GB2312" w:cs="Times New Roman"/>
                <w:color w:val="auto"/>
                <w:sz w:val="24"/>
                <w:szCs w:val="24"/>
                <w:lang w:val="en-US" w:eastAsia="zh-CN"/>
              </w:rPr>
              <w:t>已补充修改，</w:t>
            </w:r>
            <w:r>
              <w:rPr>
                <w:rFonts w:hint="eastAsia" w:ascii="Times New Roman" w:hAnsi="Times New Roman" w:eastAsia="仿宋_GB2312" w:cs="Times New Roman"/>
                <w:color w:val="auto"/>
                <w:sz w:val="24"/>
                <w:szCs w:val="24"/>
                <w:lang w:val="en-US" w:eastAsia="zh-CN"/>
              </w:rPr>
              <w:t>c）项目占用水浇地必要性及合理性中已补充“《中共中央、国务院关于学习运用“千村示范、万村整治”工程经验有力有效推进乡村全面振兴的意见》”。P21页</w:t>
            </w:r>
            <w:r>
              <w:rPr>
                <w:rFonts w:hint="default" w:ascii="Times New Roman" w:hAnsi="Times New Roman" w:eastAsia="仿宋_GB2312"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11</w:t>
            </w:r>
            <w:r>
              <w:rPr>
                <w:rFonts w:hint="default" w:ascii="Times New Roman" w:hAnsi="Times New Roman" w:eastAsia="仿宋_GB2312" w:cs="Times New Roman"/>
                <w:color w:val="auto"/>
                <w:kern w:val="0"/>
                <w:sz w:val="24"/>
                <w:szCs w:val="24"/>
                <w:lang w:val="en-US" w:eastAsia="zh-CN"/>
              </w:rPr>
              <w:t>、P37: 适宜性评价单元复垦为原地类的可行性分析中，涉及农业设施建设用地、住宅用地、工矿用地、交通运输用地等建设用地，补充说明是否有地上建筑物和构筑物。</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已补充修改，c）适宜性评价单元复垦为原地类的可行性分析中已补充农业设施建设用地、住宅用地、工矿用地、交通运输用地无地上建筑物。P37页。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张朝勇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12</w:t>
            </w:r>
            <w:r>
              <w:rPr>
                <w:rFonts w:hint="default" w:ascii="Times New Roman" w:hAnsi="Times New Roman" w:eastAsia="仿宋_GB2312" w:cs="Times New Roman"/>
                <w:color w:val="auto"/>
                <w:kern w:val="0"/>
                <w:sz w:val="24"/>
                <w:szCs w:val="24"/>
                <w:lang w:val="en-US" w:eastAsia="zh-CN"/>
              </w:rPr>
              <w:t>、植被章节应分别说明水浇地的种植作物及产量、果园的果树类型及产量，其他植被的覆盖度。果园、乔木林地、其他林地的损毁应具体到树木的颗数。</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sz w:val="24"/>
                <w:szCs w:val="24"/>
                <w:lang w:val="en-US" w:eastAsia="zh-CN"/>
              </w:rPr>
            </w:pPr>
            <w:r>
              <w:rPr>
                <w:rFonts w:hint="eastAsia" w:ascii="Times New Roman" w:hAnsi="Times New Roman" w:eastAsia="仿宋_GB2312" w:cs="Times New Roman"/>
                <w:color w:val="auto"/>
                <w:sz w:val="24"/>
                <w:szCs w:val="24"/>
                <w:lang w:val="en-US" w:eastAsia="zh-CN"/>
              </w:rPr>
              <w:t>已修改，3.2.5植被中已补充“。依据现场调查，水浇地种植农作物为玉米；果园种植枣树401棵，核桃树544棵，西梅76棵；乔木林地、其他林地主要树种为白杨树809棵、柳树18棵。”。P15页。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13</w:t>
            </w:r>
            <w:r>
              <w:rPr>
                <w:rFonts w:hint="default" w:ascii="Times New Roman" w:hAnsi="Times New Roman" w:eastAsia="仿宋_GB2312" w:cs="Times New Roman"/>
                <w:color w:val="auto"/>
                <w:kern w:val="0"/>
                <w:sz w:val="24"/>
                <w:szCs w:val="24"/>
                <w:lang w:val="en-US" w:eastAsia="zh-CN"/>
              </w:rPr>
              <w:t>、临时用地用于修建供水管线，用地期限后修建的供水管线是拆除还是继续使用转为永久用地未说明。</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已核实，用地期限后供水管线不拆除。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4"/>
                <w:szCs w:val="24"/>
                <w:lang w:val="en-US" w:eastAsia="zh-CN"/>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14</w:t>
            </w:r>
            <w:r>
              <w:rPr>
                <w:rFonts w:hint="default" w:ascii="Times New Roman" w:hAnsi="Times New Roman" w:eastAsia="仿宋_GB2312" w:cs="Times New Roman"/>
                <w:color w:val="auto"/>
                <w:kern w:val="0"/>
                <w:sz w:val="24"/>
                <w:szCs w:val="24"/>
                <w:lang w:val="en-US" w:eastAsia="zh-CN"/>
              </w:rPr>
              <w:t>、水资源需求分析中、6.2.4  管护措施中缺少水浇地、果园的需水量及供水方式说明。</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已补充，6.2.4管护措施</w:t>
            </w:r>
            <w:r>
              <w:rPr>
                <w:rFonts w:hint="eastAsia" w:ascii="Times New Roman" w:hAnsi="Times New Roman" w:eastAsia="仿宋_GB2312" w:cs="Times New Roman"/>
                <w:color w:val="auto"/>
                <w:kern w:val="0"/>
                <w:sz w:val="24"/>
                <w:szCs w:val="24"/>
                <w:lang w:val="en-US" w:eastAsia="zh-CN"/>
              </w:rPr>
              <w:t>中已补充“水浇地、果园复垦完成后交还权利人，由权利人自行耕种。”</w:t>
            </w:r>
            <w:r>
              <w:rPr>
                <w:rFonts w:hint="default" w:ascii="Times New Roman" w:hAnsi="Times New Roman" w:eastAsia="仿宋_GB2312" w:cs="Times New Roman"/>
                <w:color w:val="auto"/>
                <w:kern w:val="0"/>
                <w:sz w:val="24"/>
                <w:szCs w:val="24"/>
                <w:lang w:val="en-US" w:eastAsia="zh-CN"/>
              </w:rPr>
              <w:t>。P</w:t>
            </w:r>
            <w:r>
              <w:rPr>
                <w:rFonts w:hint="eastAsia" w:ascii="Times New Roman" w:hAnsi="Times New Roman" w:eastAsia="仿宋_GB2312" w:cs="Times New Roman"/>
                <w:color w:val="auto"/>
                <w:kern w:val="0"/>
                <w:sz w:val="24"/>
                <w:szCs w:val="24"/>
                <w:lang w:val="en-US" w:eastAsia="zh-CN"/>
              </w:rPr>
              <w:t>47</w:t>
            </w:r>
            <w:r>
              <w:rPr>
                <w:rFonts w:hint="default" w:ascii="Times New Roman" w:hAnsi="Times New Roman" w:eastAsia="仿宋_GB2312" w:cs="Times New Roman"/>
                <w:color w:val="auto"/>
                <w:kern w:val="0"/>
                <w:sz w:val="24"/>
                <w:szCs w:val="24"/>
                <w:lang w:val="en-US" w:eastAsia="zh-CN"/>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4"/>
                <w:szCs w:val="24"/>
                <w:lang w:val="en-US" w:eastAsia="zh-CN"/>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15</w:t>
            </w:r>
            <w:r>
              <w:rPr>
                <w:rFonts w:hint="default" w:ascii="Times New Roman" w:hAnsi="Times New Roman" w:eastAsia="仿宋_GB2312" w:cs="Times New Roman"/>
                <w:color w:val="auto"/>
                <w:kern w:val="0"/>
                <w:sz w:val="24"/>
                <w:szCs w:val="24"/>
                <w:lang w:val="en-US" w:eastAsia="zh-CN"/>
              </w:rPr>
              <w:t>、 b）植被的筛选与种植说明了草地类型，缺少水浇地、果园、乔木林地、其他林地的说 明，从临时用地的占地类型应着重说明这些情况。</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已补充，b）植被的筛选与种植中已补充“水浇地、果园复垦完成后交还权利人，由权利人自行耕种。乔木及灌木根系较长，根系生长影响管线使用安全，林地区域采用撒播草籽措施恢复植被。”。P45页。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16</w:t>
            </w:r>
            <w:r>
              <w:rPr>
                <w:rFonts w:hint="default" w:ascii="Times New Roman" w:hAnsi="Times New Roman" w:eastAsia="仿宋_GB2312" w:cs="Times New Roman"/>
                <w:color w:val="auto"/>
                <w:kern w:val="0"/>
                <w:sz w:val="24"/>
                <w:szCs w:val="24"/>
                <w:lang w:val="en-US" w:eastAsia="zh-CN"/>
              </w:rPr>
              <w:t>、表 8.2-2 工程施工费估算表中只有耕地区、林地区的表土剥离等费用，无草地的表土剥离等费用。植被恢复工程中是撒播草籽（林地区）错误，林地区应为种植乔木。撒播草籽应是草地区。缺少林地种植树木。</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已修改，表 8.2-2 工程施工费估算表已修改为“林地及草地区”，乔木及灌木根系较长，根系生长影响管线使用安全，林地区域采用撒播草籽措施恢复植被，林地区按照其他草地复垦。P63页。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17、P37 中表土回覆、土地平整、松土、土壤培肥措施，恢复到原有耕作水平交还给权利人种植。表土回覆、土地平整、松土、土壤培肥措施，恢复到原有园地水平交还给权利人种植。未说明补偿协议中费用是否包含后期的恢复种植费用（如果园的果树重植及达到原有产量期间的费用等）。</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已核实，耕地及果园补偿协议中已一次性补偿，该补充费用中已包含土地复垦期间农产品及土地使用费用。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18</w:t>
            </w:r>
            <w:r>
              <w:rPr>
                <w:rFonts w:hint="default" w:ascii="Times New Roman" w:hAnsi="Times New Roman" w:eastAsia="仿宋_GB2312" w:cs="Times New Roman"/>
                <w:color w:val="auto"/>
                <w:kern w:val="0"/>
                <w:sz w:val="24"/>
                <w:szCs w:val="24"/>
                <w:lang w:val="en-US" w:eastAsia="zh-CN"/>
              </w:rPr>
              <w:t>、表 8.2-3  其他费用估算表中金额（万元），工程验收费显示为 0.00 ，需调整。</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已修改，表 8.2-3  其他费用估算表已修改</w:t>
            </w:r>
            <w:r>
              <w:rPr>
                <w:rFonts w:hint="default" w:ascii="Times New Roman" w:hAnsi="Times New Roman" w:eastAsia="仿宋_GB2312" w:cs="Times New Roman"/>
                <w:color w:val="auto"/>
                <w:kern w:val="0"/>
                <w:sz w:val="24"/>
                <w:szCs w:val="24"/>
                <w:lang w:val="en-US" w:eastAsia="zh-CN"/>
              </w:rPr>
              <w:t>。</w:t>
            </w:r>
            <w:r>
              <w:rPr>
                <w:rFonts w:hint="eastAsia" w:ascii="Times New Roman" w:hAnsi="Times New Roman" w:eastAsia="仿宋_GB2312" w:cs="Times New Roman"/>
                <w:color w:val="auto"/>
                <w:kern w:val="0"/>
                <w:sz w:val="24"/>
                <w:szCs w:val="24"/>
                <w:lang w:val="en-US" w:eastAsia="zh-CN"/>
              </w:rPr>
              <w:t>P64页。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19、 表 8.2-5  复垦监测费与管护费用估算表中洒水灌溉工程补播种草（林地区）错误。</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已修改，表 8.2-5复垦监测费与管护费用估算表中已修改为“林地及草地区”P64页。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20、因占用水浇地，需附当地自然资源部门的现场踏勘意见。</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已补充，已补充泽普县局踏勘说明，见附件6。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1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4"/>
                <w:szCs w:val="24"/>
              </w:rPr>
            </w:pPr>
          </w:p>
        </w:tc>
        <w:tc>
          <w:tcPr>
            <w:tcW w:w="3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21、附图缺自然资源部门盖章、缺林草部门意见。</w:t>
            </w:r>
          </w:p>
        </w:tc>
        <w:tc>
          <w:tcPr>
            <w:tcW w:w="40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仿宋_GB2312" w:cs="Times New Roman"/>
                <w:color w:val="0000FF"/>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已核实，地类由建设单位提供，已与自然资源局进行了核对并与勘界报告一致。林草部门相关手续正在办理。</w:t>
            </w:r>
          </w:p>
        </w:tc>
      </w:tr>
    </w:tbl>
    <w:p>
      <w:pPr>
        <w:adjustRightInd/>
        <w:spacing w:line="360" w:lineRule="auto"/>
        <w:ind w:firstLine="0" w:firstLineChars="0"/>
        <w:textAlignment w:val="auto"/>
        <w:rPr>
          <w:rFonts w:ascii="TIME" w:hAnsi="TIME" w:eastAsia="方正仿宋简体" w:cs="TIME"/>
          <w:sz w:val="21"/>
        </w:rPr>
      </w:pPr>
    </w:p>
    <w:p>
      <w:pPr>
        <w:rPr>
          <w:rFonts w:hint="eastAsia"/>
        </w:rPr>
        <w:sectPr>
          <w:pgSz w:w="11906" w:h="16838"/>
          <w:pgMar w:top="1418" w:right="1247" w:bottom="1418" w:left="1247" w:header="851" w:footer="992" w:gutter="340"/>
          <w:pgNumType w:fmt="upperRoman" w:start="1"/>
          <w:cols w:space="720" w:num="1"/>
          <w:docGrid w:type="linesAndChars" w:linePitch="326" w:charSpace="0"/>
        </w:sectPr>
      </w:pPr>
    </w:p>
    <w:p>
      <w:pPr>
        <w:rPr>
          <w:rFonts w:hint="eastAsia"/>
        </w:rPr>
        <w:sectPr>
          <w:pgSz w:w="11906" w:h="16838"/>
          <w:pgMar w:top="1418" w:right="1247" w:bottom="1418" w:left="1247" w:header="851" w:footer="992" w:gutter="340"/>
          <w:pgNumType w:fmt="upperRoman" w:start="1"/>
          <w:cols w:space="720" w:num="1"/>
          <w:docGrid w:type="linesAndChars" w:linePitch="326" w:charSpace="0"/>
        </w:sectPr>
      </w:pPr>
    </w:p>
    <w:p>
      <w:pPr>
        <w:pStyle w:val="5"/>
        <w:rPr>
          <w:szCs w:val="32"/>
        </w:rPr>
      </w:pPr>
      <w:r>
        <w:rPr>
          <w:rFonts w:hint="eastAsia" w:ascii="仿宋_GB2312" w:hAnsi="仿宋_GB2312" w:eastAsia="仿宋_GB2312" w:cs="仿宋_GB2312"/>
          <w:szCs w:val="32"/>
        </w:rPr>
        <w:t>目录</w:t>
      </w:r>
      <w:bookmarkEnd w:id="3"/>
      <w:bookmarkEnd w:id="4"/>
      <w:bookmarkEnd w:id="5"/>
      <w:bookmarkEnd w:id="6"/>
    </w:p>
    <w:p>
      <w:pPr>
        <w:pStyle w:val="75"/>
        <w:tabs>
          <w:tab w:val="right" w:leader="dot" w:pos="9072"/>
          <w:tab w:val="clear" w:pos="8295"/>
        </w:tabs>
        <w:spacing w:line="360" w:lineRule="auto"/>
        <w:ind w:firstLine="0" w:firstLineChars="0"/>
        <w:rPr>
          <w:rFonts w:eastAsia="仿宋_GB2312"/>
        </w:rPr>
      </w:pPr>
      <w:r>
        <w:fldChar w:fldCharType="begin"/>
      </w:r>
      <w:r>
        <w:instrText xml:space="preserve">TOC \o "1-2" \h \u </w:instrText>
      </w:r>
      <w:r>
        <w:fldChar w:fldCharType="separate"/>
      </w:r>
      <w:r>
        <w:fldChar w:fldCharType="begin"/>
      </w:r>
      <w:r>
        <w:instrText xml:space="preserve"> HYPERLINK \l "_Toc24663" </w:instrText>
      </w:r>
      <w:r>
        <w:fldChar w:fldCharType="separate"/>
      </w:r>
      <w:r>
        <w:rPr>
          <w:rFonts w:hint="eastAsia" w:eastAsia="仿宋_GB2312"/>
        </w:rPr>
        <w:t>1前言</w:t>
      </w:r>
      <w:r>
        <w:rPr>
          <w:rFonts w:hint="eastAsia" w:eastAsia="仿宋_GB2312"/>
        </w:rPr>
        <w:tab/>
      </w:r>
      <w:r>
        <w:rPr>
          <w:rFonts w:hint="eastAsia" w:eastAsia="仿宋_GB2312"/>
        </w:rPr>
        <w:fldChar w:fldCharType="begin"/>
      </w:r>
      <w:r>
        <w:rPr>
          <w:rFonts w:hint="eastAsia" w:eastAsia="仿宋_GB2312"/>
        </w:rPr>
        <w:instrText xml:space="preserve"> PAGEREF _Toc24663 \h </w:instrText>
      </w:r>
      <w:r>
        <w:rPr>
          <w:rFonts w:hint="eastAsia" w:eastAsia="仿宋_GB2312"/>
        </w:rPr>
        <w:fldChar w:fldCharType="separate"/>
      </w:r>
      <w:r>
        <w:rPr>
          <w:rFonts w:hint="eastAsia" w:eastAsia="仿宋_GB2312"/>
        </w:rPr>
        <w:t>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"_Toc10701" </w:instrText>
      </w:r>
      <w:r>
        <w:fldChar w:fldCharType="separate"/>
      </w:r>
      <w:r>
        <w:rPr>
          <w:rFonts w:hint="eastAsia" w:eastAsia="仿宋_GB2312"/>
        </w:rPr>
        <w:t>1.1编制背景及过程</w:t>
      </w:r>
      <w:r>
        <w:rPr>
          <w:rFonts w:hint="eastAsia" w:eastAsia="仿宋_GB2312"/>
        </w:rPr>
        <w:tab/>
      </w:r>
      <w:r>
        <w:rPr>
          <w:rFonts w:hint="eastAsia" w:eastAsia="仿宋_GB2312"/>
        </w:rPr>
        <w:fldChar w:fldCharType="begin"/>
      </w:r>
      <w:r>
        <w:rPr>
          <w:rFonts w:hint="eastAsia" w:eastAsia="仿宋_GB2312"/>
        </w:rPr>
        <w:instrText xml:space="preserve"> PAGEREF _Toc10701 \h </w:instrText>
      </w:r>
      <w:r>
        <w:rPr>
          <w:rFonts w:hint="eastAsia" w:eastAsia="仿宋_GB2312"/>
        </w:rPr>
        <w:fldChar w:fldCharType="separate"/>
      </w:r>
      <w:r>
        <w:rPr>
          <w:rFonts w:hint="eastAsia" w:eastAsia="仿宋_GB2312"/>
        </w:rPr>
        <w:t>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"_Toc6911" </w:instrText>
      </w:r>
      <w:r>
        <w:fldChar w:fldCharType="separate"/>
      </w:r>
      <w:r>
        <w:rPr>
          <w:rFonts w:hint="eastAsia" w:eastAsia="仿宋_GB2312"/>
        </w:rPr>
        <w:t>1.2复垦方案摘要</w:t>
      </w:r>
      <w:r>
        <w:rPr>
          <w:rFonts w:hint="eastAsia" w:eastAsia="仿宋_GB2312"/>
        </w:rPr>
        <w:tab/>
      </w:r>
      <w:r>
        <w:rPr>
          <w:rFonts w:hint="eastAsia" w:eastAsia="仿宋_GB2312"/>
        </w:rPr>
        <w:fldChar w:fldCharType="begin"/>
      </w:r>
      <w:r>
        <w:rPr>
          <w:rFonts w:hint="eastAsia" w:eastAsia="仿宋_GB2312"/>
        </w:rPr>
        <w:instrText xml:space="preserve"> PAGEREF _Toc6911 \h </w:instrText>
      </w:r>
      <w:r>
        <w:rPr>
          <w:rFonts w:hint="eastAsia" w:eastAsia="仿宋_GB2312"/>
        </w:rPr>
        <w:fldChar w:fldCharType="separate"/>
      </w:r>
      <w:r>
        <w:rPr>
          <w:rFonts w:hint="eastAsia" w:eastAsia="仿宋_GB2312"/>
        </w:rPr>
        <w:t>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"_Toc8605" </w:instrText>
      </w:r>
      <w:r>
        <w:fldChar w:fldCharType="separate"/>
      </w:r>
      <w:r>
        <w:rPr>
          <w:rFonts w:hint="eastAsia" w:eastAsia="仿宋_GB2312"/>
        </w:rPr>
        <w:t>2编制总则</w:t>
      </w:r>
      <w:r>
        <w:rPr>
          <w:rFonts w:hint="eastAsia" w:eastAsia="仿宋_GB2312"/>
        </w:rPr>
        <w:tab/>
      </w:r>
      <w:r>
        <w:rPr>
          <w:rFonts w:hint="eastAsia" w:eastAsia="仿宋_GB2312"/>
        </w:rPr>
        <w:fldChar w:fldCharType="begin"/>
      </w:r>
      <w:r>
        <w:rPr>
          <w:rFonts w:hint="eastAsia" w:eastAsia="仿宋_GB2312"/>
        </w:rPr>
        <w:instrText xml:space="preserve"> PAGEREF _Toc8605 \h </w:instrText>
      </w:r>
      <w:r>
        <w:rPr>
          <w:rFonts w:hint="eastAsia" w:eastAsia="仿宋_GB2312"/>
        </w:rPr>
        <w:fldChar w:fldCharType="separate"/>
      </w:r>
      <w:r>
        <w:rPr>
          <w:rFonts w:hint="eastAsia" w:eastAsia="仿宋_GB2312"/>
        </w:rPr>
        <w:t>6</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"_Toc30295" </w:instrText>
      </w:r>
      <w:r>
        <w:fldChar w:fldCharType="separate"/>
      </w:r>
      <w:r>
        <w:rPr>
          <w:rFonts w:hint="eastAsia" w:eastAsia="仿宋_GB2312"/>
        </w:rPr>
        <w:t>2.1编制目的</w:t>
      </w:r>
      <w:r>
        <w:rPr>
          <w:rFonts w:hint="eastAsia" w:eastAsia="仿宋_GB2312"/>
        </w:rPr>
        <w:tab/>
      </w:r>
      <w:r>
        <w:rPr>
          <w:rFonts w:hint="eastAsia" w:eastAsia="仿宋_GB2312"/>
        </w:rPr>
        <w:fldChar w:fldCharType="begin"/>
      </w:r>
      <w:r>
        <w:rPr>
          <w:rFonts w:hint="eastAsia" w:eastAsia="仿宋_GB2312"/>
        </w:rPr>
        <w:instrText xml:space="preserve"> PAGEREF _Toc30295 \h </w:instrText>
      </w:r>
      <w:r>
        <w:rPr>
          <w:rFonts w:hint="eastAsia" w:eastAsia="仿宋_GB2312"/>
        </w:rPr>
        <w:fldChar w:fldCharType="separate"/>
      </w:r>
      <w:r>
        <w:rPr>
          <w:rFonts w:hint="eastAsia" w:eastAsia="仿宋_GB2312"/>
        </w:rPr>
        <w:t>6</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"_Toc6365" </w:instrText>
      </w:r>
      <w:r>
        <w:fldChar w:fldCharType="separate"/>
      </w:r>
      <w:r>
        <w:rPr>
          <w:rFonts w:hint="eastAsia" w:eastAsia="仿宋_GB2312"/>
        </w:rPr>
        <w:t>2.2编制原则</w:t>
      </w:r>
      <w:r>
        <w:rPr>
          <w:rFonts w:hint="eastAsia" w:eastAsia="仿宋_GB2312"/>
        </w:rPr>
        <w:tab/>
      </w:r>
      <w:r>
        <w:rPr>
          <w:rFonts w:hint="eastAsia" w:eastAsia="仿宋_GB2312"/>
        </w:rPr>
        <w:fldChar w:fldCharType="begin"/>
      </w:r>
      <w:r>
        <w:rPr>
          <w:rFonts w:hint="eastAsia" w:eastAsia="仿宋_GB2312"/>
        </w:rPr>
        <w:instrText xml:space="preserve"> PAGEREF _Toc6365 \h </w:instrText>
      </w:r>
      <w:r>
        <w:rPr>
          <w:rFonts w:hint="eastAsia" w:eastAsia="仿宋_GB2312"/>
        </w:rPr>
        <w:fldChar w:fldCharType="separate"/>
      </w:r>
      <w:r>
        <w:rPr>
          <w:rFonts w:hint="eastAsia" w:eastAsia="仿宋_GB2312"/>
        </w:rPr>
        <w:t>6</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"_Toc32732" </w:instrText>
      </w:r>
      <w:r>
        <w:fldChar w:fldCharType="separate"/>
      </w:r>
      <w:r>
        <w:rPr>
          <w:rFonts w:hint="eastAsia" w:eastAsia="仿宋_GB2312"/>
        </w:rPr>
        <w:t>2.3编制依据</w:t>
      </w:r>
      <w:r>
        <w:rPr>
          <w:rFonts w:hint="eastAsia" w:eastAsia="仿宋_GB2312"/>
        </w:rPr>
        <w:tab/>
      </w:r>
      <w:r>
        <w:rPr>
          <w:rFonts w:hint="eastAsia" w:eastAsia="仿宋_GB2312"/>
        </w:rPr>
        <w:fldChar w:fldCharType="begin"/>
      </w:r>
      <w:r>
        <w:rPr>
          <w:rFonts w:hint="eastAsia" w:eastAsia="仿宋_GB2312"/>
        </w:rPr>
        <w:instrText xml:space="preserve"> PAGEREF _Toc32732 \h </w:instrText>
      </w:r>
      <w:r>
        <w:rPr>
          <w:rFonts w:hint="eastAsia" w:eastAsia="仿宋_GB2312"/>
        </w:rPr>
        <w:fldChar w:fldCharType="separate"/>
      </w:r>
      <w:r>
        <w:rPr>
          <w:rFonts w:hint="eastAsia" w:eastAsia="仿宋_GB2312"/>
        </w:rPr>
        <w:t>6</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"_Toc3352" </w:instrText>
      </w:r>
      <w:r>
        <w:fldChar w:fldCharType="separate"/>
      </w:r>
      <w:r>
        <w:rPr>
          <w:rFonts w:hint="eastAsia" w:eastAsia="仿宋_GB2312"/>
        </w:rPr>
        <w:t>2.4编制技术路线</w:t>
      </w:r>
      <w:r>
        <w:rPr>
          <w:rFonts w:hint="eastAsia" w:eastAsia="仿宋_GB2312"/>
        </w:rPr>
        <w:tab/>
      </w:r>
      <w:r>
        <w:rPr>
          <w:rFonts w:hint="eastAsia" w:eastAsia="仿宋_GB2312"/>
        </w:rPr>
        <w:fldChar w:fldCharType="begin"/>
      </w:r>
      <w:r>
        <w:rPr>
          <w:rFonts w:hint="eastAsia" w:eastAsia="仿宋_GB2312"/>
        </w:rPr>
        <w:instrText xml:space="preserve"> PAGEREF _Toc3352 \h </w:instrText>
      </w:r>
      <w:r>
        <w:rPr>
          <w:rFonts w:hint="eastAsia" w:eastAsia="仿宋_GB2312"/>
        </w:rPr>
        <w:fldChar w:fldCharType="separate"/>
      </w:r>
      <w:r>
        <w:rPr>
          <w:rFonts w:hint="eastAsia" w:eastAsia="仿宋_GB2312"/>
        </w:rPr>
        <w:t>10</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"_Toc21741" </w:instrText>
      </w:r>
      <w:r>
        <w:fldChar w:fldCharType="separate"/>
      </w:r>
      <w:r>
        <w:rPr>
          <w:rFonts w:hint="eastAsia" w:eastAsia="仿宋_GB2312"/>
        </w:rPr>
        <w:t>3项目概况</w:t>
      </w:r>
      <w:r>
        <w:rPr>
          <w:rFonts w:hint="eastAsia" w:eastAsia="仿宋_GB2312"/>
        </w:rPr>
        <w:tab/>
      </w:r>
      <w:r>
        <w:rPr>
          <w:rFonts w:hint="eastAsia" w:eastAsia="仿宋_GB2312"/>
        </w:rPr>
        <w:fldChar w:fldCharType="begin"/>
      </w:r>
      <w:r>
        <w:rPr>
          <w:rFonts w:hint="eastAsia" w:eastAsia="仿宋_GB2312"/>
        </w:rPr>
        <w:instrText xml:space="preserve"> PAGEREF _Toc21741 \h </w:instrText>
      </w:r>
      <w:r>
        <w:rPr>
          <w:rFonts w:hint="eastAsia" w:eastAsia="仿宋_GB2312"/>
        </w:rPr>
        <w:fldChar w:fldCharType="separate"/>
      </w:r>
      <w:r>
        <w:rPr>
          <w:rFonts w:hint="eastAsia" w:eastAsia="仿宋_GB2312"/>
        </w:rPr>
        <w:t>11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"_Toc19523" </w:instrText>
      </w:r>
      <w:r>
        <w:fldChar w:fldCharType="separate"/>
      </w:r>
      <w:r>
        <w:rPr>
          <w:rFonts w:hint="eastAsia" w:eastAsia="仿宋_GB2312"/>
        </w:rPr>
        <w:t>3.1项目简介</w:t>
      </w:r>
      <w:r>
        <w:rPr>
          <w:rFonts w:hint="eastAsia" w:eastAsia="仿宋_GB2312"/>
        </w:rPr>
        <w:tab/>
      </w:r>
      <w:r>
        <w:rPr>
          <w:rFonts w:hint="eastAsia" w:eastAsia="仿宋_GB2312"/>
        </w:rPr>
        <w:fldChar w:fldCharType="begin"/>
      </w:r>
      <w:r>
        <w:rPr>
          <w:rFonts w:hint="eastAsia" w:eastAsia="仿宋_GB2312"/>
        </w:rPr>
        <w:instrText xml:space="preserve"> PAGEREF _Toc19523 \h </w:instrText>
      </w:r>
      <w:r>
        <w:rPr>
          <w:rFonts w:hint="eastAsia" w:eastAsia="仿宋_GB2312"/>
        </w:rPr>
        <w:fldChar w:fldCharType="separate"/>
      </w:r>
      <w:r>
        <w:rPr>
          <w:rFonts w:hint="eastAsia" w:eastAsia="仿宋_GB2312"/>
        </w:rPr>
        <w:t>11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"_Toc24944" </w:instrText>
      </w:r>
      <w:r>
        <w:fldChar w:fldCharType="separate"/>
      </w:r>
      <w:r>
        <w:rPr>
          <w:rFonts w:hint="eastAsia" w:eastAsia="仿宋_GB2312"/>
        </w:rPr>
        <w:t>3.2项目区自然概况</w:t>
      </w:r>
      <w:r>
        <w:rPr>
          <w:rFonts w:hint="eastAsia" w:eastAsia="仿宋_GB2312"/>
        </w:rPr>
        <w:tab/>
      </w:r>
      <w:r>
        <w:rPr>
          <w:rFonts w:hint="eastAsia" w:eastAsia="仿宋_GB2312"/>
        </w:rPr>
        <w:fldChar w:fldCharType="begin"/>
      </w:r>
      <w:r>
        <w:rPr>
          <w:rFonts w:hint="eastAsia" w:eastAsia="仿宋_GB2312"/>
        </w:rPr>
        <w:instrText xml:space="preserve"> PAGEREF _Toc24944 \h </w:instrText>
      </w:r>
      <w:r>
        <w:rPr>
          <w:rFonts w:hint="eastAsia" w:eastAsia="仿宋_GB2312"/>
        </w:rPr>
        <w:fldChar w:fldCharType="separate"/>
      </w:r>
      <w:r>
        <w:rPr>
          <w:rFonts w:hint="eastAsia" w:eastAsia="仿宋_GB2312"/>
        </w:rPr>
        <w:t>12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"_Toc14673" </w:instrText>
      </w:r>
      <w:r>
        <w:fldChar w:fldCharType="separate"/>
      </w:r>
      <w:r>
        <w:rPr>
          <w:rFonts w:hint="eastAsia" w:eastAsia="仿宋_GB2312"/>
        </w:rPr>
        <w:t>3.3项目区社会经济概况</w:t>
      </w:r>
      <w:r>
        <w:rPr>
          <w:rFonts w:hint="eastAsia" w:eastAsia="仿宋_GB2312"/>
        </w:rPr>
        <w:tab/>
      </w:r>
      <w:r>
        <w:rPr>
          <w:rFonts w:hint="eastAsia" w:eastAsia="仿宋_GB2312"/>
        </w:rPr>
        <w:fldChar w:fldCharType="begin"/>
      </w:r>
      <w:r>
        <w:rPr>
          <w:rFonts w:hint="eastAsia" w:eastAsia="仿宋_GB2312"/>
        </w:rPr>
        <w:instrText xml:space="preserve"> PAGEREF _Toc14673 \h </w:instrText>
      </w:r>
      <w:r>
        <w:rPr>
          <w:rFonts w:hint="eastAsia" w:eastAsia="仿宋_GB2312"/>
        </w:rPr>
        <w:fldChar w:fldCharType="separate"/>
      </w:r>
      <w:r>
        <w:rPr>
          <w:rFonts w:hint="eastAsia" w:eastAsia="仿宋_GB2312"/>
        </w:rPr>
        <w:t>18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"_Toc4262" </w:instrText>
      </w:r>
      <w:r>
        <w:fldChar w:fldCharType="separate"/>
      </w:r>
      <w:r>
        <w:rPr>
          <w:rFonts w:hint="eastAsia" w:eastAsia="仿宋_GB2312"/>
        </w:rPr>
        <w:t>3.4项目区土地利用状况</w:t>
      </w:r>
      <w:r>
        <w:rPr>
          <w:rFonts w:hint="eastAsia" w:eastAsia="仿宋_GB2312"/>
        </w:rPr>
        <w:tab/>
      </w:r>
      <w:r>
        <w:rPr>
          <w:rFonts w:hint="eastAsia" w:eastAsia="仿宋_GB2312"/>
        </w:rPr>
        <w:fldChar w:fldCharType="begin"/>
      </w:r>
      <w:r>
        <w:rPr>
          <w:rFonts w:hint="eastAsia" w:eastAsia="仿宋_GB2312"/>
        </w:rPr>
        <w:instrText xml:space="preserve"> PAGEREF _Toc4262 \h </w:instrText>
      </w:r>
      <w:r>
        <w:rPr>
          <w:rFonts w:hint="eastAsia" w:eastAsia="仿宋_GB2312"/>
        </w:rPr>
        <w:fldChar w:fldCharType="separate"/>
      </w:r>
      <w:r>
        <w:rPr>
          <w:rFonts w:hint="eastAsia" w:eastAsia="仿宋_GB2312"/>
        </w:rPr>
        <w:t>19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"_Toc15914" </w:instrText>
      </w:r>
      <w:r>
        <w:fldChar w:fldCharType="separate"/>
      </w:r>
      <w:r>
        <w:rPr>
          <w:rFonts w:eastAsia="仿宋_GB2312"/>
        </w:rPr>
        <w:t>3.5项目占用</w:t>
      </w:r>
      <w:r>
        <w:rPr>
          <w:rFonts w:hint="eastAsia" w:eastAsia="仿宋_GB2312"/>
        </w:rPr>
        <w:t>耕地</w:t>
      </w:r>
      <w:r>
        <w:rPr>
          <w:rFonts w:eastAsia="仿宋_GB2312"/>
        </w:rPr>
        <w:t>情况及必要性分析</w:t>
      </w:r>
      <w:r>
        <w:rPr>
          <w:rFonts w:hint="eastAsia" w:eastAsia="仿宋_GB2312"/>
        </w:rPr>
        <w:tab/>
      </w:r>
      <w:r>
        <w:rPr>
          <w:rFonts w:hint="eastAsia" w:eastAsia="仿宋_GB2312"/>
        </w:rPr>
        <w:fldChar w:fldCharType="begin"/>
      </w:r>
      <w:r>
        <w:rPr>
          <w:rFonts w:hint="eastAsia" w:eastAsia="仿宋_GB2312"/>
        </w:rPr>
        <w:instrText xml:space="preserve"> PAGEREF _Toc15914 \h </w:instrText>
      </w:r>
      <w:r>
        <w:rPr>
          <w:rFonts w:hint="eastAsia" w:eastAsia="仿宋_GB2312"/>
        </w:rPr>
        <w:fldChar w:fldCharType="separate"/>
      </w:r>
      <w:r>
        <w:rPr>
          <w:rFonts w:hint="eastAsia" w:eastAsia="仿宋_GB2312"/>
        </w:rPr>
        <w:t>21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"_Toc27075" </w:instrText>
      </w:r>
      <w:r>
        <w:fldChar w:fldCharType="separate"/>
      </w:r>
      <w:r>
        <w:rPr>
          <w:rFonts w:hint="eastAsia" w:eastAsia="仿宋_GB2312"/>
        </w:rPr>
        <w:t>4土地复垦方向可行性分析</w:t>
      </w:r>
      <w:r>
        <w:rPr>
          <w:rFonts w:hint="eastAsia" w:eastAsia="仿宋_GB2312"/>
        </w:rPr>
        <w:tab/>
      </w:r>
      <w:r>
        <w:rPr>
          <w:rFonts w:hint="eastAsia" w:eastAsia="仿宋_GB2312"/>
        </w:rPr>
        <w:fldChar w:fldCharType="begin"/>
      </w:r>
      <w:r>
        <w:rPr>
          <w:rFonts w:hint="eastAsia" w:eastAsia="仿宋_GB2312"/>
        </w:rPr>
        <w:instrText xml:space="preserve"> PAGEREF _Toc27075 \h </w:instrText>
      </w:r>
      <w:r>
        <w:rPr>
          <w:rFonts w:hint="eastAsia" w:eastAsia="仿宋_GB2312"/>
        </w:rPr>
        <w:fldChar w:fldCharType="separate"/>
      </w:r>
      <w:r>
        <w:rPr>
          <w:rFonts w:hint="eastAsia" w:eastAsia="仿宋_GB2312"/>
        </w:rPr>
        <w:t>23</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"_Toc7804" </w:instrText>
      </w:r>
      <w:r>
        <w:fldChar w:fldCharType="separate"/>
      </w:r>
      <w:r>
        <w:rPr>
          <w:rFonts w:hint="eastAsia" w:eastAsia="仿宋_GB2312"/>
        </w:rPr>
        <w:t>4.1土地损毁环节与时序</w:t>
      </w:r>
      <w:r>
        <w:rPr>
          <w:rFonts w:hint="eastAsia" w:eastAsia="仿宋_GB2312"/>
        </w:rPr>
        <w:tab/>
      </w:r>
      <w:r>
        <w:rPr>
          <w:rFonts w:hint="eastAsia" w:eastAsia="仿宋_GB2312"/>
        </w:rPr>
        <w:fldChar w:fldCharType="begin"/>
      </w:r>
      <w:r>
        <w:rPr>
          <w:rFonts w:hint="eastAsia" w:eastAsia="仿宋_GB2312"/>
        </w:rPr>
        <w:instrText xml:space="preserve"> PAGEREF _Toc7804 \h </w:instrText>
      </w:r>
      <w:r>
        <w:rPr>
          <w:rFonts w:hint="eastAsia" w:eastAsia="仿宋_GB2312"/>
        </w:rPr>
        <w:fldChar w:fldCharType="separate"/>
      </w:r>
      <w:r>
        <w:rPr>
          <w:rFonts w:hint="eastAsia" w:eastAsia="仿宋_GB2312"/>
        </w:rPr>
        <w:t>23</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"_Toc7670" </w:instrText>
      </w:r>
      <w:r>
        <w:fldChar w:fldCharType="separate"/>
      </w:r>
      <w:r>
        <w:rPr>
          <w:rFonts w:hint="eastAsia" w:eastAsia="仿宋_GB2312"/>
        </w:rPr>
        <w:t>4.2预防控制措施</w:t>
      </w:r>
      <w:r>
        <w:rPr>
          <w:rFonts w:hint="eastAsia" w:eastAsia="仿宋_GB2312"/>
        </w:rPr>
        <w:tab/>
      </w:r>
      <w:r>
        <w:rPr>
          <w:rFonts w:hint="eastAsia" w:eastAsia="仿宋_GB2312"/>
        </w:rPr>
        <w:fldChar w:fldCharType="begin"/>
      </w:r>
      <w:r>
        <w:rPr>
          <w:rFonts w:hint="eastAsia" w:eastAsia="仿宋_GB2312"/>
        </w:rPr>
        <w:instrText xml:space="preserve"> PAGEREF _Toc7670 \h </w:instrText>
      </w:r>
      <w:r>
        <w:rPr>
          <w:rFonts w:hint="eastAsia" w:eastAsia="仿宋_GB2312"/>
        </w:rPr>
        <w:fldChar w:fldCharType="separate"/>
      </w:r>
      <w:r>
        <w:rPr>
          <w:rFonts w:hint="eastAsia" w:eastAsia="仿宋_GB2312"/>
        </w:rPr>
        <w:t>24</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"_Toc14855" </w:instrText>
      </w:r>
      <w:r>
        <w:fldChar w:fldCharType="separate"/>
      </w:r>
      <w:r>
        <w:rPr>
          <w:rFonts w:hint="eastAsia" w:eastAsia="仿宋_GB2312"/>
        </w:rPr>
        <w:t>4.3土地损毁分析</w:t>
      </w:r>
      <w:r>
        <w:rPr>
          <w:rFonts w:hint="eastAsia" w:eastAsia="仿宋_GB2312"/>
        </w:rPr>
        <w:tab/>
      </w:r>
      <w:r>
        <w:rPr>
          <w:rFonts w:hint="eastAsia" w:eastAsia="仿宋_GB2312"/>
        </w:rPr>
        <w:fldChar w:fldCharType="begin"/>
      </w:r>
      <w:r>
        <w:rPr>
          <w:rFonts w:hint="eastAsia" w:eastAsia="仿宋_GB2312"/>
        </w:rPr>
        <w:instrText xml:space="preserve"> PAGEREF _Toc14855 \h </w:instrText>
      </w:r>
      <w:r>
        <w:rPr>
          <w:rFonts w:hint="eastAsia" w:eastAsia="仿宋_GB2312"/>
        </w:rPr>
        <w:fldChar w:fldCharType="separate"/>
      </w:r>
      <w:r>
        <w:rPr>
          <w:rFonts w:hint="eastAsia" w:eastAsia="仿宋_GB2312"/>
        </w:rPr>
        <w:t>24</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"_Toc31753" </w:instrText>
      </w:r>
      <w:r>
        <w:fldChar w:fldCharType="separate"/>
      </w:r>
      <w:r>
        <w:rPr>
          <w:rFonts w:hint="eastAsia" w:eastAsia="仿宋_GB2312"/>
        </w:rPr>
        <w:t>4.4生态环境影响分析</w:t>
      </w:r>
      <w:r>
        <w:rPr>
          <w:rFonts w:hint="eastAsia" w:eastAsia="仿宋_GB2312"/>
        </w:rPr>
        <w:tab/>
      </w:r>
      <w:r>
        <w:rPr>
          <w:rFonts w:hint="eastAsia" w:eastAsia="仿宋_GB2312"/>
        </w:rPr>
        <w:fldChar w:fldCharType="begin"/>
      </w:r>
      <w:r>
        <w:rPr>
          <w:rFonts w:hint="eastAsia" w:eastAsia="仿宋_GB2312"/>
        </w:rPr>
        <w:instrText xml:space="preserve"> PAGEREF _Toc31753 \h </w:instrText>
      </w:r>
      <w:r>
        <w:rPr>
          <w:rFonts w:hint="eastAsia" w:eastAsia="仿宋_GB2312"/>
        </w:rPr>
        <w:fldChar w:fldCharType="separate"/>
      </w:r>
      <w:r>
        <w:rPr>
          <w:rFonts w:hint="eastAsia" w:eastAsia="仿宋_GB2312"/>
        </w:rPr>
        <w:t>28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"_Toc591" </w:instrText>
      </w:r>
      <w:r>
        <w:fldChar w:fldCharType="separate"/>
      </w:r>
      <w:r>
        <w:rPr>
          <w:rFonts w:hint="eastAsia" w:eastAsia="仿宋_GB2312"/>
        </w:rPr>
        <w:t>4.5复垦区与复垦责任范围确定</w:t>
      </w:r>
      <w:r>
        <w:rPr>
          <w:rFonts w:hint="eastAsia" w:eastAsia="仿宋_GB2312"/>
        </w:rPr>
        <w:tab/>
      </w:r>
      <w:r>
        <w:rPr>
          <w:rFonts w:hint="eastAsia" w:eastAsia="仿宋_GB2312"/>
        </w:rPr>
        <w:fldChar w:fldCharType="begin"/>
      </w:r>
      <w:r>
        <w:rPr>
          <w:rFonts w:hint="eastAsia" w:eastAsia="仿宋_GB2312"/>
        </w:rPr>
        <w:instrText xml:space="preserve"> PAGEREF _Toc591 \h </w:instrText>
      </w:r>
      <w:r>
        <w:rPr>
          <w:rFonts w:hint="eastAsia" w:eastAsia="仿宋_GB2312"/>
        </w:rPr>
        <w:fldChar w:fldCharType="separate"/>
      </w:r>
      <w:r>
        <w:rPr>
          <w:rFonts w:hint="eastAsia" w:eastAsia="仿宋_GB2312"/>
        </w:rPr>
        <w:t>29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"_Toc7627" </w:instrText>
      </w:r>
      <w:r>
        <w:fldChar w:fldCharType="separate"/>
      </w:r>
      <w:r>
        <w:rPr>
          <w:rFonts w:hint="eastAsia" w:eastAsia="仿宋_GB2312"/>
        </w:rPr>
        <w:t>4.6复垦区土地利用状况</w:t>
      </w:r>
      <w:r>
        <w:rPr>
          <w:rFonts w:hint="eastAsia" w:eastAsia="仿宋_GB2312"/>
        </w:rPr>
        <w:tab/>
      </w:r>
      <w:r>
        <w:rPr>
          <w:rFonts w:hint="eastAsia" w:eastAsia="仿宋_GB2312"/>
        </w:rPr>
        <w:fldChar w:fldCharType="begin"/>
      </w:r>
      <w:r>
        <w:rPr>
          <w:rFonts w:hint="eastAsia" w:eastAsia="仿宋_GB2312"/>
        </w:rPr>
        <w:instrText xml:space="preserve"> PAGEREF _Toc7627 \h </w:instrText>
      </w:r>
      <w:r>
        <w:rPr>
          <w:rFonts w:hint="eastAsia" w:eastAsia="仿宋_GB2312"/>
        </w:rPr>
        <w:fldChar w:fldCharType="separate"/>
      </w:r>
      <w:r>
        <w:rPr>
          <w:rFonts w:hint="eastAsia" w:eastAsia="仿宋_GB2312"/>
        </w:rPr>
        <w:t>29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"_Toc18138" </w:instrText>
      </w:r>
      <w:r>
        <w:fldChar w:fldCharType="separate"/>
      </w:r>
      <w:r>
        <w:rPr>
          <w:rFonts w:hint="eastAsia" w:eastAsia="仿宋_GB2312"/>
        </w:rPr>
        <w:t>5土地复垦方向可行性分析</w:t>
      </w:r>
      <w:r>
        <w:rPr>
          <w:rFonts w:hint="eastAsia" w:eastAsia="仿宋_GB2312"/>
        </w:rPr>
        <w:tab/>
      </w:r>
      <w:r>
        <w:rPr>
          <w:rFonts w:hint="eastAsia" w:eastAsia="仿宋_GB2312"/>
        </w:rPr>
        <w:fldChar w:fldCharType="begin"/>
      </w:r>
      <w:r>
        <w:rPr>
          <w:rFonts w:hint="eastAsia" w:eastAsia="仿宋_GB2312"/>
        </w:rPr>
        <w:instrText xml:space="preserve"> PAGEREF _Toc18138 \h </w:instrText>
      </w:r>
      <w:r>
        <w:rPr>
          <w:rFonts w:hint="eastAsia" w:eastAsia="仿宋_GB2312"/>
        </w:rPr>
        <w:fldChar w:fldCharType="separate"/>
      </w:r>
      <w:r>
        <w:rPr>
          <w:rFonts w:hint="eastAsia" w:eastAsia="仿宋_GB2312"/>
        </w:rPr>
        <w:t>32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"_Toc1492" </w:instrText>
      </w:r>
      <w:r>
        <w:fldChar w:fldCharType="separate"/>
      </w:r>
      <w:r>
        <w:rPr>
          <w:rFonts w:hint="eastAsia" w:eastAsia="仿宋_GB2312"/>
        </w:rPr>
        <w:t>5.1土地复垦适宜性评价</w:t>
      </w:r>
      <w:r>
        <w:rPr>
          <w:rFonts w:hint="eastAsia" w:eastAsia="仿宋_GB2312"/>
        </w:rPr>
        <w:tab/>
      </w:r>
      <w:r>
        <w:rPr>
          <w:rFonts w:hint="eastAsia" w:eastAsia="仿宋_GB2312"/>
        </w:rPr>
        <w:fldChar w:fldCharType="begin"/>
      </w:r>
      <w:r>
        <w:rPr>
          <w:rFonts w:hint="eastAsia" w:eastAsia="仿宋_GB2312"/>
        </w:rPr>
        <w:instrText xml:space="preserve"> PAGEREF _Toc1492 \h </w:instrText>
      </w:r>
      <w:r>
        <w:rPr>
          <w:rFonts w:hint="eastAsia" w:eastAsia="仿宋_GB2312"/>
        </w:rPr>
        <w:fldChar w:fldCharType="separate"/>
      </w:r>
      <w:r>
        <w:rPr>
          <w:rFonts w:hint="eastAsia" w:eastAsia="仿宋_GB2312"/>
        </w:rPr>
        <w:t>32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"_Toc21604" </w:instrText>
      </w:r>
      <w:r>
        <w:fldChar w:fldCharType="separate"/>
      </w:r>
      <w:r>
        <w:rPr>
          <w:rFonts w:hint="eastAsia" w:eastAsia="仿宋_GB2312"/>
        </w:rPr>
        <w:t>5.2复垦的目标任务</w:t>
      </w:r>
      <w:r>
        <w:rPr>
          <w:rFonts w:hint="eastAsia" w:eastAsia="仿宋_GB2312"/>
        </w:rPr>
        <w:tab/>
      </w:r>
      <w:r>
        <w:rPr>
          <w:rFonts w:hint="eastAsia" w:eastAsia="仿宋_GB2312"/>
        </w:rPr>
        <w:fldChar w:fldCharType="begin"/>
      </w:r>
      <w:r>
        <w:rPr>
          <w:rFonts w:hint="eastAsia" w:eastAsia="仿宋_GB2312"/>
        </w:rPr>
        <w:instrText xml:space="preserve"> PAGEREF _Toc21604 \h </w:instrText>
      </w:r>
      <w:r>
        <w:rPr>
          <w:rFonts w:hint="eastAsia" w:eastAsia="仿宋_GB2312"/>
        </w:rPr>
        <w:fldChar w:fldCharType="separate"/>
      </w:r>
      <w:r>
        <w:rPr>
          <w:rFonts w:hint="eastAsia" w:eastAsia="仿宋_GB2312"/>
        </w:rPr>
        <w:t>39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"_Toc22632" </w:instrText>
      </w:r>
      <w:r>
        <w:fldChar w:fldCharType="separate"/>
      </w:r>
      <w:r>
        <w:rPr>
          <w:rFonts w:hint="eastAsia" w:eastAsia="仿宋_GB2312"/>
        </w:rPr>
        <w:t>5.3水土资源平衡分析</w:t>
      </w:r>
      <w:r>
        <w:rPr>
          <w:rFonts w:hint="eastAsia" w:eastAsia="仿宋_GB2312"/>
        </w:rPr>
        <w:tab/>
      </w:r>
      <w:r>
        <w:rPr>
          <w:rFonts w:hint="eastAsia" w:eastAsia="仿宋_GB2312"/>
        </w:rPr>
        <w:fldChar w:fldCharType="begin"/>
      </w:r>
      <w:r>
        <w:rPr>
          <w:rFonts w:hint="eastAsia" w:eastAsia="仿宋_GB2312"/>
        </w:rPr>
        <w:instrText xml:space="preserve"> PAGEREF _Toc22632 \h </w:instrText>
      </w:r>
      <w:r>
        <w:rPr>
          <w:rFonts w:hint="eastAsia" w:eastAsia="仿宋_GB2312"/>
        </w:rPr>
        <w:fldChar w:fldCharType="separate"/>
      </w:r>
      <w:r>
        <w:rPr>
          <w:rFonts w:hint="eastAsia" w:eastAsia="仿宋_GB2312"/>
        </w:rPr>
        <w:t>39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"_Toc1713" </w:instrText>
      </w:r>
      <w:r>
        <w:fldChar w:fldCharType="separate"/>
      </w:r>
      <w:r>
        <w:rPr>
          <w:rFonts w:hint="eastAsia" w:eastAsia="仿宋_GB2312"/>
        </w:rPr>
        <w:t>6土地复垦质量要求与复垦措施</w:t>
      </w:r>
      <w:r>
        <w:rPr>
          <w:rFonts w:hint="eastAsia" w:eastAsia="仿宋_GB2312"/>
        </w:rPr>
        <w:tab/>
      </w:r>
      <w:r>
        <w:rPr>
          <w:rFonts w:hint="eastAsia" w:eastAsia="仿宋_GB2312"/>
        </w:rPr>
        <w:fldChar w:fldCharType="begin"/>
      </w:r>
      <w:r>
        <w:rPr>
          <w:rFonts w:hint="eastAsia" w:eastAsia="仿宋_GB2312"/>
        </w:rPr>
        <w:instrText xml:space="preserve"> PAGEREF _Toc1713 \h </w:instrText>
      </w:r>
      <w:r>
        <w:rPr>
          <w:rFonts w:hint="eastAsia" w:eastAsia="仿宋_GB2312"/>
        </w:rPr>
        <w:fldChar w:fldCharType="separate"/>
      </w:r>
      <w:r>
        <w:rPr>
          <w:rFonts w:hint="eastAsia" w:eastAsia="仿宋_GB2312"/>
        </w:rPr>
        <w:t>41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"_Toc28809" </w:instrText>
      </w:r>
      <w:r>
        <w:fldChar w:fldCharType="separate"/>
      </w:r>
      <w:r>
        <w:rPr>
          <w:rFonts w:hint="eastAsia" w:eastAsia="仿宋_GB2312"/>
        </w:rPr>
        <w:t>6.1土地复垦质量要求</w:t>
      </w:r>
      <w:r>
        <w:rPr>
          <w:rFonts w:hint="eastAsia" w:eastAsia="仿宋_GB2312"/>
        </w:rPr>
        <w:tab/>
      </w:r>
      <w:r>
        <w:rPr>
          <w:rFonts w:hint="eastAsia" w:eastAsia="仿宋_GB2312"/>
        </w:rPr>
        <w:fldChar w:fldCharType="begin"/>
      </w:r>
      <w:r>
        <w:rPr>
          <w:rFonts w:hint="eastAsia" w:eastAsia="仿宋_GB2312"/>
        </w:rPr>
        <w:instrText xml:space="preserve"> PAGEREF _Toc28809 \h </w:instrText>
      </w:r>
      <w:r>
        <w:rPr>
          <w:rFonts w:hint="eastAsia" w:eastAsia="仿宋_GB2312"/>
        </w:rPr>
        <w:fldChar w:fldCharType="separate"/>
      </w:r>
      <w:r>
        <w:rPr>
          <w:rFonts w:hint="eastAsia" w:eastAsia="仿宋_GB2312"/>
        </w:rPr>
        <w:t>41</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"_Toc23153" </w:instrText>
      </w:r>
      <w:r>
        <w:fldChar w:fldCharType="separate"/>
      </w:r>
      <w:r>
        <w:rPr>
          <w:rFonts w:hint="eastAsia" w:eastAsia="仿宋_GB2312"/>
        </w:rPr>
        <w:t>6.2复垦措施</w:t>
      </w:r>
      <w:r>
        <w:rPr>
          <w:rFonts w:hint="eastAsia" w:eastAsia="仿宋_GB2312"/>
        </w:rPr>
        <w:tab/>
      </w:r>
      <w:r>
        <w:rPr>
          <w:rFonts w:hint="eastAsia" w:eastAsia="仿宋_GB2312"/>
        </w:rPr>
        <w:fldChar w:fldCharType="begin"/>
      </w:r>
      <w:r>
        <w:rPr>
          <w:rFonts w:hint="eastAsia" w:eastAsia="仿宋_GB2312"/>
        </w:rPr>
        <w:instrText xml:space="preserve"> PAGEREF _Toc23153 \h </w:instrText>
      </w:r>
      <w:r>
        <w:rPr>
          <w:rFonts w:hint="eastAsia" w:eastAsia="仿宋_GB2312"/>
        </w:rPr>
        <w:fldChar w:fldCharType="separate"/>
      </w:r>
      <w:r>
        <w:rPr>
          <w:rFonts w:hint="eastAsia" w:eastAsia="仿宋_GB2312"/>
        </w:rPr>
        <w:t>43</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"_Toc12141" </w:instrText>
      </w:r>
      <w:r>
        <w:fldChar w:fldCharType="separate"/>
      </w:r>
      <w:r>
        <w:rPr>
          <w:rFonts w:hint="eastAsia" w:eastAsia="仿宋_GB2312"/>
        </w:rPr>
        <w:t>7土地复垦工程设计及工程量测算</w:t>
      </w:r>
      <w:r>
        <w:rPr>
          <w:rFonts w:hint="eastAsia" w:eastAsia="仿宋_GB2312"/>
        </w:rPr>
        <w:tab/>
      </w:r>
      <w:r>
        <w:rPr>
          <w:rFonts w:hint="eastAsia" w:eastAsia="仿宋_GB2312"/>
        </w:rPr>
        <w:fldChar w:fldCharType="begin"/>
      </w:r>
      <w:r>
        <w:rPr>
          <w:rFonts w:hint="eastAsia" w:eastAsia="仿宋_GB2312"/>
        </w:rPr>
        <w:instrText xml:space="preserve"> PAGEREF _Toc12141 \h </w:instrText>
      </w:r>
      <w:r>
        <w:rPr>
          <w:rFonts w:hint="eastAsia" w:eastAsia="仿宋_GB2312"/>
        </w:rPr>
        <w:fldChar w:fldCharType="separate"/>
      </w:r>
      <w:r>
        <w:rPr>
          <w:rFonts w:hint="eastAsia" w:eastAsia="仿宋_GB2312"/>
        </w:rPr>
        <w:t>49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"_Toc18192" </w:instrText>
      </w:r>
      <w:r>
        <w:fldChar w:fldCharType="separate"/>
      </w:r>
      <w:r>
        <w:rPr>
          <w:rFonts w:hint="eastAsia" w:eastAsia="仿宋_GB2312"/>
        </w:rPr>
        <w:t>7.1土地复垦基本单元工程设计</w:t>
      </w:r>
      <w:r>
        <w:rPr>
          <w:rFonts w:hint="eastAsia" w:eastAsia="仿宋_GB2312"/>
        </w:rPr>
        <w:tab/>
      </w:r>
      <w:r>
        <w:rPr>
          <w:rFonts w:hint="eastAsia" w:eastAsia="仿宋_GB2312"/>
        </w:rPr>
        <w:fldChar w:fldCharType="begin"/>
      </w:r>
      <w:r>
        <w:rPr>
          <w:rFonts w:hint="eastAsia" w:eastAsia="仿宋_GB2312"/>
        </w:rPr>
        <w:instrText xml:space="preserve"> PAGEREF _Toc18192 \h </w:instrText>
      </w:r>
      <w:r>
        <w:rPr>
          <w:rFonts w:hint="eastAsia" w:eastAsia="仿宋_GB2312"/>
        </w:rPr>
        <w:fldChar w:fldCharType="separate"/>
      </w:r>
      <w:r>
        <w:rPr>
          <w:rFonts w:hint="eastAsia" w:eastAsia="仿宋_GB2312"/>
        </w:rPr>
        <w:t>49</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"_Toc7248" </w:instrText>
      </w:r>
      <w:r>
        <w:fldChar w:fldCharType="separate"/>
      </w:r>
      <w:r>
        <w:rPr>
          <w:rFonts w:hint="eastAsia" w:eastAsia="仿宋_GB2312"/>
        </w:rPr>
        <w:t>7.2土地复垦基本单元工程量测算</w:t>
      </w:r>
      <w:r>
        <w:rPr>
          <w:rFonts w:hint="eastAsia" w:eastAsia="仿宋_GB2312"/>
        </w:rPr>
        <w:tab/>
      </w:r>
      <w:r>
        <w:rPr>
          <w:rFonts w:hint="eastAsia" w:eastAsia="仿宋_GB2312"/>
        </w:rPr>
        <w:fldChar w:fldCharType="begin"/>
      </w:r>
      <w:r>
        <w:rPr>
          <w:rFonts w:hint="eastAsia" w:eastAsia="仿宋_GB2312"/>
        </w:rPr>
        <w:instrText xml:space="preserve"> PAGEREF _Toc7248 \h </w:instrText>
      </w:r>
      <w:r>
        <w:rPr>
          <w:rFonts w:hint="eastAsia" w:eastAsia="仿宋_GB2312"/>
        </w:rPr>
        <w:fldChar w:fldCharType="separate"/>
      </w:r>
      <w:r>
        <w:rPr>
          <w:rFonts w:hint="eastAsia" w:eastAsia="仿宋_GB2312"/>
        </w:rPr>
        <w:t>54</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"_Toc26690" </w:instrText>
      </w:r>
      <w:r>
        <w:fldChar w:fldCharType="separate"/>
      </w:r>
      <w:r>
        <w:rPr>
          <w:rFonts w:hint="eastAsia" w:eastAsia="仿宋_GB2312"/>
        </w:rPr>
        <w:t>8土地复垦投资估算</w:t>
      </w:r>
      <w:r>
        <w:rPr>
          <w:rFonts w:hint="eastAsia" w:eastAsia="仿宋_GB2312"/>
        </w:rPr>
        <w:tab/>
      </w:r>
      <w:r>
        <w:rPr>
          <w:rFonts w:hint="eastAsia" w:eastAsia="仿宋_GB2312"/>
        </w:rPr>
        <w:fldChar w:fldCharType="begin"/>
      </w:r>
      <w:r>
        <w:rPr>
          <w:rFonts w:hint="eastAsia" w:eastAsia="仿宋_GB2312"/>
        </w:rPr>
        <w:instrText xml:space="preserve"> PAGEREF _Toc26690 \h </w:instrText>
      </w:r>
      <w:r>
        <w:rPr>
          <w:rFonts w:hint="eastAsia" w:eastAsia="仿宋_GB2312"/>
        </w:rPr>
        <w:fldChar w:fldCharType="separate"/>
      </w:r>
      <w:r>
        <w:rPr>
          <w:rFonts w:hint="eastAsia" w:eastAsia="仿宋_GB2312"/>
        </w:rPr>
        <w:t>57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"_Toc200" </w:instrText>
      </w:r>
      <w:r>
        <w:fldChar w:fldCharType="separate"/>
      </w:r>
      <w:r>
        <w:rPr>
          <w:rFonts w:hint="eastAsia" w:eastAsia="仿宋_GB2312"/>
        </w:rPr>
        <w:t>8.1估算说明</w:t>
      </w:r>
      <w:r>
        <w:rPr>
          <w:rFonts w:hint="eastAsia" w:eastAsia="仿宋_GB2312"/>
        </w:rPr>
        <w:tab/>
      </w:r>
      <w:r>
        <w:rPr>
          <w:rFonts w:hint="eastAsia" w:eastAsia="仿宋_GB2312"/>
        </w:rPr>
        <w:fldChar w:fldCharType="begin"/>
      </w:r>
      <w:r>
        <w:rPr>
          <w:rFonts w:hint="eastAsia" w:eastAsia="仿宋_GB2312"/>
        </w:rPr>
        <w:instrText xml:space="preserve"> PAGEREF _Toc200 \h </w:instrText>
      </w:r>
      <w:r>
        <w:rPr>
          <w:rFonts w:hint="eastAsia" w:eastAsia="仿宋_GB2312"/>
        </w:rPr>
        <w:fldChar w:fldCharType="separate"/>
      </w:r>
      <w:r>
        <w:rPr>
          <w:rFonts w:hint="eastAsia" w:eastAsia="仿宋_GB2312"/>
        </w:rPr>
        <w:t>57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"_Toc25552" </w:instrText>
      </w:r>
      <w:r>
        <w:fldChar w:fldCharType="separate"/>
      </w:r>
      <w:r>
        <w:rPr>
          <w:rFonts w:hint="eastAsia" w:eastAsia="仿宋_GB2312"/>
        </w:rPr>
        <w:t>8.2估算成果</w:t>
      </w:r>
      <w:r>
        <w:rPr>
          <w:rFonts w:hint="eastAsia" w:eastAsia="仿宋_GB2312"/>
        </w:rPr>
        <w:tab/>
      </w:r>
      <w:r>
        <w:rPr>
          <w:rFonts w:hint="eastAsia" w:eastAsia="仿宋_GB2312"/>
        </w:rPr>
        <w:fldChar w:fldCharType="begin"/>
      </w:r>
      <w:r>
        <w:rPr>
          <w:rFonts w:hint="eastAsia" w:eastAsia="仿宋_GB2312"/>
        </w:rPr>
        <w:instrText xml:space="preserve"> PAGEREF _Toc25552 \h </w:instrText>
      </w:r>
      <w:r>
        <w:rPr>
          <w:rFonts w:hint="eastAsia" w:eastAsia="仿宋_GB2312"/>
        </w:rPr>
        <w:fldChar w:fldCharType="separate"/>
      </w:r>
      <w:r>
        <w:rPr>
          <w:rFonts w:hint="eastAsia" w:eastAsia="仿宋_GB2312"/>
        </w:rPr>
        <w:t>62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"_Toc4059" </w:instrText>
      </w:r>
      <w:r>
        <w:fldChar w:fldCharType="separate"/>
      </w:r>
      <w:r>
        <w:rPr>
          <w:rFonts w:hint="eastAsia" w:eastAsia="仿宋_GB2312"/>
        </w:rPr>
        <w:t>9土地复垦服务年限与复垦工作计划安排</w:t>
      </w:r>
      <w:r>
        <w:rPr>
          <w:rFonts w:hint="eastAsia" w:eastAsia="仿宋_GB2312"/>
        </w:rPr>
        <w:tab/>
      </w:r>
      <w:r>
        <w:rPr>
          <w:rFonts w:hint="eastAsia" w:eastAsia="仿宋_GB2312"/>
        </w:rPr>
        <w:fldChar w:fldCharType="begin"/>
      </w:r>
      <w:r>
        <w:rPr>
          <w:rFonts w:hint="eastAsia" w:eastAsia="仿宋_GB2312"/>
        </w:rPr>
        <w:instrText xml:space="preserve"> PAGEREF _Toc4059 \h </w:instrText>
      </w:r>
      <w:r>
        <w:rPr>
          <w:rFonts w:hint="eastAsia" w:eastAsia="仿宋_GB2312"/>
        </w:rPr>
        <w:fldChar w:fldCharType="separate"/>
      </w:r>
      <w:r>
        <w:rPr>
          <w:rFonts w:hint="eastAsia" w:eastAsia="仿宋_GB2312"/>
        </w:rPr>
        <w:t>75</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"_Toc15237" </w:instrText>
      </w:r>
      <w:r>
        <w:fldChar w:fldCharType="separate"/>
      </w:r>
      <w:r>
        <w:rPr>
          <w:rFonts w:hint="eastAsia" w:eastAsia="仿宋_GB2312"/>
        </w:rPr>
        <w:t>9.1土地复垦服务年限</w:t>
      </w:r>
      <w:r>
        <w:rPr>
          <w:rFonts w:hint="eastAsia" w:eastAsia="仿宋_GB2312"/>
        </w:rPr>
        <w:tab/>
      </w:r>
      <w:r>
        <w:rPr>
          <w:rFonts w:hint="eastAsia" w:eastAsia="仿宋_GB2312"/>
        </w:rPr>
        <w:fldChar w:fldCharType="begin"/>
      </w:r>
      <w:r>
        <w:rPr>
          <w:rFonts w:hint="eastAsia" w:eastAsia="仿宋_GB2312"/>
        </w:rPr>
        <w:instrText xml:space="preserve"> PAGEREF _Toc15237 \h </w:instrText>
      </w:r>
      <w:r>
        <w:rPr>
          <w:rFonts w:hint="eastAsia" w:eastAsia="仿宋_GB2312"/>
        </w:rPr>
        <w:fldChar w:fldCharType="separate"/>
      </w:r>
      <w:r>
        <w:rPr>
          <w:rFonts w:hint="eastAsia" w:eastAsia="仿宋_GB2312"/>
        </w:rPr>
        <w:t>75</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"_Toc23447" </w:instrText>
      </w:r>
      <w:r>
        <w:fldChar w:fldCharType="separate"/>
      </w:r>
      <w:r>
        <w:rPr>
          <w:rFonts w:hint="eastAsia" w:eastAsia="仿宋_GB2312"/>
        </w:rPr>
        <w:t>9.2土地复垦工作计划安排</w:t>
      </w:r>
      <w:r>
        <w:rPr>
          <w:rFonts w:hint="eastAsia" w:eastAsia="仿宋_GB2312"/>
        </w:rPr>
        <w:tab/>
      </w:r>
      <w:r>
        <w:rPr>
          <w:rFonts w:hint="eastAsia" w:eastAsia="仿宋_GB2312"/>
        </w:rPr>
        <w:fldChar w:fldCharType="begin"/>
      </w:r>
      <w:r>
        <w:rPr>
          <w:rFonts w:hint="eastAsia" w:eastAsia="仿宋_GB2312"/>
        </w:rPr>
        <w:instrText xml:space="preserve"> PAGEREF _Toc23447 \h </w:instrText>
      </w:r>
      <w:r>
        <w:rPr>
          <w:rFonts w:hint="eastAsia" w:eastAsia="仿宋_GB2312"/>
        </w:rPr>
        <w:fldChar w:fldCharType="separate"/>
      </w:r>
      <w:r>
        <w:rPr>
          <w:rFonts w:hint="eastAsia" w:eastAsia="仿宋_GB2312"/>
        </w:rPr>
        <w:t>75</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"_Toc15067" </w:instrText>
      </w:r>
      <w:r>
        <w:fldChar w:fldCharType="separate"/>
      </w:r>
      <w:r>
        <w:rPr>
          <w:rFonts w:hint="eastAsia" w:eastAsia="仿宋_GB2312"/>
        </w:rPr>
        <w:t>10土地复垦效益分析</w:t>
      </w:r>
      <w:r>
        <w:rPr>
          <w:rFonts w:hint="eastAsia" w:eastAsia="仿宋_GB2312"/>
        </w:rPr>
        <w:tab/>
      </w:r>
      <w:r>
        <w:rPr>
          <w:rFonts w:hint="eastAsia" w:eastAsia="仿宋_GB2312"/>
        </w:rPr>
        <w:fldChar w:fldCharType="begin"/>
      </w:r>
      <w:r>
        <w:rPr>
          <w:rFonts w:hint="eastAsia" w:eastAsia="仿宋_GB2312"/>
        </w:rPr>
        <w:instrText xml:space="preserve"> PAGEREF _Toc15067 \h </w:instrText>
      </w:r>
      <w:r>
        <w:rPr>
          <w:rFonts w:hint="eastAsia" w:eastAsia="仿宋_GB2312"/>
        </w:rPr>
        <w:fldChar w:fldCharType="separate"/>
      </w:r>
      <w:r>
        <w:rPr>
          <w:rFonts w:hint="eastAsia" w:eastAsia="仿宋_GB2312"/>
        </w:rPr>
        <w:t>78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"_Toc9366" </w:instrText>
      </w:r>
      <w:r>
        <w:fldChar w:fldCharType="separate"/>
      </w:r>
      <w:r>
        <w:rPr>
          <w:rFonts w:hint="eastAsia" w:eastAsia="仿宋_GB2312"/>
        </w:rPr>
        <w:t>10.1经济效益</w:t>
      </w:r>
      <w:r>
        <w:rPr>
          <w:rFonts w:hint="eastAsia" w:eastAsia="仿宋_GB2312"/>
        </w:rPr>
        <w:tab/>
      </w:r>
      <w:r>
        <w:rPr>
          <w:rFonts w:hint="eastAsia" w:eastAsia="仿宋_GB2312"/>
        </w:rPr>
        <w:fldChar w:fldCharType="begin"/>
      </w:r>
      <w:r>
        <w:rPr>
          <w:rFonts w:hint="eastAsia" w:eastAsia="仿宋_GB2312"/>
        </w:rPr>
        <w:instrText xml:space="preserve"> PAGEREF _Toc9366 \h </w:instrText>
      </w:r>
      <w:r>
        <w:rPr>
          <w:rFonts w:hint="eastAsia" w:eastAsia="仿宋_GB2312"/>
        </w:rPr>
        <w:fldChar w:fldCharType="separate"/>
      </w:r>
      <w:r>
        <w:rPr>
          <w:rFonts w:hint="eastAsia" w:eastAsia="仿宋_GB2312"/>
        </w:rPr>
        <w:t>78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"_Toc16132" </w:instrText>
      </w:r>
      <w:r>
        <w:fldChar w:fldCharType="separate"/>
      </w:r>
      <w:r>
        <w:rPr>
          <w:rFonts w:hint="eastAsia" w:eastAsia="仿宋_GB2312"/>
        </w:rPr>
        <w:t>10.2社会效益</w:t>
      </w:r>
      <w:r>
        <w:rPr>
          <w:rFonts w:hint="eastAsia" w:eastAsia="仿宋_GB2312"/>
        </w:rPr>
        <w:tab/>
      </w:r>
      <w:r>
        <w:rPr>
          <w:rFonts w:hint="eastAsia" w:eastAsia="仿宋_GB2312"/>
        </w:rPr>
        <w:fldChar w:fldCharType="begin"/>
      </w:r>
      <w:r>
        <w:rPr>
          <w:rFonts w:hint="eastAsia" w:eastAsia="仿宋_GB2312"/>
        </w:rPr>
        <w:instrText xml:space="preserve"> PAGEREF _Toc16132 \h </w:instrText>
      </w:r>
      <w:r>
        <w:rPr>
          <w:rFonts w:hint="eastAsia" w:eastAsia="仿宋_GB2312"/>
        </w:rPr>
        <w:fldChar w:fldCharType="separate"/>
      </w:r>
      <w:r>
        <w:rPr>
          <w:rFonts w:hint="eastAsia" w:eastAsia="仿宋_GB2312"/>
        </w:rPr>
        <w:t>78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"_Toc24141" </w:instrText>
      </w:r>
      <w:r>
        <w:fldChar w:fldCharType="separate"/>
      </w:r>
      <w:r>
        <w:rPr>
          <w:rFonts w:hint="eastAsia" w:eastAsia="仿宋_GB2312"/>
        </w:rPr>
        <w:t>10.3生态效益</w:t>
      </w:r>
      <w:r>
        <w:rPr>
          <w:rFonts w:hint="eastAsia" w:eastAsia="仿宋_GB2312"/>
        </w:rPr>
        <w:tab/>
      </w:r>
      <w:r>
        <w:rPr>
          <w:rFonts w:hint="eastAsia" w:eastAsia="仿宋_GB2312"/>
        </w:rPr>
        <w:fldChar w:fldCharType="begin"/>
      </w:r>
      <w:r>
        <w:rPr>
          <w:rFonts w:hint="eastAsia" w:eastAsia="仿宋_GB2312"/>
        </w:rPr>
        <w:instrText xml:space="preserve"> PAGEREF _Toc24141 \h </w:instrText>
      </w:r>
      <w:r>
        <w:rPr>
          <w:rFonts w:hint="eastAsia" w:eastAsia="仿宋_GB2312"/>
        </w:rPr>
        <w:fldChar w:fldCharType="separate"/>
      </w:r>
      <w:r>
        <w:rPr>
          <w:rFonts w:hint="eastAsia" w:eastAsia="仿宋_GB2312"/>
        </w:rPr>
        <w:t>78</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"_Toc5221" </w:instrText>
      </w:r>
      <w:r>
        <w:fldChar w:fldCharType="separate"/>
      </w:r>
      <w:r>
        <w:rPr>
          <w:rFonts w:hint="eastAsia" w:eastAsia="仿宋_GB2312"/>
        </w:rPr>
        <w:t>11保障措施</w:t>
      </w:r>
      <w:r>
        <w:rPr>
          <w:rFonts w:hint="eastAsia" w:eastAsia="仿宋_GB2312"/>
        </w:rPr>
        <w:tab/>
      </w:r>
      <w:r>
        <w:rPr>
          <w:rFonts w:hint="eastAsia" w:eastAsia="仿宋_GB2312"/>
        </w:rPr>
        <w:fldChar w:fldCharType="begin"/>
      </w:r>
      <w:r>
        <w:rPr>
          <w:rFonts w:hint="eastAsia" w:eastAsia="仿宋_GB2312"/>
        </w:rPr>
        <w:instrText xml:space="preserve"> PAGEREF _Toc5221 \h </w:instrText>
      </w:r>
      <w:r>
        <w:rPr>
          <w:rFonts w:hint="eastAsia" w:eastAsia="仿宋_GB2312"/>
        </w:rPr>
        <w:fldChar w:fldCharType="separate"/>
      </w:r>
      <w:r>
        <w:rPr>
          <w:rFonts w:hint="eastAsia" w:eastAsia="仿宋_GB2312"/>
        </w:rPr>
        <w:t>80</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"_Toc22322" </w:instrText>
      </w:r>
      <w:r>
        <w:fldChar w:fldCharType="separate"/>
      </w:r>
      <w:r>
        <w:rPr>
          <w:rFonts w:hint="eastAsia" w:eastAsia="仿宋_GB2312"/>
        </w:rPr>
        <w:t>11.1组织保障措施</w:t>
      </w:r>
      <w:r>
        <w:rPr>
          <w:rFonts w:hint="eastAsia" w:eastAsia="仿宋_GB2312"/>
        </w:rPr>
        <w:tab/>
      </w:r>
      <w:r>
        <w:rPr>
          <w:rFonts w:hint="eastAsia" w:eastAsia="仿宋_GB2312"/>
        </w:rPr>
        <w:fldChar w:fldCharType="begin"/>
      </w:r>
      <w:r>
        <w:rPr>
          <w:rFonts w:hint="eastAsia" w:eastAsia="仿宋_GB2312"/>
        </w:rPr>
        <w:instrText xml:space="preserve"> PAGEREF _Toc22322 \h </w:instrText>
      </w:r>
      <w:r>
        <w:rPr>
          <w:rFonts w:hint="eastAsia" w:eastAsia="仿宋_GB2312"/>
        </w:rPr>
        <w:fldChar w:fldCharType="separate"/>
      </w:r>
      <w:r>
        <w:rPr>
          <w:rFonts w:hint="eastAsia" w:eastAsia="仿宋_GB2312"/>
        </w:rPr>
        <w:t>80</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"_Toc15547" </w:instrText>
      </w:r>
      <w:r>
        <w:fldChar w:fldCharType="separate"/>
      </w:r>
      <w:r>
        <w:rPr>
          <w:rFonts w:hint="eastAsia" w:eastAsia="仿宋_GB2312"/>
        </w:rPr>
        <w:t>11.2费用保障措施</w:t>
      </w:r>
      <w:r>
        <w:rPr>
          <w:rFonts w:hint="eastAsia" w:eastAsia="仿宋_GB2312"/>
        </w:rPr>
        <w:tab/>
      </w:r>
      <w:r>
        <w:rPr>
          <w:rFonts w:hint="eastAsia" w:eastAsia="仿宋_GB2312"/>
        </w:rPr>
        <w:fldChar w:fldCharType="begin"/>
      </w:r>
      <w:r>
        <w:rPr>
          <w:rFonts w:hint="eastAsia" w:eastAsia="仿宋_GB2312"/>
        </w:rPr>
        <w:instrText xml:space="preserve"> PAGEREF _Toc15547 \h </w:instrText>
      </w:r>
      <w:r>
        <w:rPr>
          <w:rFonts w:hint="eastAsia" w:eastAsia="仿宋_GB2312"/>
        </w:rPr>
        <w:fldChar w:fldCharType="separate"/>
      </w:r>
      <w:r>
        <w:rPr>
          <w:rFonts w:hint="eastAsia" w:eastAsia="仿宋_GB2312"/>
        </w:rPr>
        <w:t>80</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"_Toc10945" </w:instrText>
      </w:r>
      <w:r>
        <w:fldChar w:fldCharType="separate"/>
      </w:r>
      <w:r>
        <w:rPr>
          <w:rFonts w:hint="eastAsia" w:eastAsia="仿宋_GB2312"/>
        </w:rPr>
        <w:t>11.3监管保障措施</w:t>
      </w:r>
      <w:r>
        <w:rPr>
          <w:rFonts w:hint="eastAsia" w:eastAsia="仿宋_GB2312"/>
        </w:rPr>
        <w:tab/>
      </w:r>
      <w:r>
        <w:rPr>
          <w:rFonts w:hint="eastAsia" w:eastAsia="仿宋_GB2312"/>
        </w:rPr>
        <w:fldChar w:fldCharType="begin"/>
      </w:r>
      <w:r>
        <w:rPr>
          <w:rFonts w:hint="eastAsia" w:eastAsia="仿宋_GB2312"/>
        </w:rPr>
        <w:instrText xml:space="preserve"> PAGEREF _Toc10945 \h </w:instrText>
      </w:r>
      <w:r>
        <w:rPr>
          <w:rFonts w:hint="eastAsia" w:eastAsia="仿宋_GB2312"/>
        </w:rPr>
        <w:fldChar w:fldCharType="separate"/>
      </w:r>
      <w:r>
        <w:rPr>
          <w:rFonts w:hint="eastAsia" w:eastAsia="仿宋_GB2312"/>
        </w:rPr>
        <w:t>82</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"_Toc19323" </w:instrText>
      </w:r>
      <w:r>
        <w:fldChar w:fldCharType="separate"/>
      </w:r>
      <w:r>
        <w:rPr>
          <w:rFonts w:hint="eastAsia" w:eastAsia="仿宋_GB2312"/>
        </w:rPr>
        <w:t>11.4技术保障措施</w:t>
      </w:r>
      <w:r>
        <w:rPr>
          <w:rFonts w:hint="eastAsia" w:eastAsia="仿宋_GB2312"/>
        </w:rPr>
        <w:tab/>
      </w:r>
      <w:r>
        <w:rPr>
          <w:rFonts w:hint="eastAsia" w:eastAsia="仿宋_GB2312"/>
        </w:rPr>
        <w:fldChar w:fldCharType="begin"/>
      </w:r>
      <w:r>
        <w:rPr>
          <w:rFonts w:hint="eastAsia" w:eastAsia="仿宋_GB2312"/>
        </w:rPr>
        <w:instrText xml:space="preserve"> PAGEREF _Toc19323 \h </w:instrText>
      </w:r>
      <w:r>
        <w:rPr>
          <w:rFonts w:hint="eastAsia" w:eastAsia="仿宋_GB2312"/>
        </w:rPr>
        <w:fldChar w:fldCharType="separate"/>
      </w:r>
      <w:r>
        <w:rPr>
          <w:rFonts w:hint="eastAsia" w:eastAsia="仿宋_GB2312"/>
        </w:rPr>
        <w:t>84</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"_Toc5342" </w:instrText>
      </w:r>
      <w:r>
        <w:fldChar w:fldCharType="separate"/>
      </w:r>
      <w:r>
        <w:rPr>
          <w:rFonts w:hint="eastAsia" w:eastAsia="仿宋_GB2312"/>
        </w:rPr>
        <w:t>11.5公众参与</w:t>
      </w:r>
      <w:r>
        <w:rPr>
          <w:rFonts w:hint="eastAsia" w:eastAsia="仿宋_GB2312"/>
        </w:rPr>
        <w:tab/>
      </w:r>
      <w:r>
        <w:rPr>
          <w:rFonts w:hint="eastAsia" w:eastAsia="仿宋_GB2312"/>
        </w:rPr>
        <w:fldChar w:fldCharType="begin"/>
      </w:r>
      <w:r>
        <w:rPr>
          <w:rFonts w:hint="eastAsia" w:eastAsia="仿宋_GB2312"/>
        </w:rPr>
        <w:instrText xml:space="preserve"> PAGEREF _Toc5342 \h </w:instrText>
      </w:r>
      <w:r>
        <w:rPr>
          <w:rFonts w:hint="eastAsia" w:eastAsia="仿宋_GB2312"/>
        </w:rPr>
        <w:fldChar w:fldCharType="separate"/>
      </w:r>
      <w:r>
        <w:rPr>
          <w:rFonts w:hint="eastAsia" w:eastAsia="仿宋_GB2312"/>
        </w:rPr>
        <w:t>84</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"_Toc12850" </w:instrText>
      </w:r>
      <w:r>
        <w:fldChar w:fldCharType="separate"/>
      </w:r>
      <w:r>
        <w:rPr>
          <w:rFonts w:hint="eastAsia" w:eastAsia="仿宋_GB2312"/>
        </w:rPr>
        <w:t>11.6土地权属调整方案</w:t>
      </w:r>
      <w:r>
        <w:rPr>
          <w:rFonts w:hint="eastAsia" w:eastAsia="仿宋_GB2312"/>
        </w:rPr>
        <w:tab/>
      </w:r>
      <w:r>
        <w:rPr>
          <w:rFonts w:hint="eastAsia" w:eastAsia="仿宋_GB2312"/>
        </w:rPr>
        <w:fldChar w:fldCharType="begin"/>
      </w:r>
      <w:r>
        <w:rPr>
          <w:rFonts w:hint="eastAsia" w:eastAsia="仿宋_GB2312"/>
        </w:rPr>
        <w:instrText xml:space="preserve"> PAGEREF _Toc12850 \h </w:instrText>
      </w:r>
      <w:r>
        <w:rPr>
          <w:rFonts w:hint="eastAsia" w:eastAsia="仿宋_GB2312"/>
        </w:rPr>
        <w:fldChar w:fldCharType="separate"/>
      </w:r>
      <w:r>
        <w:rPr>
          <w:rFonts w:hint="eastAsia" w:eastAsia="仿宋_GB2312"/>
        </w:rPr>
        <w:t>86</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"_Toc14641" </w:instrText>
      </w:r>
      <w:r>
        <w:fldChar w:fldCharType="separate"/>
      </w:r>
      <w:r>
        <w:rPr>
          <w:rFonts w:hint="eastAsia" w:eastAsia="仿宋_GB2312"/>
        </w:rPr>
        <w:t>12土地复垦方案编制成果</w:t>
      </w:r>
      <w:r>
        <w:rPr>
          <w:rFonts w:hint="eastAsia" w:eastAsia="仿宋_GB2312"/>
        </w:rPr>
        <w:tab/>
      </w:r>
      <w:r>
        <w:rPr>
          <w:rFonts w:hint="eastAsia" w:eastAsia="仿宋_GB2312"/>
        </w:rPr>
        <w:fldChar w:fldCharType="begin"/>
      </w:r>
      <w:r>
        <w:rPr>
          <w:rFonts w:hint="eastAsia" w:eastAsia="仿宋_GB2312"/>
        </w:rPr>
        <w:instrText xml:space="preserve"> PAGEREF _Toc14641 \h </w:instrText>
      </w:r>
      <w:r>
        <w:rPr>
          <w:rFonts w:hint="eastAsia" w:eastAsia="仿宋_GB2312"/>
        </w:rPr>
        <w:fldChar w:fldCharType="separate"/>
      </w:r>
      <w:r>
        <w:rPr>
          <w:rFonts w:hint="eastAsia" w:eastAsia="仿宋_GB2312"/>
        </w:rPr>
        <w:t>87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"_Toc25842" </w:instrText>
      </w:r>
      <w:r>
        <w:fldChar w:fldCharType="separate"/>
      </w:r>
      <w:r>
        <w:rPr>
          <w:rFonts w:hint="eastAsia" w:eastAsia="仿宋_GB2312"/>
        </w:rPr>
        <w:t>12.1报告</w:t>
      </w:r>
      <w:r>
        <w:rPr>
          <w:rFonts w:hint="eastAsia" w:eastAsia="仿宋_GB2312"/>
        </w:rPr>
        <w:tab/>
      </w:r>
      <w:r>
        <w:rPr>
          <w:rFonts w:hint="eastAsia" w:eastAsia="仿宋_GB2312"/>
        </w:rPr>
        <w:fldChar w:fldCharType="begin"/>
      </w:r>
      <w:r>
        <w:rPr>
          <w:rFonts w:hint="eastAsia" w:eastAsia="仿宋_GB2312"/>
        </w:rPr>
        <w:instrText xml:space="preserve"> PAGEREF _Toc25842 \h </w:instrText>
      </w:r>
      <w:r>
        <w:rPr>
          <w:rFonts w:hint="eastAsia" w:eastAsia="仿宋_GB2312"/>
        </w:rPr>
        <w:fldChar w:fldCharType="separate"/>
      </w:r>
      <w:r>
        <w:rPr>
          <w:rFonts w:hint="eastAsia" w:eastAsia="仿宋_GB2312"/>
        </w:rPr>
        <w:t>87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"_Toc18024" </w:instrText>
      </w:r>
      <w:r>
        <w:fldChar w:fldCharType="separate"/>
      </w:r>
      <w:r>
        <w:rPr>
          <w:rFonts w:hint="eastAsia" w:eastAsia="仿宋_GB2312"/>
        </w:rPr>
        <w:t>12.2附件</w:t>
      </w:r>
      <w:r>
        <w:rPr>
          <w:rFonts w:hint="eastAsia" w:eastAsia="仿宋_GB2312"/>
        </w:rPr>
        <w:tab/>
      </w:r>
      <w:r>
        <w:rPr>
          <w:rFonts w:hint="eastAsia" w:eastAsia="仿宋_GB2312"/>
        </w:rPr>
        <w:fldChar w:fldCharType="begin"/>
      </w:r>
      <w:r>
        <w:rPr>
          <w:rFonts w:hint="eastAsia" w:eastAsia="仿宋_GB2312"/>
        </w:rPr>
        <w:instrText xml:space="preserve"> PAGEREF _Toc18024 \h </w:instrText>
      </w:r>
      <w:r>
        <w:rPr>
          <w:rFonts w:hint="eastAsia" w:eastAsia="仿宋_GB2312"/>
        </w:rPr>
        <w:fldChar w:fldCharType="separate"/>
      </w:r>
      <w:r>
        <w:rPr>
          <w:rFonts w:hint="eastAsia" w:eastAsia="仿宋_GB2312"/>
        </w:rPr>
        <w:t>87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"_Toc16138" </w:instrText>
      </w:r>
      <w:r>
        <w:fldChar w:fldCharType="separate"/>
      </w:r>
      <w:r>
        <w:rPr>
          <w:rFonts w:hint="eastAsia" w:eastAsia="仿宋_GB2312"/>
        </w:rPr>
        <w:t>12.3附图</w:t>
      </w:r>
      <w:r>
        <w:rPr>
          <w:rFonts w:hint="eastAsia" w:eastAsia="仿宋_GB2312"/>
        </w:rPr>
        <w:tab/>
      </w:r>
      <w:r>
        <w:rPr>
          <w:rFonts w:hint="eastAsia" w:eastAsia="仿宋_GB2312"/>
        </w:rPr>
        <w:fldChar w:fldCharType="begin"/>
      </w:r>
      <w:r>
        <w:rPr>
          <w:rFonts w:hint="eastAsia" w:eastAsia="仿宋_GB2312"/>
        </w:rPr>
        <w:instrText xml:space="preserve"> PAGEREF _Toc16138 \h </w:instrText>
      </w:r>
      <w:r>
        <w:rPr>
          <w:rFonts w:hint="eastAsia" w:eastAsia="仿宋_GB2312"/>
        </w:rPr>
        <w:fldChar w:fldCharType="separate"/>
      </w:r>
      <w:r>
        <w:rPr>
          <w:rFonts w:hint="eastAsia" w:eastAsia="仿宋_GB2312"/>
        </w:rPr>
        <w:t>87</w:t>
      </w:r>
      <w:r>
        <w:rPr>
          <w:rFonts w:hint="eastAsia" w:eastAsia="仿宋_GB2312"/>
        </w:rPr>
        <w:fldChar w:fldCharType="end"/>
      </w:r>
      <w:r>
        <w:rPr>
          <w:rFonts w:hint="eastAsia" w:eastAsia="仿宋_GB2312"/>
        </w:rPr>
        <w:fldChar w:fldCharType="end"/>
      </w:r>
    </w:p>
    <w:p>
      <w:pPr>
        <w:pStyle w:val="75"/>
        <w:tabs>
          <w:tab w:val="right" w:leader="dot" w:pos="9072"/>
          <w:tab w:val="clear" w:pos="8295"/>
        </w:tabs>
        <w:spacing w:line="360" w:lineRule="auto"/>
        <w:ind w:firstLine="0" w:firstLineChars="0"/>
        <w:rPr>
          <w:rFonts w:eastAsia="仿宋_GB2312"/>
        </w:rPr>
      </w:pPr>
      <w:r>
        <w:fldChar w:fldCharType="begin"/>
      </w:r>
      <w:r>
        <w:instrText xml:space="preserve"> HYPERLINK \l "_Toc23686" </w:instrText>
      </w:r>
      <w:r>
        <w:fldChar w:fldCharType="separate"/>
      </w:r>
      <w:r>
        <w:rPr>
          <w:rFonts w:hint="eastAsia" w:eastAsia="仿宋_GB2312"/>
        </w:rPr>
        <w:t>土地复垦方案报告表</w:t>
      </w:r>
      <w:r>
        <w:rPr>
          <w:rFonts w:hint="eastAsia" w:eastAsia="仿宋_GB2312"/>
        </w:rPr>
        <w:tab/>
      </w:r>
      <w:r>
        <w:rPr>
          <w:rFonts w:hint="eastAsia" w:eastAsia="仿宋_GB2312"/>
        </w:rPr>
        <w:fldChar w:fldCharType="begin"/>
      </w:r>
      <w:r>
        <w:rPr>
          <w:rFonts w:hint="eastAsia" w:eastAsia="仿宋_GB2312"/>
        </w:rPr>
        <w:instrText xml:space="preserve"> PAGEREF _Toc23686 \h </w:instrText>
      </w:r>
      <w:r>
        <w:rPr>
          <w:rFonts w:hint="eastAsia" w:eastAsia="仿宋_GB2312"/>
        </w:rPr>
        <w:fldChar w:fldCharType="separate"/>
      </w:r>
      <w:r>
        <w:rPr>
          <w:rFonts w:hint="eastAsia" w:eastAsia="仿宋_GB2312"/>
        </w:rPr>
        <w:t>89</w:t>
      </w:r>
      <w:r>
        <w:rPr>
          <w:rFonts w:hint="eastAsia" w:eastAsia="仿宋_GB2312"/>
        </w:rPr>
        <w:fldChar w:fldCharType="end"/>
      </w:r>
      <w:r>
        <w:rPr>
          <w:rFonts w:hint="eastAsia" w:eastAsia="仿宋_GB2312"/>
        </w:rPr>
        <w:fldChar w:fldCharType="end"/>
      </w:r>
    </w:p>
    <w:p>
      <w:pPr>
        <w:ind w:firstLine="480"/>
        <w:sectPr>
          <w:footerReference r:id="rId8" w:type="default"/>
          <w:pgSz w:w="11906" w:h="16838"/>
          <w:pgMar w:top="1418" w:right="1247" w:bottom="1418" w:left="1247" w:header="851" w:footer="992" w:gutter="340"/>
          <w:pgNumType w:fmt="upperRoman" w:start="1"/>
          <w:cols w:space="720" w:num="1"/>
          <w:docGrid w:type="linesAndChars" w:linePitch="326" w:charSpace="0"/>
        </w:sectPr>
      </w:pPr>
      <w:r>
        <w:fldChar w:fldCharType="end"/>
      </w:r>
    </w:p>
    <w:p>
      <w:pPr>
        <w:pStyle w:val="5"/>
      </w:pPr>
      <w:bookmarkStart w:id="18" w:name="_Toc24663"/>
      <w:bookmarkStart w:id="19" w:name="_Toc116061584"/>
      <w:r>
        <w:t>1前言</w:t>
      </w:r>
      <w:bookmarkEnd w:id="0"/>
      <w:bookmarkEnd w:id="1"/>
      <w:bookmarkEnd w:id="2"/>
      <w:bookmarkEnd w:id="7"/>
      <w:bookmarkEnd w:id="8"/>
      <w:bookmarkEnd w:id="9"/>
      <w:bookmarkEnd w:id="10"/>
      <w:bookmarkEnd w:id="11"/>
      <w:bookmarkEnd w:id="12"/>
      <w:bookmarkEnd w:id="13"/>
      <w:bookmarkEnd w:id="14"/>
      <w:bookmarkEnd w:id="15"/>
      <w:bookmarkEnd w:id="16"/>
      <w:bookmarkEnd w:id="17"/>
      <w:bookmarkEnd w:id="18"/>
      <w:bookmarkEnd w:id="19"/>
    </w:p>
    <w:p>
      <w:pPr>
        <w:pStyle w:val="6"/>
      </w:pPr>
      <w:bookmarkStart w:id="20" w:name="_Toc374433385"/>
      <w:bookmarkStart w:id="21" w:name="_Toc2820"/>
      <w:bookmarkStart w:id="22" w:name="_Toc331979718"/>
      <w:bookmarkStart w:id="23" w:name="_Toc116061585"/>
      <w:bookmarkStart w:id="24" w:name="_Toc331979403"/>
      <w:bookmarkStart w:id="25" w:name="_Toc278910443"/>
      <w:bookmarkStart w:id="26" w:name="_Toc8581511"/>
      <w:bookmarkStart w:id="27" w:name="_Toc326857778"/>
      <w:bookmarkStart w:id="28" w:name="_Toc10701"/>
      <w:bookmarkStart w:id="29" w:name="_Toc341866346"/>
      <w:bookmarkStart w:id="30" w:name="_Toc331979929"/>
      <w:bookmarkStart w:id="31" w:name="_Toc25073"/>
      <w:bookmarkStart w:id="32" w:name="_Toc331979508"/>
      <w:bookmarkStart w:id="33" w:name="_Toc93403598"/>
      <w:bookmarkStart w:id="34" w:name="_Toc332054157"/>
      <w:r>
        <w:t>1.1编制背景及过程</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ind w:firstLine="480"/>
      </w:pPr>
      <w:bookmarkStart w:id="35" w:name="_Toc8581512"/>
      <w:bookmarkStart w:id="36" w:name="_Toc331979509"/>
      <w:bookmarkStart w:id="37" w:name="_Toc326857779"/>
      <w:bookmarkStart w:id="38" w:name="_Toc331979930"/>
      <w:bookmarkStart w:id="39" w:name="_Toc374433386"/>
      <w:bookmarkStart w:id="40" w:name="_Toc278910444"/>
      <w:bookmarkStart w:id="41" w:name="_Toc331979404"/>
      <w:bookmarkStart w:id="42" w:name="_Toc341866347"/>
      <w:bookmarkStart w:id="43" w:name="_Toc5318"/>
      <w:bookmarkStart w:id="44" w:name="_Toc93403599"/>
      <w:bookmarkStart w:id="45" w:name="_Toc332054158"/>
      <w:bookmarkStart w:id="46" w:name="_Toc116061586"/>
      <w:bookmarkStart w:id="47" w:name="_Toc29400"/>
      <w:bookmarkStart w:id="48" w:name="_Toc331979719"/>
      <w:r>
        <w:rPr>
          <w:rFonts w:hint="eastAsia"/>
        </w:rPr>
        <w:t>现状供水总厂取水口位于亚斯墩电站引水渠，电站引水渠已建成运行近三十年，达到设计使用年限，因常年失修造成经常性停水维修，最长停水时间达到45天；沉淀池现状存在阀门和管路损坏，排泥不畅板结，影响正常供水。供水总厂共建设了三期净水车间，现状日处理水能力为3.3万</w:t>
      </w:r>
      <w:r>
        <w:t>m³/d</w:t>
      </w:r>
      <w:r>
        <w:rPr>
          <w:rFonts w:hint="eastAsia"/>
        </w:rPr>
        <w:t>，无法满足设计水平年7.7万</w:t>
      </w:r>
      <w:r>
        <w:t>m³/d</w:t>
      </w:r>
      <w:r>
        <w:rPr>
          <w:rFonts w:hint="eastAsia"/>
        </w:rPr>
        <w:t>的处理能力要求，急需扩建。</w:t>
      </w:r>
    </w:p>
    <w:p>
      <w:pPr>
        <w:ind w:firstLine="480"/>
      </w:pPr>
      <w:r>
        <w:rPr>
          <w:rFonts w:hint="eastAsia"/>
        </w:rPr>
        <w:t>2022年泽普县批复了《泽普县农村规模化供水工程初步设计报告》和《泽普县乡村振兴农村饮水输水管道工程初步设计报告》。</w:t>
      </w:r>
    </w:p>
    <w:p>
      <w:pPr>
        <w:ind w:firstLine="480"/>
      </w:pPr>
      <w:r>
        <w:rPr>
          <w:rFonts w:hint="eastAsia"/>
        </w:rPr>
        <w:t>2024年7月18日本项目初设通过泽普县发展和改革委员会批复《关于喀什地区泽普县供水城乡一体化建设工程泽普县农村规模化供水管道连通工程)初步设计(代可研)报告的批复》（泽发改项目〔2024〕352号）。</w:t>
      </w:r>
    </w:p>
    <w:p>
      <w:pPr>
        <w:ind w:firstLine="480"/>
      </w:pPr>
      <w:r>
        <w:rPr>
          <w:rFonts w:hint="eastAsia"/>
        </w:rPr>
        <w:t>喀什地区泽普县供水城乡一体化建设工程（泽普县农村规模化供水管道连通工程）临时用地总面积4.3908hm</w:t>
      </w:r>
      <w:r>
        <w:rPr>
          <w:rFonts w:hint="eastAsia"/>
          <w:vertAlign w:val="superscript"/>
        </w:rPr>
        <w:t>2</w:t>
      </w:r>
      <w:r>
        <w:rPr>
          <w:rFonts w:hint="eastAsia"/>
        </w:rPr>
        <w:t>。临时用地用于铺设供水管线。</w:t>
      </w:r>
    </w:p>
    <w:p>
      <w:pPr>
        <w:ind w:firstLine="480"/>
      </w:pPr>
      <w:r>
        <w:rPr>
          <w:rFonts w:hint="eastAsia"/>
        </w:rPr>
        <w:t>为贯彻落实国务院颁布的《土地复垦条例》、国务院七部委（局）《关于加强生产建设项目土地复垦管理工作的通知》（国土资发〔2006〕225号）、新疆维吾尔自治区自然资源厅办公室发布的《关于加强自治区生产建设项目土地复垦管理工作的通知》，及时复垦利用被损毁的土地，充分挖掘废弃土地潜力，促进土地节约集约利用，保护和改善项目建设环境，实现社会经济与生态环境可持续发展，泽普县淼鑫水务有限责任公司于2024年9月委托汉唐规划设计集团有限公司新疆分公司编制《喀什地区泽普县供水城乡一体化建设工程（泽普县农村规模化供水管道连通工程）临时用地土地复垦方案报告书》。</w:t>
      </w:r>
    </w:p>
    <w:p>
      <w:pPr>
        <w:ind w:firstLine="480"/>
      </w:pPr>
      <w:r>
        <w:rPr>
          <w:rFonts w:hint="eastAsia"/>
        </w:rPr>
        <w:t>接受委托后，我单位组织人员收集了相关基础资料，走访了相关职能部门和土地权利人，咨询和了解了当地国土空间规划和相关土地复垦规定，并严格按照《土地复垦方案编制规程》、《关于组织土地复垦方案编报和审查有关问题的通知》（国土资发〔2007〕81号）和《关于加强自治区生产建设项目土地复垦管理工作的通知》的相关规定，反复讨论修改，最终编制完成《喀什地区泽普县供水城乡一体化建设工程（泽普县农村规模化供水管道连通工程）临时用地土地复垦方案报告书》。</w:t>
      </w:r>
    </w:p>
    <w:p>
      <w:pPr>
        <w:ind w:firstLine="480"/>
        <w:rPr>
          <w:bCs/>
        </w:rPr>
      </w:pPr>
      <w:r>
        <w:rPr>
          <w:rFonts w:hint="eastAsia"/>
        </w:rPr>
        <w:t>在本方案编制期间，得到了喀什地区自然资源局，泽普县自然资源局和泽普县淼鑫水务有限责任公司等相关部门的领导和专家，悉心指导和大力支持，在此一并深表谢意！</w:t>
      </w:r>
    </w:p>
    <w:p>
      <w:pPr>
        <w:pStyle w:val="6"/>
      </w:pPr>
      <w:bookmarkStart w:id="49" w:name="_Toc6911"/>
      <w:r>
        <w:t>1.2复垦方案摘要</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7"/>
      </w:pPr>
      <w:bookmarkStart w:id="50" w:name="_Toc116061587"/>
      <w:bookmarkStart w:id="51" w:name="_Toc18147"/>
      <w:r>
        <w:rPr>
          <w:rFonts w:hint="eastAsia"/>
        </w:rPr>
        <w:t>1.2.1</w:t>
      </w:r>
      <w:r>
        <w:t>服务年限</w:t>
      </w:r>
      <w:bookmarkEnd w:id="50"/>
      <w:bookmarkEnd w:id="51"/>
    </w:p>
    <w:p>
      <w:pPr>
        <w:ind w:firstLine="480"/>
      </w:pPr>
      <w:r>
        <w:rPr>
          <w:rFonts w:hint="eastAsia"/>
        </w:rPr>
        <w:t>本方案针对喀什地区泽普县供水城乡一体化建设工程（泽普县农村规模化供水管道连通工程）临时用地在建设过程中实际产生的临时用地复垦，恢复原有土地利用类型。本项目建设工期2年，从2024年9月至2026年8月，复垦施工期预计7个月，从2026年8月至2027年3月，2027年4月至2030年3月为监测与管护阶段。最终确定本方案的服务年限为5年7个月。</w:t>
      </w:r>
    </w:p>
    <w:p>
      <w:pPr>
        <w:ind w:firstLine="480"/>
      </w:pPr>
      <w:r>
        <w:rPr>
          <w:rFonts w:hint="eastAsia"/>
        </w:rPr>
        <w:t>故本方案复垦服务年限=项目建设期2年（2024年9月至2026年8月）+复垦工程实施6个月（2026年8月至2027年3月）+监测管护期3年（2027年4月至2030年3月），即2024年9月至2030年3月。</w:t>
      </w:r>
    </w:p>
    <w:p>
      <w:pPr>
        <w:pStyle w:val="7"/>
      </w:pPr>
      <w:bookmarkStart w:id="52" w:name="_Toc116061588"/>
      <w:bookmarkStart w:id="53" w:name="_Toc25119"/>
      <w:r>
        <w:rPr>
          <w:rFonts w:hint="eastAsia"/>
        </w:rPr>
        <w:t>1.2.2</w:t>
      </w:r>
      <w:r>
        <w:t>方案涉及的各类土地面积</w:t>
      </w:r>
      <w:bookmarkEnd w:id="52"/>
      <w:bookmarkEnd w:id="53"/>
    </w:p>
    <w:p>
      <w:pPr>
        <w:ind w:firstLine="480"/>
      </w:pPr>
      <w:r>
        <w:rPr>
          <w:rFonts w:hint="eastAsia"/>
        </w:rPr>
        <w:t>a）临时用地面积：4.3908hm</w:t>
      </w:r>
      <w:r>
        <w:rPr>
          <w:rFonts w:hint="eastAsia"/>
          <w:vertAlign w:val="superscript"/>
        </w:rPr>
        <w:t>2</w:t>
      </w:r>
      <w:r>
        <w:rPr>
          <w:rFonts w:hint="eastAsia"/>
        </w:rPr>
        <w:t>。</w:t>
      </w:r>
    </w:p>
    <w:p>
      <w:pPr>
        <w:ind w:firstLine="480"/>
      </w:pPr>
      <w:r>
        <w:rPr>
          <w:rFonts w:hint="eastAsia"/>
        </w:rPr>
        <w:t>b）复垦区面积：4.3908hm</w:t>
      </w:r>
      <w:r>
        <w:rPr>
          <w:rFonts w:hint="eastAsia"/>
          <w:vertAlign w:val="superscript"/>
        </w:rPr>
        <w:t>2</w:t>
      </w:r>
      <w:r>
        <w:rPr>
          <w:rFonts w:hint="eastAsia"/>
        </w:rPr>
        <w:t>；</w:t>
      </w:r>
    </w:p>
    <w:p>
      <w:pPr>
        <w:ind w:firstLine="480"/>
      </w:pPr>
      <w:r>
        <w:rPr>
          <w:rFonts w:hint="eastAsia"/>
        </w:rPr>
        <w:t>c）复垦责任范围面积：4.3908hm</w:t>
      </w:r>
      <w:r>
        <w:rPr>
          <w:rFonts w:hint="eastAsia"/>
          <w:vertAlign w:val="superscript"/>
        </w:rPr>
        <w:t>2</w:t>
      </w:r>
      <w:r>
        <w:rPr>
          <w:rFonts w:hint="eastAsia"/>
        </w:rPr>
        <w:t>（由临时用地损毁土地区域构成）。</w:t>
      </w:r>
    </w:p>
    <w:p>
      <w:pPr>
        <w:ind w:firstLine="480"/>
      </w:pPr>
      <w:r>
        <w:rPr>
          <w:rFonts w:hint="eastAsia"/>
        </w:rPr>
        <w:t>本项目采用《喀什地区泽普县供水城乡一体化建设工程（泽普县农村规模化供水管道连通工程）临时用地土地勘测定界技术报告书》提供的项目区范围及地类数据。地类数据采用《自然资源部关于印发《国土空间调查、规划、用途管制用地用海分类指南》的通知》（自然资源部2023年11月22日）分类标准。</w:t>
      </w:r>
    </w:p>
    <w:p>
      <w:pPr>
        <w:ind w:firstLine="480"/>
      </w:pPr>
      <w:r>
        <w:rPr>
          <w:rFonts w:hint="eastAsia"/>
        </w:rPr>
        <w:t>本项目临时用地4.3908hm</w:t>
      </w:r>
      <w:r>
        <w:rPr>
          <w:rFonts w:hint="eastAsia"/>
          <w:vertAlign w:val="superscript"/>
        </w:rPr>
        <w:t>2</w:t>
      </w:r>
      <w:r>
        <w:rPr>
          <w:rFonts w:hint="eastAsia"/>
        </w:rPr>
        <w:t>采取签订临时使用土地协议方式，按照协议约定支付临时使用土地补偿费。项目临时用地不占用基本农田，不在生态红线范围内，临时用地符合《泽普县国土空间总体规划2021-2035》管控要求，符合保护耕地、集约节约用地的要求，临时用地使用期满后，由泽普县淼鑫水务有限责任公司进行复垦并交还给原土地使用权人。本方案涉及的各类土地面积见表1.2.2-1。复垦责任范围示意图见图1.2.2。</w:t>
      </w:r>
    </w:p>
    <w:p>
      <w:pPr>
        <w:ind w:firstLine="480"/>
      </w:pPr>
    </w:p>
    <w:p>
      <w:pPr>
        <w:ind w:firstLine="480"/>
      </w:pPr>
    </w:p>
    <w:p>
      <w:pPr>
        <w:ind w:firstLine="480"/>
      </w:pPr>
    </w:p>
    <w:p>
      <w:pPr>
        <w:ind w:firstLine="420"/>
        <w:jc w:val="center"/>
      </w:pPr>
      <w:r>
        <w:rPr>
          <w:rFonts w:eastAsia="黑体"/>
          <w:kern w:val="0"/>
          <w:sz w:val="21"/>
        </w:rPr>
        <w:t>图1.2.2复垦责任范围示意图</w:t>
      </w:r>
    </w:p>
    <w:p>
      <w:pPr>
        <w:pStyle w:val="7"/>
      </w:pPr>
      <w:bookmarkStart w:id="54" w:name="_Toc23680"/>
      <w:bookmarkStart w:id="55" w:name="_Toc116061589"/>
      <w:r>
        <w:rPr>
          <w:rFonts w:hint="eastAsia"/>
        </w:rPr>
        <w:t>1.2.3</w:t>
      </w:r>
      <w:r>
        <w:t>土地损毁情况</w:t>
      </w:r>
      <w:bookmarkEnd w:id="54"/>
      <w:bookmarkEnd w:id="55"/>
    </w:p>
    <w:p>
      <w:pPr>
        <w:ind w:firstLine="480"/>
      </w:pPr>
      <w:r>
        <w:t>a）本方案临时用地损毁面积为</w:t>
      </w:r>
      <w:r>
        <w:rPr>
          <w:rFonts w:hint="eastAsia"/>
        </w:rPr>
        <w:t>4.3908hm</w:t>
      </w:r>
      <w:r>
        <w:rPr>
          <w:rFonts w:hint="eastAsia"/>
          <w:vertAlign w:val="superscript"/>
        </w:rPr>
        <w:t>2</w:t>
      </w:r>
      <w:r>
        <w:t>，全部为拟损毁土地。临时使用土地地类为水浇地0.4026hm</w:t>
      </w:r>
      <w:r>
        <w:rPr>
          <w:vertAlign w:val="superscript"/>
        </w:rPr>
        <w:t>2</w:t>
      </w:r>
      <w:r>
        <w:rPr>
          <w:rFonts w:hint="eastAsia"/>
        </w:rPr>
        <w:t>，</w:t>
      </w:r>
      <w:r>
        <w:t>果园0.6105hm</w:t>
      </w:r>
      <w:r>
        <w:rPr>
          <w:vertAlign w:val="superscript"/>
        </w:rPr>
        <w:t>2</w:t>
      </w:r>
      <w:r>
        <w:rPr>
          <w:rFonts w:hint="eastAsia"/>
        </w:rPr>
        <w:t>，</w:t>
      </w:r>
      <w:r>
        <w:t>乔木林地0.2056hm</w:t>
      </w:r>
      <w:r>
        <w:rPr>
          <w:vertAlign w:val="superscript"/>
        </w:rPr>
        <w:t>2</w:t>
      </w:r>
      <w:r>
        <w:rPr>
          <w:rFonts w:hint="eastAsia"/>
        </w:rPr>
        <w:t>，</w:t>
      </w:r>
      <w:r>
        <w:t>其他林地0.0223hm</w:t>
      </w:r>
      <w:r>
        <w:rPr>
          <w:vertAlign w:val="superscript"/>
        </w:rPr>
        <w:t>2</w:t>
      </w:r>
      <w:r>
        <w:rPr>
          <w:rFonts w:hint="eastAsia"/>
        </w:rPr>
        <w:t>，</w:t>
      </w:r>
      <w:r>
        <w:t>其他草地0.0163hm</w:t>
      </w:r>
      <w:r>
        <w:rPr>
          <w:vertAlign w:val="superscript"/>
        </w:rPr>
        <w:t>2</w:t>
      </w:r>
      <w:r>
        <w:rPr>
          <w:rFonts w:hint="eastAsia"/>
        </w:rPr>
        <w:t>，</w:t>
      </w:r>
      <w:r>
        <w:t>农村道路1.2099hm</w:t>
      </w:r>
      <w:r>
        <w:rPr>
          <w:vertAlign w:val="superscript"/>
        </w:rPr>
        <w:t>2</w:t>
      </w:r>
      <w:r>
        <w:rPr>
          <w:rFonts w:hint="eastAsia"/>
        </w:rPr>
        <w:t>，</w:t>
      </w:r>
      <w:r>
        <w:t>农村宅基地0.0135hm</w:t>
      </w:r>
      <w:r>
        <w:rPr>
          <w:vertAlign w:val="superscript"/>
        </w:rPr>
        <w:t>2</w:t>
      </w:r>
      <w:r>
        <w:rPr>
          <w:rFonts w:hint="eastAsia"/>
        </w:rPr>
        <w:t>，</w:t>
      </w:r>
      <w:r>
        <w:t>采矿用地0.0094hm</w:t>
      </w:r>
      <w:r>
        <w:rPr>
          <w:vertAlign w:val="superscript"/>
        </w:rPr>
        <w:t>2</w:t>
      </w:r>
      <w:r>
        <w:rPr>
          <w:rFonts w:hint="eastAsia"/>
        </w:rPr>
        <w:t>，</w:t>
      </w:r>
      <w:r>
        <w:t>公路用地0.0319hm</w:t>
      </w:r>
      <w:r>
        <w:rPr>
          <w:vertAlign w:val="superscript"/>
        </w:rPr>
        <w:t>2</w:t>
      </w:r>
      <w:r>
        <w:rPr>
          <w:rFonts w:hint="eastAsia"/>
        </w:rPr>
        <w:t>，其他</w:t>
      </w:r>
      <w:r>
        <w:t>特殊用地0.0476hm</w:t>
      </w:r>
      <w:r>
        <w:rPr>
          <w:vertAlign w:val="superscript"/>
        </w:rPr>
        <w:t>2</w:t>
      </w:r>
      <w:r>
        <w:rPr>
          <w:rFonts w:hint="eastAsia"/>
        </w:rPr>
        <w:t>，</w:t>
      </w:r>
      <w:r>
        <w:t>沟渠</w:t>
      </w:r>
      <w:r>
        <w:rPr>
          <w:rFonts w:hint="eastAsia"/>
        </w:rPr>
        <w:t>1.8212</w:t>
      </w:r>
      <w:r>
        <w:t>hm</w:t>
      </w:r>
      <w:r>
        <w:rPr>
          <w:vertAlign w:val="superscript"/>
        </w:rPr>
        <w:t>2</w:t>
      </w:r>
      <w:r>
        <w:t>。损毁土地形式主要为</w:t>
      </w:r>
      <w:r>
        <w:rPr>
          <w:rFonts w:hint="eastAsia"/>
        </w:rPr>
        <w:t>挖损</w:t>
      </w:r>
      <w:r>
        <w:t>，土地损毁程度为中度。项目区土地损毁情况见表1.2.3-1。</w:t>
      </w:r>
    </w:p>
    <w:p>
      <w:pPr>
        <w:pStyle w:val="291"/>
      </w:pPr>
      <w:r>
        <w:rPr>
          <w:rFonts w:hint="eastAsia"/>
        </w:rPr>
        <w:t>表1.2.2-1各类土地面积统计表                单位：hm</w:t>
      </w:r>
      <w:r>
        <w:rPr>
          <w:rFonts w:hint="eastAsia"/>
          <w:vertAlign w:val="superscript"/>
        </w:rPr>
        <w:t>2</w:t>
      </w:r>
    </w:p>
    <w:tbl>
      <w:tblPr>
        <w:tblStyle w:val="88"/>
        <w:tblW w:w="90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0"/>
        <w:gridCol w:w="1692"/>
        <w:gridCol w:w="2847"/>
        <w:gridCol w:w="1769"/>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1000" w:type="dxa"/>
            <w:tcBorders>
              <w:tl2br w:val="nil"/>
              <w:tr2bl w:val="nil"/>
            </w:tcBorders>
            <w:noWrap/>
            <w:vAlign w:val="center"/>
          </w:tcPr>
          <w:p>
            <w:pPr>
              <w:pStyle w:val="142"/>
              <w:snapToGrid w:val="0"/>
              <w:rPr>
                <w:szCs w:val="21"/>
              </w:rPr>
            </w:pPr>
            <w:r>
              <w:rPr>
                <w:szCs w:val="21"/>
              </w:rPr>
              <w:t>序号</w:t>
            </w:r>
          </w:p>
        </w:tc>
        <w:tc>
          <w:tcPr>
            <w:tcW w:w="1692" w:type="dxa"/>
            <w:tcBorders>
              <w:tl2br w:val="nil"/>
              <w:tr2bl w:val="nil"/>
            </w:tcBorders>
            <w:noWrap/>
            <w:vAlign w:val="center"/>
          </w:tcPr>
          <w:p>
            <w:pPr>
              <w:pStyle w:val="142"/>
              <w:snapToGrid w:val="0"/>
              <w:rPr>
                <w:szCs w:val="21"/>
              </w:rPr>
            </w:pPr>
            <w:r>
              <w:rPr>
                <w:szCs w:val="21"/>
              </w:rPr>
              <w:t>名称</w:t>
            </w:r>
          </w:p>
        </w:tc>
        <w:tc>
          <w:tcPr>
            <w:tcW w:w="2847" w:type="dxa"/>
            <w:tcBorders>
              <w:tl2br w:val="nil"/>
              <w:tr2bl w:val="nil"/>
            </w:tcBorders>
            <w:noWrap/>
            <w:vAlign w:val="center"/>
          </w:tcPr>
          <w:p>
            <w:pPr>
              <w:pStyle w:val="142"/>
              <w:snapToGrid w:val="0"/>
              <w:rPr>
                <w:szCs w:val="21"/>
              </w:rPr>
            </w:pPr>
            <w:r>
              <w:rPr>
                <w:szCs w:val="21"/>
              </w:rPr>
              <w:t>用地范围</w:t>
            </w:r>
          </w:p>
        </w:tc>
        <w:tc>
          <w:tcPr>
            <w:tcW w:w="1769" w:type="dxa"/>
            <w:tcBorders>
              <w:tl2br w:val="nil"/>
              <w:tr2bl w:val="nil"/>
            </w:tcBorders>
            <w:noWrap/>
            <w:vAlign w:val="center"/>
          </w:tcPr>
          <w:p>
            <w:pPr>
              <w:pStyle w:val="142"/>
              <w:snapToGrid w:val="0"/>
              <w:rPr>
                <w:szCs w:val="21"/>
              </w:rPr>
            </w:pPr>
            <w:r>
              <w:rPr>
                <w:szCs w:val="21"/>
              </w:rPr>
              <w:t>面积</w:t>
            </w:r>
          </w:p>
        </w:tc>
        <w:tc>
          <w:tcPr>
            <w:tcW w:w="1769" w:type="dxa"/>
            <w:tcBorders>
              <w:tl2br w:val="nil"/>
              <w:tr2bl w:val="nil"/>
            </w:tcBorders>
            <w:noWrap/>
            <w:vAlign w:val="center"/>
          </w:tcPr>
          <w:p>
            <w:pPr>
              <w:pStyle w:val="142"/>
              <w:snapToGrid w:val="0"/>
              <w:rPr>
                <w:szCs w:val="21"/>
              </w:rPr>
            </w:pPr>
            <w:r>
              <w:rPr>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000" w:type="dxa"/>
            <w:tcBorders>
              <w:tl2br w:val="nil"/>
              <w:tr2bl w:val="nil"/>
            </w:tcBorders>
            <w:noWrap/>
            <w:vAlign w:val="center"/>
          </w:tcPr>
          <w:p>
            <w:pPr>
              <w:pStyle w:val="142"/>
              <w:snapToGrid w:val="0"/>
              <w:rPr>
                <w:szCs w:val="21"/>
              </w:rPr>
            </w:pPr>
            <w:r>
              <w:rPr>
                <w:szCs w:val="21"/>
              </w:rPr>
              <w:t>1</w:t>
            </w:r>
          </w:p>
        </w:tc>
        <w:tc>
          <w:tcPr>
            <w:tcW w:w="1692" w:type="dxa"/>
            <w:tcBorders>
              <w:tl2br w:val="nil"/>
              <w:tr2bl w:val="nil"/>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临时用地</w:t>
            </w:r>
          </w:p>
        </w:tc>
        <w:tc>
          <w:tcPr>
            <w:tcW w:w="2847" w:type="dxa"/>
            <w:tcBorders>
              <w:tl2br w:val="nil"/>
              <w:tr2bl w:val="nil"/>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1769" w:type="dxa"/>
            <w:tcBorders>
              <w:tl2br w:val="nil"/>
              <w:tr2bl w:val="nil"/>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000" w:type="dxa"/>
            <w:tcBorders>
              <w:tl2br w:val="nil"/>
              <w:tr2bl w:val="nil"/>
            </w:tcBorders>
            <w:noWrap/>
            <w:vAlign w:val="center"/>
          </w:tcPr>
          <w:p>
            <w:pPr>
              <w:pStyle w:val="142"/>
              <w:snapToGrid w:val="0"/>
              <w:rPr>
                <w:szCs w:val="21"/>
              </w:rPr>
            </w:pPr>
            <w:r>
              <w:rPr>
                <w:szCs w:val="21"/>
              </w:rPr>
              <w:t>2</w:t>
            </w:r>
          </w:p>
        </w:tc>
        <w:tc>
          <w:tcPr>
            <w:tcW w:w="1692" w:type="dxa"/>
            <w:tcBorders>
              <w:tl2br w:val="nil"/>
              <w:tr2bl w:val="nil"/>
            </w:tcBorders>
            <w:noWrap/>
            <w:vAlign w:val="center"/>
          </w:tcPr>
          <w:p>
            <w:pPr>
              <w:pStyle w:val="142"/>
              <w:snapToGrid w:val="0"/>
              <w:rPr>
                <w:szCs w:val="21"/>
              </w:rPr>
            </w:pPr>
            <w:r>
              <w:rPr>
                <w:szCs w:val="21"/>
              </w:rPr>
              <w:t>损毁土地</w:t>
            </w:r>
          </w:p>
        </w:tc>
        <w:tc>
          <w:tcPr>
            <w:tcW w:w="2847" w:type="dxa"/>
            <w:tcBorders>
              <w:tl2br w:val="nil"/>
              <w:tr2bl w:val="nil"/>
            </w:tcBorders>
            <w:noWrap/>
            <w:vAlign w:val="center"/>
          </w:tcPr>
          <w:p>
            <w:pPr>
              <w:pStyle w:val="142"/>
              <w:snapToGrid w:val="0"/>
              <w:rPr>
                <w:szCs w:val="21"/>
              </w:rPr>
            </w:pPr>
            <w:r>
              <w:rPr>
                <w:szCs w:val="21"/>
              </w:rPr>
              <w:t>临时用地</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000" w:type="dxa"/>
            <w:tcBorders>
              <w:tl2br w:val="nil"/>
              <w:tr2bl w:val="nil"/>
            </w:tcBorders>
            <w:noWrap/>
            <w:vAlign w:val="center"/>
          </w:tcPr>
          <w:p>
            <w:pPr>
              <w:pStyle w:val="142"/>
              <w:snapToGrid w:val="0"/>
              <w:rPr>
                <w:szCs w:val="21"/>
              </w:rPr>
            </w:pPr>
            <w:r>
              <w:rPr>
                <w:szCs w:val="21"/>
              </w:rPr>
              <w:t>3</w:t>
            </w:r>
          </w:p>
        </w:tc>
        <w:tc>
          <w:tcPr>
            <w:tcW w:w="1692" w:type="dxa"/>
            <w:tcBorders>
              <w:tl2br w:val="nil"/>
              <w:tr2bl w:val="nil"/>
            </w:tcBorders>
            <w:noWrap/>
            <w:vAlign w:val="center"/>
          </w:tcPr>
          <w:p>
            <w:pPr>
              <w:pStyle w:val="142"/>
              <w:snapToGrid w:val="0"/>
              <w:rPr>
                <w:szCs w:val="21"/>
              </w:rPr>
            </w:pPr>
            <w:r>
              <w:rPr>
                <w:szCs w:val="21"/>
              </w:rPr>
              <w:t>复垦责任范围</w:t>
            </w:r>
          </w:p>
        </w:tc>
        <w:tc>
          <w:tcPr>
            <w:tcW w:w="2847" w:type="dxa"/>
            <w:tcBorders>
              <w:tl2br w:val="nil"/>
              <w:tr2bl w:val="nil"/>
            </w:tcBorders>
            <w:noWrap/>
            <w:vAlign w:val="center"/>
          </w:tcPr>
          <w:p>
            <w:pPr>
              <w:pStyle w:val="142"/>
              <w:snapToGrid w:val="0"/>
              <w:rPr>
                <w:szCs w:val="21"/>
              </w:rPr>
            </w:pPr>
            <w:r>
              <w:rPr>
                <w:szCs w:val="21"/>
              </w:rPr>
              <w:t>临时用地</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000" w:type="dxa"/>
            <w:tcBorders>
              <w:tl2br w:val="nil"/>
              <w:tr2bl w:val="nil"/>
            </w:tcBorders>
            <w:noWrap/>
            <w:vAlign w:val="center"/>
          </w:tcPr>
          <w:p>
            <w:pPr>
              <w:pStyle w:val="142"/>
              <w:snapToGrid w:val="0"/>
              <w:rPr>
                <w:szCs w:val="21"/>
              </w:rPr>
            </w:pPr>
            <w:r>
              <w:rPr>
                <w:szCs w:val="21"/>
              </w:rPr>
              <w:t>4</w:t>
            </w:r>
          </w:p>
        </w:tc>
        <w:tc>
          <w:tcPr>
            <w:tcW w:w="1692" w:type="dxa"/>
            <w:tcBorders>
              <w:tl2br w:val="nil"/>
              <w:tr2bl w:val="nil"/>
            </w:tcBorders>
            <w:noWrap/>
            <w:vAlign w:val="center"/>
          </w:tcPr>
          <w:p>
            <w:pPr>
              <w:pStyle w:val="142"/>
              <w:snapToGrid w:val="0"/>
              <w:rPr>
                <w:szCs w:val="21"/>
              </w:rPr>
            </w:pPr>
            <w:r>
              <w:rPr>
                <w:szCs w:val="21"/>
              </w:rPr>
              <w:t>复垦区范围</w:t>
            </w:r>
          </w:p>
        </w:tc>
        <w:tc>
          <w:tcPr>
            <w:tcW w:w="2847" w:type="dxa"/>
            <w:tcBorders>
              <w:tl2br w:val="nil"/>
              <w:tr2bl w:val="nil"/>
            </w:tcBorders>
            <w:noWrap/>
            <w:vAlign w:val="center"/>
          </w:tcPr>
          <w:p>
            <w:pPr>
              <w:pStyle w:val="142"/>
              <w:snapToGrid w:val="0"/>
              <w:rPr>
                <w:szCs w:val="21"/>
              </w:rPr>
            </w:pPr>
            <w:r>
              <w:rPr>
                <w:szCs w:val="21"/>
              </w:rPr>
              <w:t>临时用地</w:t>
            </w:r>
          </w:p>
        </w:tc>
        <w:tc>
          <w:tcPr>
            <w:tcW w:w="1769" w:type="dxa"/>
            <w:tcBorders>
              <w:tl2br w:val="nil"/>
              <w:tr2bl w:val="nil"/>
            </w:tcBorders>
            <w:noWrap/>
            <w:vAlign w:val="center"/>
          </w:tcPr>
          <w:p>
            <w:pPr>
              <w:pStyle w:val="142"/>
              <w:snapToGrid w:val="0"/>
              <w:rPr>
                <w:szCs w:val="21"/>
              </w:rPr>
            </w:pPr>
            <w:r>
              <w:rPr>
                <w:rFonts w:hint="eastAsia"/>
                <w:szCs w:val="21"/>
              </w:rPr>
              <w:t>4.3908</w:t>
            </w:r>
          </w:p>
        </w:tc>
        <w:tc>
          <w:tcPr>
            <w:tcW w:w="1769" w:type="dxa"/>
            <w:tcBorders>
              <w:tl2br w:val="nil"/>
              <w:tr2bl w:val="nil"/>
            </w:tcBorders>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r>
    </w:tbl>
    <w:p>
      <w:pPr>
        <w:ind w:firstLine="480"/>
        <w:sectPr>
          <w:footerReference r:id="rId9" w:type="default"/>
          <w:pgSz w:w="11906" w:h="16838"/>
          <w:pgMar w:top="1418" w:right="1247" w:bottom="1418" w:left="1247" w:header="851" w:footer="992" w:gutter="340"/>
          <w:pgNumType w:start="1"/>
          <w:cols w:space="720" w:num="1"/>
          <w:docGrid w:type="linesAndChars" w:linePitch="326" w:charSpace="0"/>
        </w:sectPr>
      </w:pPr>
    </w:p>
    <w:p>
      <w:pPr>
        <w:pStyle w:val="291"/>
        <w:wordWrap w:val="0"/>
        <w:rPr>
          <w:vertAlign w:val="superscript"/>
        </w:rPr>
      </w:pPr>
      <w:r>
        <w:t>表1.2.3-</w:t>
      </w:r>
      <w:r>
        <w:rPr>
          <w:rFonts w:hint="eastAsia"/>
        </w:rPr>
        <w:t>1</w:t>
      </w:r>
      <w:r>
        <w:t>土地损毁情况汇总表</w:t>
      </w:r>
      <w:r>
        <w:rPr>
          <w:rFonts w:hint="eastAsia"/>
        </w:rPr>
        <w:t xml:space="preserve">                                           单位：hm</w:t>
      </w:r>
      <w:r>
        <w:rPr>
          <w:rFonts w:hint="eastAsia"/>
          <w:vertAlign w:val="superscript"/>
        </w:rPr>
        <w:t>2</w:t>
      </w:r>
    </w:p>
    <w:tbl>
      <w:tblPr>
        <w:tblStyle w:val="88"/>
        <w:tblW w:w="14218" w:type="dxa"/>
        <w:tblInd w:w="0" w:type="dxa"/>
        <w:tblLayout w:type="fixed"/>
        <w:tblCellMar>
          <w:top w:w="0" w:type="dxa"/>
          <w:left w:w="108" w:type="dxa"/>
          <w:bottom w:w="0" w:type="dxa"/>
          <w:right w:w="108" w:type="dxa"/>
        </w:tblCellMar>
      </w:tblPr>
      <w:tblGrid>
        <w:gridCol w:w="462"/>
        <w:gridCol w:w="465"/>
        <w:gridCol w:w="811"/>
        <w:gridCol w:w="900"/>
        <w:gridCol w:w="954"/>
        <w:gridCol w:w="1036"/>
        <w:gridCol w:w="1104"/>
        <w:gridCol w:w="954"/>
        <w:gridCol w:w="968"/>
        <w:gridCol w:w="899"/>
        <w:gridCol w:w="859"/>
        <w:gridCol w:w="830"/>
        <w:gridCol w:w="870"/>
        <w:gridCol w:w="845"/>
        <w:gridCol w:w="694"/>
        <w:gridCol w:w="557"/>
        <w:gridCol w:w="518"/>
        <w:gridCol w:w="492"/>
      </w:tblGrid>
      <w:tr>
        <w:tblPrEx>
          <w:tblLayout w:type="fixed"/>
          <w:tblCellMar>
            <w:top w:w="0" w:type="dxa"/>
            <w:left w:w="108" w:type="dxa"/>
            <w:bottom w:w="0" w:type="dxa"/>
            <w:right w:w="108" w:type="dxa"/>
          </w:tblCellMar>
        </w:tblPrEx>
        <w:trPr>
          <w:trHeight w:val="460" w:hRule="atLeast"/>
        </w:trPr>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序号</w:t>
            </w: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项目</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损毁面积</w:t>
            </w:r>
          </w:p>
        </w:tc>
        <w:tc>
          <w:tcPr>
            <w:tcW w:w="1021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用地类型</w:t>
            </w:r>
          </w:p>
        </w:tc>
        <w:tc>
          <w:tcPr>
            <w:tcW w:w="6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损毁时间</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损毁类型</w:t>
            </w:r>
          </w:p>
        </w:tc>
        <w:tc>
          <w:tcPr>
            <w:tcW w:w="5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损毁程度</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权属性质</w:t>
            </w:r>
          </w:p>
        </w:tc>
      </w:tr>
      <w:tr>
        <w:tblPrEx>
          <w:tblLayout w:type="fixed"/>
          <w:tblCellMar>
            <w:top w:w="0" w:type="dxa"/>
            <w:left w:w="108" w:type="dxa"/>
            <w:bottom w:w="0" w:type="dxa"/>
            <w:right w:w="108" w:type="dxa"/>
          </w:tblCellMar>
        </w:tblPrEx>
        <w:trPr>
          <w:trHeight w:val="1455" w:hRule="atLeast"/>
        </w:trPr>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耕地01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园地02</w:t>
            </w:r>
          </w:p>
        </w:tc>
        <w:tc>
          <w:tcPr>
            <w:tcW w:w="2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林地03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草地04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农业设施建设用地06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居住用地07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工矿用地10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交通运输用地12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rFonts w:hint="eastAsia"/>
                <w:szCs w:val="21"/>
              </w:rPr>
              <w:t>其他特殊用地</w:t>
            </w:r>
            <w:r>
              <w:rPr>
                <w:szCs w:val="21"/>
              </w:rPr>
              <w:t>15</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陆地水域17</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r>
      <w:tr>
        <w:tblPrEx>
          <w:tblLayout w:type="fixed"/>
          <w:tblCellMar>
            <w:top w:w="0" w:type="dxa"/>
            <w:left w:w="108" w:type="dxa"/>
            <w:bottom w:w="0" w:type="dxa"/>
            <w:right w:w="108" w:type="dxa"/>
          </w:tblCellMar>
        </w:tblPrEx>
        <w:trPr>
          <w:trHeight w:val="560" w:hRule="atLeast"/>
        </w:trPr>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水浇地0102</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果园0201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乔木林地0301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其他林地0304</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其他草地0403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农村道路0601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农村宅基地0703</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采矿用地1002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公路用地1202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其他</w:t>
            </w:r>
            <w:r>
              <w:rPr>
                <w:rFonts w:hint="eastAsia"/>
                <w:szCs w:val="21"/>
              </w:rPr>
              <w:t>其他特殊用地</w:t>
            </w:r>
            <w:r>
              <w:rPr>
                <w:szCs w:val="21"/>
              </w:rPr>
              <w:t>1507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沟渠1705</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r>
      <w:tr>
        <w:tblPrEx>
          <w:tblLayout w:type="fixed"/>
          <w:tblCellMar>
            <w:top w:w="0" w:type="dxa"/>
            <w:left w:w="108" w:type="dxa"/>
            <w:bottom w:w="0" w:type="dxa"/>
            <w:right w:w="108" w:type="dxa"/>
          </w:tblCellMar>
        </w:tblPrEx>
        <w:trPr>
          <w:trHeight w:val="717" w:hRule="atLeast"/>
        </w:trPr>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1</w:t>
            </w: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供水管线用地</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0.7024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0.0669</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0.0222</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0.0163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0.5731</w:t>
            </w:r>
          </w:p>
        </w:tc>
        <w:tc>
          <w:tcPr>
            <w:tcW w:w="6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2024年9月至2026年8月</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挖损</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中度</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国有</w:t>
            </w:r>
          </w:p>
        </w:tc>
      </w:tr>
      <w:tr>
        <w:tblPrEx>
          <w:tblLayout w:type="fixed"/>
          <w:tblCellMar>
            <w:top w:w="0" w:type="dxa"/>
            <w:left w:w="108" w:type="dxa"/>
            <w:bottom w:w="0" w:type="dxa"/>
            <w:right w:w="108" w:type="dxa"/>
          </w:tblCellMar>
        </w:tblPrEx>
        <w:trPr>
          <w:trHeight w:val="460" w:hRule="atLeast"/>
        </w:trPr>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3.6884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0.3357</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0.5998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0.2056</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1.2099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0.0094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0.0187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0.0476</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1.2481</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挖损</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中度</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集体</w:t>
            </w:r>
          </w:p>
        </w:tc>
      </w:tr>
      <w:tr>
        <w:tblPrEx>
          <w:tblLayout w:type="fixed"/>
          <w:tblCellMar>
            <w:top w:w="0" w:type="dxa"/>
            <w:left w:w="108" w:type="dxa"/>
            <w:bottom w:w="0" w:type="dxa"/>
            <w:right w:w="108" w:type="dxa"/>
          </w:tblCellMar>
        </w:tblPrEx>
        <w:trPr>
          <w:trHeight w:val="460" w:hRule="atLeast"/>
        </w:trPr>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合计</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4.3908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0.4026</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0.6105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0.2056</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0.0223</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0.0163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1.2099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0.0094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0.0319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0.0476</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1.8212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r>
    </w:tbl>
    <w:p>
      <w:pPr>
        <w:pStyle w:val="142"/>
        <w:snapToGrid w:val="0"/>
        <w:rPr>
          <w:szCs w:val="21"/>
        </w:rPr>
        <w:sectPr>
          <w:pgSz w:w="16838" w:h="11906" w:orient="landscape"/>
          <w:pgMar w:top="1247" w:right="1418" w:bottom="1247" w:left="1418" w:header="851" w:footer="992" w:gutter="340"/>
          <w:cols w:space="720" w:num="1"/>
          <w:docGrid w:type="linesAndChars" w:linePitch="312" w:charSpace="0"/>
        </w:sectPr>
      </w:pPr>
    </w:p>
    <w:p>
      <w:pPr>
        <w:pStyle w:val="7"/>
      </w:pPr>
      <w:bookmarkStart w:id="56" w:name="_Toc116061590"/>
      <w:bookmarkStart w:id="57" w:name="_Toc4753"/>
      <w:r>
        <w:rPr>
          <w:rFonts w:hint="eastAsia"/>
        </w:rPr>
        <w:t>1.2.4</w:t>
      </w:r>
      <w:r>
        <w:t>土地复垦目标</w:t>
      </w:r>
      <w:bookmarkEnd w:id="56"/>
      <w:bookmarkEnd w:id="57"/>
    </w:p>
    <w:p>
      <w:pPr>
        <w:snapToGrid w:val="0"/>
        <w:ind w:firstLine="480"/>
        <w:rPr>
          <w:kern w:val="0"/>
        </w:rPr>
      </w:pPr>
      <w:r>
        <w:rPr>
          <w:kern w:val="0"/>
        </w:rPr>
        <w:t>在尽量确保复垦方向与</w:t>
      </w:r>
      <w:r>
        <w:rPr>
          <w:rFonts w:hint="eastAsia"/>
          <w:kern w:val="0"/>
        </w:rPr>
        <w:t>国土空间规划</w:t>
      </w:r>
      <w:r>
        <w:rPr>
          <w:kern w:val="0"/>
        </w:rPr>
        <w:t>、周边景观保持一致的情况下，根据土地复垦适宜性评价结果，结合项目区自然环境特征，确定项目区最终的土地复垦方向、复垦面积及土地复垦率。</w:t>
      </w:r>
      <w:r>
        <w:t>本方案复垦责任范围面积</w:t>
      </w:r>
      <w:r>
        <w:rPr>
          <w:rFonts w:hint="eastAsia"/>
        </w:rPr>
        <w:t>4.3908hm</w:t>
      </w:r>
      <w:r>
        <w:rPr>
          <w:rFonts w:hint="eastAsia"/>
          <w:vertAlign w:val="superscript"/>
        </w:rPr>
        <w:t>2</w:t>
      </w:r>
      <w:r>
        <w:t>，其中水浇地0.4026hm</w:t>
      </w:r>
      <w:r>
        <w:rPr>
          <w:vertAlign w:val="superscript"/>
        </w:rPr>
        <w:t>2</w:t>
      </w:r>
      <w:r>
        <w:rPr>
          <w:rFonts w:hint="eastAsia"/>
        </w:rPr>
        <w:t>，</w:t>
      </w:r>
      <w:r>
        <w:t>果园0.6105hm</w:t>
      </w:r>
      <w:r>
        <w:rPr>
          <w:vertAlign w:val="superscript"/>
        </w:rPr>
        <w:t>2</w:t>
      </w:r>
      <w:r>
        <w:rPr>
          <w:rFonts w:hint="eastAsia"/>
        </w:rPr>
        <w:t>，</w:t>
      </w:r>
      <w:r>
        <w:t>乔木林地0.2056hm</w:t>
      </w:r>
      <w:r>
        <w:rPr>
          <w:vertAlign w:val="superscript"/>
        </w:rPr>
        <w:t>2</w:t>
      </w:r>
      <w:r>
        <w:rPr>
          <w:rFonts w:hint="eastAsia"/>
        </w:rPr>
        <w:t>，</w:t>
      </w:r>
      <w:r>
        <w:t>其他林地0.0223hm</w:t>
      </w:r>
      <w:r>
        <w:rPr>
          <w:vertAlign w:val="superscript"/>
        </w:rPr>
        <w:t>2</w:t>
      </w:r>
      <w:r>
        <w:rPr>
          <w:rFonts w:hint="eastAsia"/>
        </w:rPr>
        <w:t>，</w:t>
      </w:r>
      <w:r>
        <w:t>其他草地0.0163hm</w:t>
      </w:r>
      <w:r>
        <w:rPr>
          <w:vertAlign w:val="superscript"/>
        </w:rPr>
        <w:t>2</w:t>
      </w:r>
      <w:r>
        <w:rPr>
          <w:rFonts w:hint="eastAsia"/>
        </w:rPr>
        <w:t>，</w:t>
      </w:r>
      <w:r>
        <w:t>农村道路1.2099hm</w:t>
      </w:r>
      <w:r>
        <w:rPr>
          <w:vertAlign w:val="superscript"/>
        </w:rPr>
        <w:t>2</w:t>
      </w:r>
      <w:r>
        <w:rPr>
          <w:rFonts w:hint="eastAsia"/>
        </w:rPr>
        <w:t>，</w:t>
      </w:r>
      <w:r>
        <w:t>农村宅基地0.0135hm</w:t>
      </w:r>
      <w:r>
        <w:rPr>
          <w:vertAlign w:val="superscript"/>
        </w:rPr>
        <w:t>2</w:t>
      </w:r>
      <w:r>
        <w:rPr>
          <w:rFonts w:hint="eastAsia"/>
        </w:rPr>
        <w:t>，</w:t>
      </w:r>
      <w:r>
        <w:t>采矿用地0.0094hm</w:t>
      </w:r>
      <w:r>
        <w:rPr>
          <w:vertAlign w:val="superscript"/>
        </w:rPr>
        <w:t>2</w:t>
      </w:r>
      <w:r>
        <w:rPr>
          <w:rFonts w:hint="eastAsia"/>
        </w:rPr>
        <w:t>，</w:t>
      </w:r>
      <w:r>
        <w:t>公路用地0.0319hm</w:t>
      </w:r>
      <w:r>
        <w:rPr>
          <w:vertAlign w:val="superscript"/>
        </w:rPr>
        <w:t>2</w:t>
      </w:r>
      <w:r>
        <w:rPr>
          <w:rFonts w:hint="eastAsia"/>
        </w:rPr>
        <w:t>，其他</w:t>
      </w:r>
      <w:r>
        <w:t>特殊用地0.0476hm</w:t>
      </w:r>
      <w:r>
        <w:rPr>
          <w:vertAlign w:val="superscript"/>
        </w:rPr>
        <w:t>2</w:t>
      </w:r>
      <w:r>
        <w:rPr>
          <w:rFonts w:hint="eastAsia"/>
        </w:rPr>
        <w:t>，</w:t>
      </w:r>
      <w:r>
        <w:t>沟渠</w:t>
      </w:r>
      <w:r>
        <w:rPr>
          <w:rFonts w:hint="eastAsia"/>
        </w:rPr>
        <w:t>1.8212</w:t>
      </w:r>
      <w:r>
        <w:t>hm</w:t>
      </w:r>
      <w:r>
        <w:rPr>
          <w:vertAlign w:val="superscript"/>
        </w:rPr>
        <w:t>2</w:t>
      </w:r>
      <w:r>
        <w:t>，土地复垦率为100%。</w:t>
      </w:r>
    </w:p>
    <w:p>
      <w:pPr>
        <w:snapToGrid w:val="0"/>
        <w:ind w:firstLine="480"/>
        <w:jc w:val="left"/>
      </w:pPr>
      <w:r>
        <w:t>本方案复垦前后土地利用结构调整表见1.2.4-1。</w:t>
      </w:r>
    </w:p>
    <w:p>
      <w:pPr>
        <w:pStyle w:val="291"/>
        <w:rPr>
          <w:vertAlign w:val="superscript"/>
        </w:rPr>
      </w:pPr>
      <w:r>
        <w:rPr>
          <w:szCs w:val="21"/>
        </w:rPr>
        <w:t>表</w:t>
      </w:r>
      <w:r>
        <w:rPr>
          <w:rFonts w:hint="eastAsia"/>
          <w:szCs w:val="21"/>
        </w:rPr>
        <w:t>1.2.4-1</w:t>
      </w:r>
      <w:r>
        <w:rPr>
          <w:szCs w:val="21"/>
        </w:rPr>
        <w:t>复垦前后土地利用结构调整表</w:t>
      </w:r>
      <w:r>
        <w:rPr>
          <w:rFonts w:hint="eastAsia"/>
          <w:szCs w:val="21"/>
        </w:rPr>
        <w:t xml:space="preserve">              </w:t>
      </w:r>
      <w:r>
        <w:t>单位：hm</w:t>
      </w:r>
      <w:r>
        <w:rPr>
          <w:vertAlign w:val="superscript"/>
        </w:rPr>
        <w:t>2</w:t>
      </w:r>
    </w:p>
    <w:tbl>
      <w:tblPr>
        <w:tblStyle w:val="88"/>
        <w:tblW w:w="8978" w:type="dxa"/>
        <w:tblInd w:w="123" w:type="dxa"/>
        <w:tblLayout w:type="fixed"/>
        <w:tblCellMar>
          <w:top w:w="0" w:type="dxa"/>
          <w:left w:w="108" w:type="dxa"/>
          <w:bottom w:w="0" w:type="dxa"/>
          <w:right w:w="108" w:type="dxa"/>
        </w:tblCellMar>
      </w:tblPr>
      <w:tblGrid>
        <w:gridCol w:w="1954"/>
        <w:gridCol w:w="2049"/>
        <w:gridCol w:w="1715"/>
        <w:gridCol w:w="1719"/>
        <w:gridCol w:w="1541"/>
      </w:tblGrid>
      <w:tr>
        <w:tblPrEx>
          <w:tblLayout w:type="fixed"/>
          <w:tblCellMar>
            <w:top w:w="0" w:type="dxa"/>
            <w:left w:w="108" w:type="dxa"/>
            <w:bottom w:w="0" w:type="dxa"/>
            <w:right w:w="108" w:type="dxa"/>
          </w:tblCellMar>
        </w:tblPrEx>
        <w:trPr>
          <w:trHeight w:val="216" w:hRule="atLeast"/>
        </w:trPr>
        <w:tc>
          <w:tcPr>
            <w:tcW w:w="1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bookmarkStart w:id="58" w:name="_Toc9328"/>
            <w:bookmarkStart w:id="59" w:name="_Toc116061591"/>
            <w:r>
              <w:rPr>
                <w:kern w:val="0"/>
                <w:sz w:val="21"/>
                <w:szCs w:val="21"/>
                <w:lang w:bidi="ar"/>
              </w:rPr>
              <w:t>一级地类</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二级地类</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复垦区前</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复垦区后</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变幅</w:t>
            </w:r>
          </w:p>
        </w:tc>
      </w:tr>
      <w:tr>
        <w:tblPrEx>
          <w:tblLayout w:type="fixed"/>
          <w:tblCellMar>
            <w:top w:w="0" w:type="dxa"/>
            <w:left w:w="108" w:type="dxa"/>
            <w:bottom w:w="0" w:type="dxa"/>
            <w:right w:w="108" w:type="dxa"/>
          </w:tblCellMar>
        </w:tblPrEx>
        <w:trPr>
          <w:trHeight w:val="296" w:hRule="atLeast"/>
        </w:trPr>
        <w:tc>
          <w:tcPr>
            <w:tcW w:w="1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r>
              <w:rPr>
                <w:kern w:val="0"/>
                <w:sz w:val="21"/>
                <w:szCs w:val="21"/>
                <w:lang w:bidi="ar"/>
              </w:rPr>
              <w:t>01</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r>
              <w:rPr>
                <w:kern w:val="0"/>
                <w:sz w:val="21"/>
                <w:szCs w:val="21"/>
                <w:lang w:bidi="ar"/>
              </w:rPr>
              <w:t>0102</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0.4026</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sz w:val="21"/>
                <w:szCs w:val="21"/>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r>
              <w:rPr>
                <w:kern w:val="0"/>
                <w:sz w:val="21"/>
                <w:szCs w:val="21"/>
                <w:lang w:bidi="ar"/>
              </w:rPr>
              <w:t>02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r>
              <w:rPr>
                <w:kern w:val="0"/>
                <w:sz w:val="21"/>
                <w:szCs w:val="21"/>
                <w:lang w:bidi="ar"/>
              </w:rPr>
              <w:t>0201</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0.6105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sz w:val="21"/>
                <w:szCs w:val="21"/>
              </w:rPr>
            </w:pPr>
            <w:r>
              <w:rPr>
                <w:kern w:val="0"/>
                <w:sz w:val="21"/>
                <w:szCs w:val="21"/>
                <w:lang w:bidi="ar"/>
              </w:rPr>
              <w:t>0.00%</w:t>
            </w:r>
          </w:p>
        </w:tc>
      </w:tr>
      <w:tr>
        <w:tblPrEx>
          <w:tblLayout w:type="fixed"/>
          <w:tblCellMar>
            <w:top w:w="0" w:type="dxa"/>
            <w:left w:w="108" w:type="dxa"/>
            <w:bottom w:w="0" w:type="dxa"/>
            <w:right w:w="108" w:type="dxa"/>
          </w:tblCellMar>
        </w:tblPrEx>
        <w:trPr>
          <w:trHeight w:val="310" w:hRule="atLeast"/>
        </w:trPr>
        <w:tc>
          <w:tcPr>
            <w:tcW w:w="1954" w:type="dxa"/>
            <w:vMerge w:val="restart"/>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林地03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r>
              <w:rPr>
                <w:kern w:val="0"/>
                <w:sz w:val="21"/>
                <w:szCs w:val="21"/>
                <w:lang w:bidi="ar"/>
              </w:rPr>
              <w:t>0301</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r>
              <w:rPr>
                <w:kern w:val="0"/>
                <w:sz w:val="21"/>
                <w:szCs w:val="21"/>
                <w:lang w:bidi="ar"/>
              </w:rPr>
              <w:t>0304</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r>
              <w:rPr>
                <w:kern w:val="0"/>
                <w:sz w:val="21"/>
                <w:szCs w:val="21"/>
                <w:lang w:bidi="ar"/>
              </w:rPr>
              <w:t>04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r>
              <w:rPr>
                <w:kern w:val="0"/>
                <w:sz w:val="21"/>
                <w:szCs w:val="21"/>
                <w:lang w:bidi="ar"/>
              </w:rPr>
              <w:t>0403</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r>
              <w:rPr>
                <w:kern w:val="0"/>
                <w:sz w:val="21"/>
                <w:szCs w:val="21"/>
                <w:lang w:bidi="ar"/>
              </w:rPr>
              <w:t>06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r>
              <w:rPr>
                <w:kern w:val="0"/>
                <w:sz w:val="21"/>
                <w:szCs w:val="21"/>
                <w:lang w:bidi="ar"/>
              </w:rPr>
              <w:t>0601</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r>
              <w:rPr>
                <w:kern w:val="0"/>
                <w:sz w:val="21"/>
                <w:szCs w:val="21"/>
                <w:lang w:bidi="ar"/>
              </w:rPr>
              <w:t>07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r>
              <w:rPr>
                <w:kern w:val="0"/>
                <w:sz w:val="21"/>
                <w:szCs w:val="21"/>
                <w:lang w:bidi="ar"/>
              </w:rPr>
              <w:t>0703</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r>
              <w:rPr>
                <w:kern w:val="0"/>
                <w:sz w:val="21"/>
                <w:szCs w:val="21"/>
                <w:lang w:bidi="ar"/>
              </w:rPr>
              <w:t>10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r>
              <w:rPr>
                <w:kern w:val="0"/>
                <w:sz w:val="21"/>
                <w:szCs w:val="21"/>
                <w:lang w:bidi="ar"/>
              </w:rPr>
              <w:t>1002</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r>
              <w:rPr>
                <w:kern w:val="0"/>
                <w:sz w:val="21"/>
                <w:szCs w:val="21"/>
                <w:lang w:bidi="ar"/>
              </w:rPr>
              <w:t>12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r>
              <w:rPr>
                <w:kern w:val="0"/>
                <w:sz w:val="21"/>
                <w:szCs w:val="21"/>
                <w:lang w:bidi="ar"/>
              </w:rPr>
              <w:t>1202</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r>
              <w:rPr>
                <w:kern w:val="0"/>
                <w:sz w:val="21"/>
                <w:szCs w:val="21"/>
                <w:lang w:bidi="ar"/>
              </w:rPr>
              <w:t>15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其他其他特殊用地</w:t>
            </w:r>
            <w:r>
              <w:rPr>
                <w:kern w:val="0"/>
                <w:sz w:val="21"/>
                <w:szCs w:val="21"/>
                <w:lang w:bidi="ar"/>
              </w:rPr>
              <w:t>1507</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24" w:hRule="atLeast"/>
        </w:trPr>
        <w:tc>
          <w:tcPr>
            <w:tcW w:w="1954"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r>
              <w:rPr>
                <w:kern w:val="0"/>
                <w:sz w:val="21"/>
                <w:szCs w:val="21"/>
                <w:lang w:bidi="ar"/>
              </w:rPr>
              <w:t>17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r>
              <w:rPr>
                <w:kern w:val="0"/>
                <w:sz w:val="21"/>
                <w:szCs w:val="21"/>
                <w:lang w:bidi="ar"/>
              </w:rPr>
              <w:t>1705</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420"/>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224" w:hRule="atLeast"/>
        </w:trPr>
        <w:tc>
          <w:tcPr>
            <w:tcW w:w="40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合计</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0.00%</w:t>
            </w:r>
          </w:p>
        </w:tc>
      </w:tr>
      <w:bookmarkEnd w:id="58"/>
      <w:bookmarkEnd w:id="59"/>
    </w:tbl>
    <w:p>
      <w:pPr>
        <w:ind w:firstLine="480"/>
      </w:pPr>
      <w:r>
        <w:t>本项目土地复垦投资依据复垦工程内容及工程量进行估算，</w:t>
      </w:r>
      <w:r>
        <w:rPr>
          <w:rFonts w:hint="eastAsia"/>
        </w:rPr>
        <w:t>土地复垦静态总投资13.</w:t>
      </w:r>
      <w:r>
        <w:rPr>
          <w:rFonts w:hint="eastAsia"/>
          <w:lang w:val="en-US" w:eastAsia="zh-CN"/>
        </w:rPr>
        <w:t>54</w:t>
      </w:r>
      <w:r>
        <w:rPr>
          <w:rFonts w:hint="eastAsia"/>
        </w:rPr>
        <w:t>万元，静态亩均投资20</w:t>
      </w:r>
      <w:r>
        <w:rPr>
          <w:rFonts w:hint="eastAsia"/>
          <w:lang w:val="en-US" w:eastAsia="zh-CN"/>
        </w:rPr>
        <w:t>56.45</w:t>
      </w:r>
      <w:r>
        <w:rPr>
          <w:rFonts w:hint="eastAsia"/>
        </w:rPr>
        <w:t>元。其中：工程施工费7.31万元，其他费用2.</w:t>
      </w:r>
      <w:r>
        <w:rPr>
          <w:rFonts w:hint="eastAsia"/>
          <w:lang w:val="en-US" w:eastAsia="zh-CN"/>
        </w:rPr>
        <w:t>7</w:t>
      </w:r>
      <w:r>
        <w:rPr>
          <w:rFonts w:hint="eastAsia"/>
        </w:rPr>
        <w:t>0万元，监测费2.37万元，管护费0.86万元，预备费0.30万元</w:t>
      </w:r>
      <w:r>
        <w:t>。</w:t>
      </w:r>
    </w:p>
    <w:p>
      <w:pPr>
        <w:ind w:firstLine="480"/>
        <w:sectPr>
          <w:footerReference r:id="rId10" w:type="default"/>
          <w:pgSz w:w="11906" w:h="16838"/>
          <w:pgMar w:top="1418" w:right="1247" w:bottom="1418" w:left="1247" w:header="851" w:footer="992" w:gutter="340"/>
          <w:cols w:space="720" w:num="1"/>
          <w:docGrid w:type="linesAndChars" w:linePitch="312" w:charSpace="0"/>
        </w:sectPr>
      </w:pPr>
    </w:p>
    <w:p>
      <w:pPr>
        <w:pStyle w:val="5"/>
      </w:pPr>
      <w:bookmarkStart w:id="60" w:name="_Toc215548418"/>
      <w:bookmarkStart w:id="61" w:name="_Toc93403600"/>
      <w:bookmarkStart w:id="62" w:name="_Toc331979510"/>
      <w:bookmarkStart w:id="63" w:name="_Toc8605"/>
      <w:bookmarkStart w:id="64" w:name="_Toc25670"/>
      <w:bookmarkStart w:id="65" w:name="_Toc10129"/>
      <w:bookmarkStart w:id="66" w:name="_Toc215496699"/>
      <w:bookmarkStart w:id="67" w:name="_Toc215496773"/>
      <w:bookmarkStart w:id="68" w:name="_Toc272330928"/>
      <w:bookmarkStart w:id="69" w:name="_Toc215548343"/>
      <w:bookmarkStart w:id="70" w:name="_Toc374433387"/>
      <w:bookmarkStart w:id="71" w:name="_Toc341866348"/>
      <w:bookmarkStart w:id="72" w:name="_Toc8581513"/>
      <w:bookmarkStart w:id="73" w:name="_Toc331979931"/>
      <w:bookmarkStart w:id="74" w:name="_Toc331979720"/>
      <w:bookmarkStart w:id="75" w:name="_Toc331979405"/>
      <w:bookmarkStart w:id="76" w:name="_Toc260918439"/>
      <w:bookmarkStart w:id="77" w:name="_Toc245534784"/>
      <w:bookmarkStart w:id="78" w:name="_Toc326857780"/>
      <w:bookmarkStart w:id="79" w:name="_Toc116061592"/>
      <w:bookmarkStart w:id="80" w:name="_Toc332054159"/>
      <w:bookmarkStart w:id="81" w:name="_Toc306979453"/>
      <w:bookmarkStart w:id="82" w:name="_Toc93403655"/>
      <w:bookmarkStart w:id="83" w:name="_Toc331980032"/>
      <w:bookmarkStart w:id="84" w:name="_Toc331979821"/>
      <w:bookmarkStart w:id="85" w:name="_Toc8581634"/>
      <w:bookmarkStart w:id="86" w:name="_Toc332054260"/>
      <w:bookmarkStart w:id="87" w:name="_Toc116061670"/>
      <w:bookmarkStart w:id="88" w:name="_Toc30080"/>
      <w:bookmarkStart w:id="89" w:name="_Toc13280"/>
      <w:bookmarkStart w:id="90" w:name="_Toc341866456"/>
      <w:bookmarkStart w:id="91" w:name="_Toc331979506"/>
      <w:bookmarkStart w:id="92" w:name="_Toc374433496"/>
      <w:bookmarkStart w:id="93" w:name="_Toc331979611"/>
      <w:r>
        <w:t>2编制总则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6"/>
      </w:pPr>
      <w:bookmarkStart w:id="94" w:name="_Toc272330929"/>
      <w:bookmarkStart w:id="95" w:name="_Toc245534785"/>
      <w:bookmarkStart w:id="96" w:name="_Toc332054160"/>
      <w:bookmarkStart w:id="97" w:name="_Toc341866349"/>
      <w:bookmarkStart w:id="98" w:name="_Toc215496700"/>
      <w:bookmarkStart w:id="99" w:name="_Toc215548344"/>
      <w:bookmarkStart w:id="100" w:name="_Toc326857781"/>
      <w:bookmarkStart w:id="101" w:name="_Toc93403601"/>
      <w:bookmarkStart w:id="102" w:name="_Toc13602"/>
      <w:bookmarkStart w:id="103" w:name="_Toc23161"/>
      <w:bookmarkStart w:id="104" w:name="_Toc331979721"/>
      <w:bookmarkStart w:id="105" w:name="_Toc260918440"/>
      <w:bookmarkStart w:id="106" w:name="_Toc8581514"/>
      <w:bookmarkStart w:id="107" w:name="_Toc374433388"/>
      <w:bookmarkStart w:id="108" w:name="_Toc331979511"/>
      <w:bookmarkStart w:id="109" w:name="_Toc215496774"/>
      <w:bookmarkStart w:id="110" w:name="_Toc30295"/>
      <w:bookmarkStart w:id="111" w:name="_Toc331979932"/>
      <w:bookmarkStart w:id="112" w:name="_Toc331979406"/>
      <w:bookmarkStart w:id="113" w:name="_Toc116061593"/>
      <w:bookmarkStart w:id="114" w:name="_Toc215548419"/>
      <w:r>
        <w:t>2.1编制目的</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ind w:firstLine="480"/>
      </w:pPr>
      <w:r>
        <w:t>为贯彻落实《土地复垦条例》“谁损毁、谁复垦”的基本原则，坚持最严格的节约集约用地制度，坚持项目在建设中少占地、不占或少占耕地，减少土地损毁面积，并保证损毁土地得到及时复垦；同时，将建设单位的土地复垦目标、任务、措施和计划等落到实处，为土地复垦的实施管理、监督检查以及土地复垦费用的征收等提供依据，确保土地复垦工作落到实处，特编制本方案。</w:t>
      </w:r>
    </w:p>
    <w:p>
      <w:pPr>
        <w:pStyle w:val="6"/>
      </w:pPr>
      <w:bookmarkStart w:id="115" w:name="_Toc8581515"/>
      <w:bookmarkStart w:id="116" w:name="_Toc6365"/>
      <w:bookmarkStart w:id="117" w:name="_Toc116061594"/>
      <w:bookmarkStart w:id="118" w:name="_Toc341866350"/>
      <w:bookmarkStart w:id="119" w:name="_Toc272330930"/>
      <w:bookmarkStart w:id="120" w:name="_Toc331979512"/>
      <w:bookmarkStart w:id="121" w:name="_Toc260918441"/>
      <w:bookmarkStart w:id="122" w:name="_Toc326857782"/>
      <w:bookmarkStart w:id="123" w:name="_Toc17410"/>
      <w:bookmarkStart w:id="124" w:name="_Toc332054161"/>
      <w:bookmarkStart w:id="125" w:name="_Toc374433389"/>
      <w:bookmarkStart w:id="126" w:name="_Toc93403602"/>
      <w:bookmarkStart w:id="127" w:name="_Toc13243"/>
      <w:bookmarkStart w:id="128" w:name="_Toc331979407"/>
      <w:bookmarkStart w:id="129" w:name="_Toc331979933"/>
      <w:bookmarkStart w:id="130" w:name="_Toc331979722"/>
      <w:r>
        <w:t>2.2编制原则</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ind w:firstLine="480"/>
      </w:pPr>
      <w:bookmarkStart w:id="131" w:name="_Toc332054162"/>
      <w:bookmarkStart w:id="132" w:name="_Toc260918442"/>
      <w:bookmarkStart w:id="133" w:name="_Toc326857783"/>
      <w:bookmarkStart w:id="134" w:name="_Toc331979513"/>
      <w:bookmarkStart w:id="135" w:name="_Toc341866351"/>
      <w:bookmarkStart w:id="136" w:name="_Toc246340435"/>
      <w:bookmarkStart w:id="137" w:name="_Toc331979934"/>
      <w:bookmarkStart w:id="138" w:name="_Toc215548346"/>
      <w:bookmarkStart w:id="139" w:name="_Toc215496776"/>
      <w:bookmarkStart w:id="140" w:name="_Toc331979723"/>
      <w:bookmarkStart w:id="141" w:name="_Toc272330931"/>
      <w:bookmarkStart w:id="142" w:name="_Toc215496702"/>
      <w:bookmarkStart w:id="143" w:name="_Toc331979408"/>
      <w:bookmarkStart w:id="144" w:name="_Toc215548421"/>
      <w:r>
        <w:t>根据项目自然环境与社会经济发展情况，按照经济可行、技术合理、综合效益最佳、便于操作的要求，结合项目自身的特征，体现以下复垦原则：</w:t>
      </w:r>
    </w:p>
    <w:p>
      <w:pPr>
        <w:ind w:firstLine="482"/>
      </w:pPr>
      <w:r>
        <w:rPr>
          <w:rFonts w:hint="eastAsia"/>
          <w:b/>
        </w:rPr>
        <w:t>（1）</w:t>
      </w:r>
      <w:r>
        <w:rPr>
          <w:b/>
        </w:rPr>
        <w:t>源头控制、预防与复垦相结合。</w:t>
      </w:r>
      <w:r>
        <w:t>在工程建设过程中应采取预防、控制措施，尽量减少临时用地面积，工程合理布局；临时用地首先考虑未利用地。坚持预防为主、防治结合的原则，防患于未然，使土地损毁面积和损毁程度控制在最小范围和限度内，使项目区域生态环境得到有效保护。</w:t>
      </w:r>
    </w:p>
    <w:p>
      <w:pPr>
        <w:ind w:firstLine="482"/>
      </w:pPr>
      <w:r>
        <w:rPr>
          <w:rFonts w:hint="eastAsia"/>
          <w:b/>
        </w:rPr>
        <w:t>（2）</w:t>
      </w:r>
      <w:r>
        <w:rPr>
          <w:b/>
        </w:rPr>
        <w:t>统一规划，统筹安排。</w:t>
      </w:r>
      <w:r>
        <w:t>依据当地的</w:t>
      </w:r>
      <w:r>
        <w:rPr>
          <w:rFonts w:hint="eastAsia"/>
        </w:rPr>
        <w:t>国土空间规划</w:t>
      </w:r>
      <w:r>
        <w:t>，确定项目复垦区的土地复垦方向；做到土地复垦与工程建设同步设计、同步施工，努力实现“边建设、边复垦”，使项目建设与复垦统一规划，统筹安排。</w:t>
      </w:r>
    </w:p>
    <w:p>
      <w:pPr>
        <w:ind w:firstLine="482"/>
      </w:pPr>
      <w:r>
        <w:rPr>
          <w:rFonts w:hint="eastAsia"/>
          <w:b/>
        </w:rPr>
        <w:t>（3）</w:t>
      </w:r>
      <w:r>
        <w:rPr>
          <w:b/>
        </w:rPr>
        <w:t>因地制宜，优先用于农用地。</w:t>
      </w:r>
      <w:r>
        <w:t>贯彻落实“十分珍惜和合理利用土地，切实保护耕地”的基本国策，按照“因地制宜，综合利用”的原则，依据项目所在地的</w:t>
      </w:r>
      <w:r>
        <w:rPr>
          <w:rFonts w:hint="eastAsia"/>
        </w:rPr>
        <w:t>国土空间规划</w:t>
      </w:r>
      <w:r>
        <w:t>，合理确定复垦土地用途，因地制宜，宜农则农、宜林则林、宜牧则牧、宜建则建。被损毁土地可复垦为农用地的，应优先用于农用地。</w:t>
      </w:r>
    </w:p>
    <w:p>
      <w:pPr>
        <w:ind w:firstLine="482"/>
      </w:pPr>
      <w:r>
        <w:rPr>
          <w:rFonts w:hint="eastAsia"/>
          <w:b/>
        </w:rPr>
        <w:t>（4）</w:t>
      </w:r>
      <w:r>
        <w:rPr>
          <w:b/>
        </w:rPr>
        <w:t>可操作性，综合效益最佳。</w:t>
      </w:r>
      <w:r>
        <w:t>复垦方案的工程措施要充分考虑项目区特性和工程投资情况，体现经济可行、技术科学合理、综合效益最佳、可操作性强的原则。</w:t>
      </w:r>
    </w:p>
    <w:p>
      <w:pPr>
        <w:pStyle w:val="6"/>
      </w:pPr>
      <w:bookmarkStart w:id="145" w:name="_Toc30355"/>
      <w:bookmarkStart w:id="146" w:name="_Toc8581516"/>
      <w:bookmarkStart w:id="147" w:name="_Toc93403603"/>
      <w:bookmarkStart w:id="148" w:name="_Toc32732"/>
      <w:bookmarkStart w:id="149" w:name="_Toc116061595"/>
      <w:bookmarkStart w:id="150" w:name="_Toc15194"/>
      <w:bookmarkStart w:id="151" w:name="_Toc374433390"/>
      <w:r>
        <w:t>2.3编制依据</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7"/>
      </w:pPr>
      <w:bookmarkStart w:id="152" w:name="_Toc215548422"/>
      <w:bookmarkStart w:id="153" w:name="_Toc331979724"/>
      <w:bookmarkStart w:id="154" w:name="_Toc331979409"/>
      <w:bookmarkStart w:id="155" w:name="_Toc6856078"/>
      <w:bookmarkStart w:id="156" w:name="_Toc18780"/>
      <w:bookmarkStart w:id="157" w:name="_Toc341866352"/>
      <w:bookmarkStart w:id="158" w:name="_Toc331979935"/>
      <w:bookmarkStart w:id="159" w:name="_Toc215548347"/>
      <w:bookmarkStart w:id="160" w:name="_Toc260918443"/>
      <w:bookmarkStart w:id="161" w:name="_Toc374433391"/>
      <w:bookmarkStart w:id="162" w:name="_Toc215496777"/>
      <w:bookmarkStart w:id="163" w:name="_Toc116061596"/>
      <w:bookmarkStart w:id="164" w:name="_Toc215496703"/>
      <w:bookmarkStart w:id="165" w:name="_Toc331979514"/>
      <w:bookmarkStart w:id="166" w:name="_Toc6873158"/>
      <w:bookmarkStart w:id="167" w:name="_Toc8385914"/>
      <w:bookmarkStart w:id="168" w:name="_Toc246340436"/>
      <w:bookmarkStart w:id="169" w:name="_Toc272330932"/>
      <w:bookmarkStart w:id="170" w:name="_Toc8581517"/>
      <w:bookmarkStart w:id="171" w:name="_Toc332054163"/>
      <w:r>
        <w:t>2.3.1法律法规</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snapToGrid w:val="0"/>
        <w:ind w:firstLine="480"/>
        <w:rPr>
          <w:u w:color="000000"/>
        </w:rPr>
      </w:pPr>
      <w:bookmarkStart w:id="172" w:name="_Toc260918444"/>
      <w:bookmarkStart w:id="173" w:name="_Toc215496778"/>
      <w:bookmarkStart w:id="174" w:name="_Toc331979515"/>
      <w:bookmarkStart w:id="175" w:name="_Toc341866353"/>
      <w:bookmarkStart w:id="176" w:name="_Toc215548423"/>
      <w:bookmarkStart w:id="177" w:name="_Toc331979725"/>
      <w:bookmarkStart w:id="178" w:name="_Toc331979410"/>
      <w:bookmarkStart w:id="179" w:name="_Toc8581518"/>
      <w:bookmarkStart w:id="180" w:name="_Toc246340437"/>
      <w:bookmarkStart w:id="181" w:name="_Toc8385915"/>
      <w:bookmarkStart w:id="182" w:name="_Toc215548348"/>
      <w:bookmarkStart w:id="183" w:name="_Toc272330933"/>
      <w:bookmarkStart w:id="184" w:name="_Toc215496704"/>
      <w:bookmarkStart w:id="185" w:name="_Toc332054164"/>
      <w:bookmarkStart w:id="186" w:name="_Toc374433392"/>
      <w:bookmarkStart w:id="187" w:name="_Toc331979936"/>
      <w:bookmarkStart w:id="188" w:name="_Toc6856079"/>
      <w:bookmarkStart w:id="189" w:name="_Toc6873159"/>
      <w:r>
        <w:rPr>
          <w:rFonts w:hint="eastAsia" w:eastAsia="仿宋"/>
          <w:u w:color="000000"/>
        </w:rPr>
        <w:t>1</w:t>
      </w:r>
      <w:r>
        <w:rPr>
          <w:u w:color="000000"/>
        </w:rPr>
        <w:t>）《中华人民共和国土地管理法》（2019年8月26日第十三届全国人民代表大会常务委员会第十二次会议第三次修正，2020年1月1日施行）；</w:t>
      </w:r>
    </w:p>
    <w:p>
      <w:pPr>
        <w:snapToGrid w:val="0"/>
        <w:ind w:firstLine="480"/>
        <w:rPr>
          <w:u w:color="000000"/>
        </w:rPr>
      </w:pPr>
      <w:r>
        <w:rPr>
          <w:rFonts w:hint="eastAsia"/>
          <w:u w:color="000000"/>
        </w:rPr>
        <w:t>2</w:t>
      </w:r>
      <w:r>
        <w:rPr>
          <w:u w:color="000000"/>
        </w:rPr>
        <w:t>）《中华人民共和国土地管理法实施条例》（中华人民共和国国务院令第743号第三次修订，2021年9月1日起施行）；</w:t>
      </w:r>
    </w:p>
    <w:p>
      <w:pPr>
        <w:snapToGrid w:val="0"/>
        <w:ind w:firstLine="480"/>
        <w:rPr>
          <w:u w:color="000000"/>
        </w:rPr>
      </w:pPr>
      <w:r>
        <w:rPr>
          <w:rFonts w:hint="eastAsia"/>
          <w:u w:color="000000"/>
        </w:rPr>
        <w:t>3）《土地复垦条例》（中华人民共和国国务院令第592号）。</w:t>
      </w:r>
    </w:p>
    <w:p>
      <w:pPr>
        <w:snapToGrid w:val="0"/>
        <w:ind w:firstLine="480"/>
        <w:rPr>
          <w:spacing w:val="-6"/>
          <w:u w:color="000000"/>
        </w:rPr>
      </w:pPr>
      <w:r>
        <w:rPr>
          <w:rFonts w:hint="eastAsia"/>
          <w:u w:color="000000"/>
        </w:rPr>
        <w:t>4</w:t>
      </w:r>
      <w:r>
        <w:rPr>
          <w:u w:color="000000"/>
        </w:rPr>
        <w:t>）</w:t>
      </w:r>
      <w:r>
        <w:rPr>
          <w:spacing w:val="-6"/>
          <w:u w:color="000000"/>
        </w:rPr>
        <w:t>《土地复垦条例实施办法》（2019年7月16日自然资源部第二次部务会议修正）；</w:t>
      </w:r>
    </w:p>
    <w:p>
      <w:pPr>
        <w:snapToGrid w:val="0"/>
        <w:ind w:firstLine="480"/>
        <w:rPr>
          <w:u w:color="000000"/>
        </w:rPr>
      </w:pPr>
      <w:r>
        <w:rPr>
          <w:rFonts w:hint="eastAsia"/>
          <w:u w:color="000000"/>
        </w:rPr>
        <w:t>5</w:t>
      </w:r>
      <w:r>
        <w:rPr>
          <w:u w:color="000000"/>
        </w:rPr>
        <w:t>）《中华人民共和国循环经济促进法》（根据2018年10月26日第十三届全国人民代表大会常务委员会第六次会议《关于修改〈中华人民共和国野生动物保护法〉等十五部法律的决定》修正）；</w:t>
      </w:r>
    </w:p>
    <w:p>
      <w:pPr>
        <w:snapToGrid w:val="0"/>
        <w:ind w:firstLine="480"/>
        <w:rPr>
          <w:u w:color="000000"/>
        </w:rPr>
      </w:pPr>
      <w:r>
        <w:rPr>
          <w:rFonts w:hint="eastAsia"/>
          <w:u w:color="000000"/>
        </w:rPr>
        <w:t>6</w:t>
      </w:r>
      <w:r>
        <w:rPr>
          <w:u w:color="000000"/>
        </w:rPr>
        <w:t>）《中华人民共和国水土保持法》（2010年12月25日第十一届全国人民代表大会常务委员会第十八次会议修订，自2011年3月1日起施行）；</w:t>
      </w:r>
    </w:p>
    <w:p>
      <w:pPr>
        <w:snapToGrid w:val="0"/>
        <w:ind w:firstLine="480"/>
        <w:rPr>
          <w:u w:color="000000"/>
        </w:rPr>
      </w:pPr>
      <w:r>
        <w:rPr>
          <w:rFonts w:hint="eastAsia"/>
          <w:u w:color="000000"/>
        </w:rPr>
        <w:t>7</w:t>
      </w:r>
      <w:r>
        <w:rPr>
          <w:u w:color="000000"/>
        </w:rPr>
        <w:t>）《中华人民共和国防沙治沙法》（2018年10月26日第十三届全国人民代表大会常务委员会第六次会议修正）；</w:t>
      </w:r>
    </w:p>
    <w:p>
      <w:pPr>
        <w:snapToGrid w:val="0"/>
        <w:ind w:firstLine="480"/>
        <w:rPr>
          <w:u w:color="000000"/>
        </w:rPr>
      </w:pPr>
      <w:r>
        <w:rPr>
          <w:rFonts w:hint="eastAsia"/>
          <w:u w:color="000000"/>
        </w:rPr>
        <w:t>8</w:t>
      </w:r>
      <w:r>
        <w:rPr>
          <w:u w:color="000000"/>
        </w:rPr>
        <w:t>）《中华人民共和国环境保护法》（2014年4月24日第十二届全国人民大会常务委员会第八次会议修订，自2015年1月1日起施行）；</w:t>
      </w:r>
    </w:p>
    <w:p>
      <w:pPr>
        <w:snapToGrid w:val="0"/>
        <w:ind w:firstLine="480"/>
        <w:rPr>
          <w:u w:color="000000"/>
        </w:rPr>
      </w:pPr>
      <w:r>
        <w:rPr>
          <w:rFonts w:hint="eastAsia"/>
          <w:u w:color="000000"/>
        </w:rPr>
        <w:t>9</w:t>
      </w:r>
      <w:r>
        <w:rPr>
          <w:u w:color="000000"/>
        </w:rPr>
        <w:t>）《建设项目环境保护管理条例》（2017年6月21日国务院第177次常务会议通过修改，自2017年10月1日起施行）；</w:t>
      </w:r>
    </w:p>
    <w:p>
      <w:pPr>
        <w:snapToGrid w:val="0"/>
        <w:ind w:firstLine="480"/>
        <w:rPr>
          <w:u w:color="000000"/>
        </w:rPr>
      </w:pPr>
      <w:r>
        <w:rPr>
          <w:rFonts w:hint="eastAsia"/>
          <w:u w:color="000000"/>
        </w:rPr>
        <w:t>10</w:t>
      </w:r>
      <w:r>
        <w:rPr>
          <w:u w:color="000000"/>
        </w:rPr>
        <w:t>）《中华人民共和国土壤污染防治法》（2018年8月31日第十三届全国人民代表大会常务委员会第五次会议通过，2019年1月1日起施行）；</w:t>
      </w:r>
    </w:p>
    <w:p>
      <w:pPr>
        <w:snapToGrid w:val="0"/>
        <w:ind w:firstLine="480"/>
        <w:rPr>
          <w:u w:color="000000"/>
        </w:rPr>
      </w:pPr>
      <w:r>
        <w:rPr>
          <w:rFonts w:hint="eastAsia"/>
          <w:u w:color="000000"/>
        </w:rPr>
        <w:t>11</w:t>
      </w:r>
      <w:r>
        <w:rPr>
          <w:u w:color="000000"/>
        </w:rPr>
        <w:t>）《新疆维吾尔自治区环境保护条例》（2018年9月21日新疆维吾尔自治区第十三届人民代表大会常务委员会第六次会议修正）。</w:t>
      </w:r>
    </w:p>
    <w:p>
      <w:pPr>
        <w:snapToGrid w:val="0"/>
        <w:ind w:firstLine="480"/>
        <w:rPr>
          <w:rFonts w:hint="eastAsia" w:eastAsia="仿宋_GB2312"/>
          <w:u w:color="000000"/>
          <w:lang w:eastAsia="zh-CN"/>
        </w:rPr>
      </w:pPr>
      <w:r>
        <w:rPr>
          <w:rFonts w:hint="eastAsia"/>
          <w:u w:color="000000"/>
        </w:rPr>
        <w:t>1</w:t>
      </w:r>
      <w:r>
        <w:rPr>
          <w:rFonts w:hint="eastAsia"/>
          <w:u w:color="000000"/>
          <w:lang w:val="en-US" w:eastAsia="zh-CN"/>
        </w:rPr>
        <w:t>2</w:t>
      </w:r>
      <w:r>
        <w:rPr>
          <w:rFonts w:hint="eastAsia"/>
          <w:u w:color="000000"/>
        </w:rPr>
        <w:t>）《自治区实施土地管理法办法》</w:t>
      </w:r>
      <w:r>
        <w:rPr>
          <w:rFonts w:hint="eastAsia"/>
          <w:u w:color="000000"/>
          <w:lang w:eastAsia="zh-CN"/>
        </w:rPr>
        <w:t>。</w:t>
      </w:r>
    </w:p>
    <w:p>
      <w:pPr>
        <w:pStyle w:val="7"/>
      </w:pPr>
      <w:bookmarkStart w:id="190" w:name="_Toc25446"/>
      <w:bookmarkStart w:id="191" w:name="_Toc116061597"/>
      <w:r>
        <w:t>2.3.2政策文件</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tabs>
          <w:tab w:val="left" w:pos="0"/>
        </w:tabs>
        <w:snapToGrid w:val="0"/>
        <w:ind w:firstLine="480"/>
        <w:jc w:val="left"/>
      </w:pPr>
      <w:bookmarkStart w:id="192" w:name="_Toc215496705"/>
      <w:bookmarkStart w:id="193" w:name="_Toc272330934"/>
      <w:bookmarkStart w:id="194" w:name="_Toc260918445"/>
      <w:bookmarkStart w:id="195" w:name="_Toc215496779"/>
      <w:bookmarkStart w:id="196" w:name="_Toc245534790"/>
      <w:bookmarkStart w:id="197" w:name="_Toc215548424"/>
      <w:bookmarkStart w:id="198" w:name="_Toc215548349"/>
      <w:bookmarkStart w:id="199" w:name="_Toc331979516"/>
      <w:bookmarkStart w:id="200" w:name="_Toc6873160"/>
      <w:bookmarkStart w:id="201" w:name="_Toc374433393"/>
      <w:bookmarkStart w:id="202" w:name="_Toc331979411"/>
      <w:bookmarkStart w:id="203" w:name="_Toc331979726"/>
      <w:bookmarkStart w:id="204" w:name="_Toc6856080"/>
      <w:bookmarkStart w:id="205" w:name="_Toc331979937"/>
      <w:bookmarkStart w:id="206" w:name="_Toc8385916"/>
      <w:bookmarkStart w:id="207" w:name="_Toc341866354"/>
      <w:bookmarkStart w:id="208" w:name="_Toc8581519"/>
      <w:bookmarkStart w:id="209" w:name="_Toc332054165"/>
      <w:r>
        <w:rPr>
          <w:rFonts w:hint="eastAsia"/>
        </w:rPr>
        <w:t>1）《国土资源部关于推进土地节约集约利用的指导意见》（国土资发〔2014〕119号）；</w:t>
      </w:r>
    </w:p>
    <w:p>
      <w:pPr>
        <w:tabs>
          <w:tab w:val="left" w:pos="0"/>
        </w:tabs>
        <w:snapToGrid w:val="0"/>
        <w:ind w:firstLine="480"/>
        <w:jc w:val="left"/>
      </w:pPr>
      <w:r>
        <w:rPr>
          <w:rFonts w:hint="eastAsia"/>
        </w:rPr>
        <w:t>2）《国土资源部关于贯彻实施〈土地复垦条例〉的通知》（国土资发〔2011〕50号）；</w:t>
      </w:r>
    </w:p>
    <w:p>
      <w:pPr>
        <w:tabs>
          <w:tab w:val="left" w:pos="0"/>
        </w:tabs>
        <w:snapToGrid w:val="0"/>
        <w:ind w:firstLine="480"/>
        <w:jc w:val="left"/>
      </w:pPr>
      <w:r>
        <w:rPr>
          <w:rFonts w:hint="eastAsia"/>
        </w:rPr>
        <w:t>3）《国家林业局关于加强临时占用林地监督管理的通知》（林资发〔2015〕121号）；</w:t>
      </w:r>
    </w:p>
    <w:p>
      <w:pPr>
        <w:tabs>
          <w:tab w:val="left" w:pos="0"/>
        </w:tabs>
        <w:snapToGrid w:val="0"/>
        <w:ind w:firstLine="480"/>
        <w:jc w:val="left"/>
      </w:pPr>
      <w:r>
        <w:rPr>
          <w:rFonts w:hint="eastAsia"/>
        </w:rPr>
        <w:t>4）《财政部国土资源部关于印发土地开发整理项目预算定额标准的通知》（财综〔2011〕128号）；</w:t>
      </w:r>
    </w:p>
    <w:p>
      <w:pPr>
        <w:tabs>
          <w:tab w:val="left" w:pos="0"/>
        </w:tabs>
        <w:snapToGrid w:val="0"/>
        <w:ind w:firstLine="480"/>
        <w:jc w:val="left"/>
      </w:pPr>
      <w:r>
        <w:rPr>
          <w:rFonts w:hint="eastAsia"/>
        </w:rPr>
        <w:t>5）《财政部税务总局海关总署关于深化增值税改革有关政策的公告》（财政部税务总局海关总署公告2019年第39号）；</w:t>
      </w:r>
    </w:p>
    <w:p>
      <w:pPr>
        <w:tabs>
          <w:tab w:val="left" w:pos="0"/>
        </w:tabs>
        <w:snapToGrid w:val="0"/>
        <w:ind w:firstLine="480"/>
        <w:jc w:val="left"/>
        <w:rPr>
          <w:rFonts w:hint="eastAsia"/>
          <w:lang w:val="en-US" w:eastAsia="zh-CN"/>
        </w:rPr>
      </w:pPr>
      <w:r>
        <w:rPr>
          <w:rFonts w:hint="eastAsia"/>
          <w:lang w:val="en-US" w:eastAsia="zh-CN"/>
        </w:rPr>
        <w:t>6）《自然资源部关于规范临时用地管理的通知》（自然资规〔2021〕2号）；</w:t>
      </w:r>
    </w:p>
    <w:p>
      <w:pPr>
        <w:tabs>
          <w:tab w:val="left" w:pos="0"/>
        </w:tabs>
        <w:snapToGrid w:val="0"/>
        <w:ind w:firstLine="480"/>
        <w:jc w:val="left"/>
      </w:pPr>
      <w:r>
        <w:rPr>
          <w:rFonts w:hint="eastAsia"/>
          <w:lang w:val="en-US" w:eastAsia="zh-CN"/>
        </w:rPr>
        <w:t>7</w:t>
      </w:r>
      <w:r>
        <w:rPr>
          <w:rFonts w:hint="eastAsia"/>
        </w:rPr>
        <w:t>）《自治区发展改革委财政厅关于草原植被恢复费收费标准及有关事宜的通知》（新发改收费〔2014〕1769号）；</w:t>
      </w:r>
    </w:p>
    <w:p>
      <w:pPr>
        <w:tabs>
          <w:tab w:val="left" w:pos="0"/>
        </w:tabs>
        <w:snapToGrid w:val="0"/>
        <w:ind w:firstLine="480"/>
        <w:jc w:val="left"/>
      </w:pPr>
      <w:r>
        <w:rPr>
          <w:rFonts w:hint="eastAsia"/>
          <w:lang w:val="en-US" w:eastAsia="zh-CN"/>
        </w:rPr>
        <w:t>8</w:t>
      </w:r>
      <w:r>
        <w:rPr>
          <w:rFonts w:hint="eastAsia"/>
        </w:rPr>
        <w:t>）《自治区住房和城乡建设厅关于调整我区建设工程计价依据增值税税率的通知》（新建标〔2019〕4号）；</w:t>
      </w:r>
    </w:p>
    <w:p>
      <w:pPr>
        <w:tabs>
          <w:tab w:val="left" w:pos="0"/>
        </w:tabs>
        <w:snapToGrid w:val="0"/>
        <w:ind w:firstLine="480"/>
        <w:jc w:val="left"/>
      </w:pPr>
      <w:r>
        <w:rPr>
          <w:rFonts w:hint="eastAsia"/>
          <w:lang w:val="en-US" w:eastAsia="zh-CN"/>
        </w:rPr>
        <w:t>9</w:t>
      </w:r>
      <w:r>
        <w:rPr>
          <w:rFonts w:hint="eastAsia"/>
        </w:rPr>
        <w:t>）《自治区自然资源厅关于印发〈自治区生产建设项目土地复垦管理办法〉〈自治区生产建设项目土地复垦方案审查暂行办法〉〈自治区生产建设项目土地复垦验收办法〉的通知》（新自然资规〔2018〕1号）；</w:t>
      </w:r>
    </w:p>
    <w:p>
      <w:pPr>
        <w:tabs>
          <w:tab w:val="left" w:pos="0"/>
        </w:tabs>
        <w:snapToGrid w:val="0"/>
        <w:ind w:firstLine="480"/>
        <w:jc w:val="left"/>
      </w:pPr>
      <w:r>
        <w:rPr>
          <w:rFonts w:hint="eastAsia"/>
          <w:lang w:val="en-US" w:eastAsia="zh-CN"/>
        </w:rPr>
        <w:t>10</w:t>
      </w:r>
      <w:r>
        <w:rPr>
          <w:rFonts w:hint="eastAsia"/>
        </w:rPr>
        <w:t>）《关于加强自治区生产建设项目土地复垦管理工作的通知》（2021年3月23日）；</w:t>
      </w:r>
    </w:p>
    <w:p>
      <w:pPr>
        <w:tabs>
          <w:tab w:val="left" w:pos="0"/>
        </w:tabs>
        <w:snapToGrid w:val="0"/>
        <w:ind w:firstLine="480"/>
        <w:jc w:val="left"/>
      </w:pPr>
      <w:r>
        <w:rPr>
          <w:rFonts w:hint="eastAsia"/>
          <w:lang w:val="en-US" w:eastAsia="zh-CN"/>
        </w:rPr>
        <w:t>11</w:t>
      </w:r>
      <w:r>
        <w:rPr>
          <w:rFonts w:hint="eastAsia"/>
        </w:rPr>
        <w:t>）《自治区住房和城乡建设厅关于调整我区建设工程计价依据增值税税率的通知》（新建标〔2019〕4号）；</w:t>
      </w:r>
    </w:p>
    <w:p>
      <w:pPr>
        <w:tabs>
          <w:tab w:val="left" w:pos="0"/>
        </w:tabs>
        <w:snapToGrid w:val="0"/>
        <w:ind w:firstLine="480"/>
        <w:jc w:val="left"/>
      </w:pPr>
      <w:r>
        <w:rPr>
          <w:rFonts w:hint="eastAsia"/>
          <w:lang w:val="en-US" w:eastAsia="zh-CN"/>
        </w:rPr>
        <w:t>12</w:t>
      </w:r>
      <w:r>
        <w:rPr>
          <w:rFonts w:hint="eastAsia"/>
        </w:rPr>
        <w:t>）《住房城乡建设部办公厅关于重新调整建设工程计价依据增值税税率的通知》（建办标函〔2019〕193号）；</w:t>
      </w:r>
    </w:p>
    <w:p>
      <w:pPr>
        <w:tabs>
          <w:tab w:val="left" w:pos="0"/>
        </w:tabs>
        <w:snapToGrid w:val="0"/>
        <w:ind w:firstLine="480"/>
        <w:jc w:val="left"/>
      </w:pPr>
      <w:r>
        <w:rPr>
          <w:rFonts w:hint="eastAsia"/>
          <w:lang w:val="en-US" w:eastAsia="zh-CN"/>
        </w:rPr>
        <w:t>13</w:t>
      </w:r>
      <w:r>
        <w:rPr>
          <w:rFonts w:hint="eastAsia"/>
        </w:rPr>
        <w:t>)《关于印发新疆维吾尔自治区土地整治项目补充预算定额（试行）的通知》（新财综〔2019〕1号）；</w:t>
      </w:r>
    </w:p>
    <w:p>
      <w:pPr>
        <w:tabs>
          <w:tab w:val="left" w:pos="0"/>
        </w:tabs>
        <w:snapToGrid w:val="0"/>
        <w:ind w:firstLine="480"/>
        <w:jc w:val="left"/>
        <w:rPr>
          <w:rFonts w:hint="eastAsia"/>
        </w:rPr>
      </w:pPr>
      <w:r>
        <w:rPr>
          <w:rFonts w:hint="eastAsia"/>
          <w:lang w:val="en-US" w:eastAsia="zh-CN"/>
        </w:rPr>
        <w:t>14</w:t>
      </w:r>
      <w:r>
        <w:rPr>
          <w:rFonts w:hint="eastAsia"/>
        </w:rPr>
        <w:t>）《国土空间调查、规划、用途管制用地用海分类指南》(自然资发〔2023〕234号)；</w:t>
      </w:r>
    </w:p>
    <w:p>
      <w:pPr>
        <w:pStyle w:val="7"/>
      </w:pPr>
      <w:bookmarkStart w:id="210" w:name="_Toc10372"/>
      <w:bookmarkStart w:id="211" w:name="_Toc116061598"/>
      <w:r>
        <w:t>2.3.3</w:t>
      </w:r>
      <w:bookmarkEnd w:id="192"/>
      <w:bookmarkEnd w:id="193"/>
      <w:bookmarkEnd w:id="194"/>
      <w:bookmarkEnd w:id="195"/>
      <w:bookmarkEnd w:id="196"/>
      <w:bookmarkEnd w:id="197"/>
      <w:bookmarkEnd w:id="198"/>
      <w:r>
        <w:t>标准规范</w:t>
      </w:r>
      <w:bookmarkEnd w:id="199"/>
      <w:bookmarkEnd w:id="200"/>
      <w:bookmarkEnd w:id="201"/>
      <w:bookmarkEnd w:id="202"/>
      <w:bookmarkEnd w:id="203"/>
      <w:bookmarkEnd w:id="204"/>
      <w:bookmarkEnd w:id="205"/>
      <w:bookmarkEnd w:id="206"/>
      <w:bookmarkEnd w:id="207"/>
      <w:bookmarkEnd w:id="208"/>
      <w:bookmarkEnd w:id="209"/>
      <w:bookmarkEnd w:id="210"/>
      <w:bookmarkEnd w:id="211"/>
    </w:p>
    <w:p>
      <w:pPr>
        <w:tabs>
          <w:tab w:val="left" w:pos="0"/>
        </w:tabs>
        <w:snapToGrid w:val="0"/>
        <w:ind w:firstLine="480"/>
        <w:jc w:val="left"/>
      </w:pPr>
      <w:bookmarkStart w:id="212" w:name="_Toc331979727"/>
      <w:bookmarkStart w:id="213" w:name="_Toc331979517"/>
      <w:bookmarkStart w:id="214" w:name="_Toc260918446"/>
      <w:bookmarkStart w:id="215" w:name="_Toc8385917"/>
      <w:bookmarkStart w:id="216" w:name="_Toc272330935"/>
      <w:bookmarkStart w:id="217" w:name="_Toc374433394"/>
      <w:bookmarkStart w:id="218" w:name="_Toc331979412"/>
      <w:bookmarkStart w:id="219" w:name="_Toc6856081"/>
      <w:bookmarkStart w:id="220" w:name="_Toc341866355"/>
      <w:bookmarkStart w:id="221" w:name="_Toc6873161"/>
      <w:bookmarkStart w:id="222" w:name="_Toc332054166"/>
      <w:bookmarkStart w:id="223" w:name="_Toc8581520"/>
      <w:bookmarkStart w:id="224" w:name="_Toc331979938"/>
      <w:r>
        <w:rPr>
          <w:rFonts w:hint="eastAsia"/>
        </w:rPr>
        <w:t>1）《土地复垦方案编制规程第1部分：通则》（TD/T1031.1-2011）；</w:t>
      </w:r>
    </w:p>
    <w:p>
      <w:pPr>
        <w:tabs>
          <w:tab w:val="left" w:pos="0"/>
        </w:tabs>
        <w:snapToGrid w:val="0"/>
        <w:ind w:firstLine="480"/>
        <w:jc w:val="left"/>
      </w:pPr>
      <w:r>
        <w:rPr>
          <w:rFonts w:hint="eastAsia"/>
        </w:rPr>
        <w:t>2）《土地复垦方案编制规程第6部分：建设项目》（TD/T1031.6-2011）；</w:t>
      </w:r>
    </w:p>
    <w:p>
      <w:pPr>
        <w:tabs>
          <w:tab w:val="left" w:pos="0"/>
        </w:tabs>
        <w:snapToGrid w:val="0"/>
        <w:ind w:firstLine="480"/>
        <w:jc w:val="left"/>
      </w:pPr>
      <w:r>
        <w:rPr>
          <w:rFonts w:hint="eastAsia"/>
        </w:rPr>
        <w:t>3）《第三次全国国土调查技术规程》（TD/T1055-2019）；</w:t>
      </w:r>
    </w:p>
    <w:p>
      <w:pPr>
        <w:tabs>
          <w:tab w:val="left" w:pos="0"/>
        </w:tabs>
        <w:snapToGrid w:val="0"/>
        <w:ind w:firstLine="480"/>
        <w:jc w:val="left"/>
      </w:pPr>
      <w:r>
        <w:rPr>
          <w:rFonts w:hint="eastAsia"/>
        </w:rPr>
        <w:t>4）《国土空间调查、规划、用途管制用地用海分类指南》(自然资发〔2023〕234号)；</w:t>
      </w:r>
    </w:p>
    <w:p>
      <w:pPr>
        <w:tabs>
          <w:tab w:val="left" w:pos="0"/>
        </w:tabs>
        <w:snapToGrid w:val="0"/>
        <w:ind w:firstLine="480"/>
        <w:jc w:val="left"/>
      </w:pPr>
      <w:r>
        <w:rPr>
          <w:rFonts w:hint="eastAsia"/>
        </w:rPr>
        <w:t>5）《土地开发整理规划编制规程》（TD/T1011-2000）；</w:t>
      </w:r>
    </w:p>
    <w:p>
      <w:pPr>
        <w:tabs>
          <w:tab w:val="left" w:pos="0"/>
        </w:tabs>
        <w:snapToGrid w:val="0"/>
        <w:ind w:firstLine="480"/>
        <w:jc w:val="left"/>
      </w:pPr>
      <w:r>
        <w:rPr>
          <w:rFonts w:hint="eastAsia"/>
        </w:rPr>
        <w:t>6）《土地复垦质量控制标准》（TD/T1036-2013）；</w:t>
      </w:r>
    </w:p>
    <w:p>
      <w:pPr>
        <w:tabs>
          <w:tab w:val="left" w:pos="0"/>
        </w:tabs>
        <w:snapToGrid w:val="0"/>
        <w:ind w:firstLine="480"/>
        <w:jc w:val="left"/>
      </w:pPr>
      <w:r>
        <w:rPr>
          <w:rFonts w:hint="eastAsia"/>
        </w:rPr>
        <w:t>7）《水土保持综合治理技术规范》（GB/T16453-2008）；</w:t>
      </w:r>
    </w:p>
    <w:p>
      <w:pPr>
        <w:tabs>
          <w:tab w:val="left" w:pos="0"/>
        </w:tabs>
        <w:snapToGrid w:val="0"/>
        <w:ind w:firstLine="480"/>
        <w:jc w:val="left"/>
      </w:pPr>
      <w:r>
        <w:rPr>
          <w:rFonts w:hint="eastAsia"/>
        </w:rPr>
        <w:t>8）《水土保持综合治理规划通则》（GB/T15772-2008）；</w:t>
      </w:r>
    </w:p>
    <w:p>
      <w:pPr>
        <w:tabs>
          <w:tab w:val="left" w:pos="0"/>
        </w:tabs>
        <w:snapToGrid w:val="0"/>
        <w:ind w:firstLine="480"/>
        <w:jc w:val="left"/>
      </w:pPr>
      <w:r>
        <w:rPr>
          <w:rFonts w:hint="eastAsia"/>
        </w:rPr>
        <w:t>9）《开发建设项目水土保持方案技术规范》（GB50433-2008）；</w:t>
      </w:r>
    </w:p>
    <w:p>
      <w:pPr>
        <w:tabs>
          <w:tab w:val="left" w:pos="0"/>
        </w:tabs>
        <w:snapToGrid w:val="0"/>
        <w:ind w:firstLine="480"/>
        <w:jc w:val="left"/>
      </w:pPr>
      <w:r>
        <w:rPr>
          <w:rFonts w:hint="eastAsia"/>
        </w:rPr>
        <w:t>10）《开发建设项目水土流失防治标准》（GB50434-2008）；</w:t>
      </w:r>
    </w:p>
    <w:p>
      <w:pPr>
        <w:tabs>
          <w:tab w:val="left" w:pos="0"/>
        </w:tabs>
        <w:snapToGrid w:val="0"/>
        <w:ind w:firstLine="480"/>
        <w:jc w:val="left"/>
      </w:pPr>
      <w:r>
        <w:rPr>
          <w:rFonts w:hint="eastAsia"/>
        </w:rPr>
        <w:t>11）《耕地质量监测技术规程》（NY/T1119-2012）；</w:t>
      </w:r>
    </w:p>
    <w:p>
      <w:pPr>
        <w:tabs>
          <w:tab w:val="left" w:pos="0"/>
        </w:tabs>
        <w:snapToGrid w:val="0"/>
        <w:ind w:firstLine="480"/>
        <w:jc w:val="left"/>
      </w:pPr>
      <w:r>
        <w:rPr>
          <w:rFonts w:hint="eastAsia"/>
        </w:rPr>
        <w:t>12）《草原资源与生态监测技术规程》（NY/T1233-2006）；</w:t>
      </w:r>
    </w:p>
    <w:p>
      <w:pPr>
        <w:tabs>
          <w:tab w:val="left" w:pos="0"/>
        </w:tabs>
        <w:snapToGrid w:val="0"/>
        <w:ind w:firstLine="480"/>
        <w:jc w:val="left"/>
      </w:pPr>
      <w:r>
        <w:rPr>
          <w:rFonts w:hint="eastAsia"/>
        </w:rPr>
        <w:t>13）《牧区草地灌溉与排水技术规范》（SL334-2016）；</w:t>
      </w:r>
    </w:p>
    <w:p>
      <w:pPr>
        <w:tabs>
          <w:tab w:val="left" w:pos="0"/>
        </w:tabs>
        <w:snapToGrid w:val="0"/>
        <w:ind w:firstLine="480"/>
        <w:jc w:val="left"/>
      </w:pPr>
      <w:r>
        <w:rPr>
          <w:rFonts w:hint="eastAsia"/>
        </w:rPr>
        <w:t>14）《生态公益林建设技术规程》（GB/T18337.3-2001）；</w:t>
      </w:r>
    </w:p>
    <w:p>
      <w:pPr>
        <w:tabs>
          <w:tab w:val="left" w:pos="0"/>
        </w:tabs>
        <w:snapToGrid w:val="0"/>
        <w:ind w:firstLine="480"/>
        <w:jc w:val="left"/>
      </w:pPr>
      <w:r>
        <w:rPr>
          <w:rFonts w:hint="eastAsia"/>
        </w:rPr>
        <w:t>15）《森林资源规划设计调查技术规程》（GB/T26424-2010）；</w:t>
      </w:r>
    </w:p>
    <w:p>
      <w:pPr>
        <w:tabs>
          <w:tab w:val="left" w:pos="0"/>
        </w:tabs>
        <w:snapToGrid w:val="0"/>
        <w:ind w:firstLine="480"/>
        <w:jc w:val="left"/>
      </w:pPr>
      <w:r>
        <w:rPr>
          <w:rFonts w:hint="eastAsia"/>
        </w:rPr>
        <w:t>16）《土地荒漠化监测方法》（GB/T20483-2006）；</w:t>
      </w:r>
    </w:p>
    <w:p>
      <w:pPr>
        <w:tabs>
          <w:tab w:val="left" w:pos="0"/>
        </w:tabs>
        <w:snapToGrid w:val="0"/>
        <w:ind w:firstLine="480"/>
        <w:jc w:val="left"/>
      </w:pPr>
      <w:r>
        <w:rPr>
          <w:rFonts w:hint="eastAsia"/>
        </w:rPr>
        <w:t>17）《沙化土地监测技术规程》（GB/T24255-2009）；</w:t>
      </w:r>
    </w:p>
    <w:p>
      <w:pPr>
        <w:tabs>
          <w:tab w:val="left" w:pos="0"/>
        </w:tabs>
        <w:snapToGrid w:val="0"/>
        <w:ind w:firstLine="480"/>
        <w:jc w:val="left"/>
      </w:pPr>
      <w:r>
        <w:rPr>
          <w:rFonts w:hint="eastAsia"/>
        </w:rPr>
        <w:t>18）《生态环境状况评价技术规范》（HJ/T192-2015）；</w:t>
      </w:r>
    </w:p>
    <w:p>
      <w:pPr>
        <w:tabs>
          <w:tab w:val="left" w:pos="0"/>
        </w:tabs>
        <w:snapToGrid w:val="0"/>
        <w:ind w:firstLine="480"/>
        <w:jc w:val="left"/>
      </w:pPr>
      <w:r>
        <w:rPr>
          <w:rFonts w:hint="eastAsia"/>
        </w:rPr>
        <w:t>19）《土地复垦质量控制标准》（TD/T1036-2013）；</w:t>
      </w:r>
    </w:p>
    <w:p>
      <w:pPr>
        <w:tabs>
          <w:tab w:val="left" w:pos="0"/>
        </w:tabs>
        <w:snapToGrid w:val="0"/>
        <w:ind w:firstLine="480"/>
        <w:jc w:val="left"/>
      </w:pPr>
      <w:r>
        <w:rPr>
          <w:rFonts w:hint="eastAsia"/>
        </w:rPr>
        <w:t>20）《生产项目土地复垦验收规程》（TD/T1044-2014）；</w:t>
      </w:r>
    </w:p>
    <w:p>
      <w:pPr>
        <w:tabs>
          <w:tab w:val="left" w:pos="0"/>
        </w:tabs>
        <w:snapToGrid w:val="0"/>
        <w:ind w:firstLine="480"/>
        <w:jc w:val="left"/>
      </w:pPr>
      <w:r>
        <w:rPr>
          <w:rFonts w:hint="eastAsia"/>
        </w:rPr>
        <w:t>21）《财政部、国土资源部关于印发土地开发整理项目预算定额标准的通知》财综〔2011〕128号；</w:t>
      </w:r>
    </w:p>
    <w:p>
      <w:pPr>
        <w:tabs>
          <w:tab w:val="left" w:pos="0"/>
        </w:tabs>
        <w:snapToGrid w:val="0"/>
        <w:ind w:firstLine="480"/>
        <w:jc w:val="left"/>
      </w:pPr>
      <w:r>
        <w:rPr>
          <w:rFonts w:hint="eastAsia"/>
        </w:rPr>
        <w:t>22）《新疆维吾尔自治区农业灌溉用水定额》（DB65/3611-2014）；</w:t>
      </w:r>
    </w:p>
    <w:p>
      <w:pPr>
        <w:tabs>
          <w:tab w:val="left" w:pos="0"/>
        </w:tabs>
        <w:snapToGrid w:val="0"/>
        <w:ind w:firstLine="480"/>
        <w:jc w:val="left"/>
      </w:pPr>
      <w:r>
        <w:rPr>
          <w:rFonts w:hint="eastAsia"/>
        </w:rPr>
        <w:t>23）《造林技术规程》（GB/T15776-2016）；</w:t>
      </w:r>
    </w:p>
    <w:p>
      <w:pPr>
        <w:tabs>
          <w:tab w:val="left" w:pos="0"/>
        </w:tabs>
        <w:snapToGrid w:val="0"/>
        <w:ind w:firstLine="480"/>
        <w:jc w:val="left"/>
      </w:pPr>
      <w:r>
        <w:rPr>
          <w:rFonts w:hint="eastAsia"/>
        </w:rPr>
        <w:t>24）《人工草地建设技术规程》（NY/T1342-2007）。</w:t>
      </w:r>
    </w:p>
    <w:p>
      <w:pPr>
        <w:pStyle w:val="7"/>
      </w:pPr>
      <w:bookmarkStart w:id="225" w:name="_Toc116061599"/>
      <w:bookmarkStart w:id="226" w:name="_Toc16678"/>
      <w:r>
        <w:t>2.3.4基础资料</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tabs>
          <w:tab w:val="left" w:pos="0"/>
        </w:tabs>
        <w:ind w:firstLine="480"/>
        <w:jc w:val="left"/>
      </w:pPr>
      <w:bookmarkStart w:id="227" w:name="_Toc246340440"/>
      <w:bookmarkStart w:id="228" w:name="_Toc215496781"/>
      <w:bookmarkStart w:id="229" w:name="_Toc260918447"/>
      <w:bookmarkStart w:id="230" w:name="_Toc215548351"/>
      <w:bookmarkStart w:id="231" w:name="_Toc406537029"/>
      <w:bookmarkStart w:id="232" w:name="_Toc215548426"/>
      <w:bookmarkStart w:id="233" w:name="_Toc41661438"/>
      <w:bookmarkStart w:id="234" w:name="_Toc215496707"/>
      <w:r>
        <w:rPr>
          <w:rFonts w:hint="eastAsia"/>
        </w:rPr>
        <w:t>1）《喀什地区泽普县供水城乡一体化建设工程(泽普县农村规模化供水管道连通工程）初步设计（代可研）报告》；</w:t>
      </w:r>
    </w:p>
    <w:p>
      <w:pPr>
        <w:tabs>
          <w:tab w:val="left" w:pos="0"/>
        </w:tabs>
        <w:ind w:firstLine="480"/>
        <w:jc w:val="left"/>
      </w:pPr>
      <w:r>
        <w:rPr>
          <w:rFonts w:hint="eastAsia"/>
        </w:rPr>
        <w:t>2）《新疆维吾尔自治区生态功能区划》，2006年；</w:t>
      </w:r>
    </w:p>
    <w:p>
      <w:pPr>
        <w:tabs>
          <w:tab w:val="left" w:pos="0"/>
        </w:tabs>
        <w:ind w:firstLine="480"/>
        <w:jc w:val="left"/>
      </w:pPr>
      <w:r>
        <w:rPr>
          <w:rFonts w:hint="eastAsia"/>
        </w:rPr>
        <w:t>3）《喀什地区泽普县供水城乡一体化建设工程（泽普县农村规模化供水管道连通工程）临时用地勘界报告》；</w:t>
      </w:r>
    </w:p>
    <w:p>
      <w:pPr>
        <w:tabs>
          <w:tab w:val="left" w:pos="0"/>
        </w:tabs>
        <w:ind w:firstLine="480"/>
        <w:jc w:val="left"/>
      </w:pPr>
      <w:r>
        <w:rPr>
          <w:rFonts w:hint="eastAsia"/>
        </w:rPr>
        <w:t>4）《新疆维吾尔自治区国土空间总体规划（2021-2035年）》；</w:t>
      </w:r>
    </w:p>
    <w:p>
      <w:pPr>
        <w:tabs>
          <w:tab w:val="left" w:pos="0"/>
        </w:tabs>
        <w:ind w:firstLine="480"/>
        <w:jc w:val="left"/>
      </w:pPr>
      <w:r>
        <w:rPr>
          <w:rFonts w:hint="eastAsia"/>
        </w:rPr>
        <w:t>5）《喀什地区国土空间总体规划（2021-2035年）》；</w:t>
      </w:r>
    </w:p>
    <w:p>
      <w:pPr>
        <w:tabs>
          <w:tab w:val="left" w:pos="0"/>
        </w:tabs>
        <w:ind w:firstLine="480"/>
        <w:jc w:val="left"/>
      </w:pPr>
      <w:r>
        <w:rPr>
          <w:rFonts w:hint="eastAsia"/>
        </w:rPr>
        <w:t>6） 泽普县土地利用现状图；</w:t>
      </w:r>
    </w:p>
    <w:p>
      <w:pPr>
        <w:tabs>
          <w:tab w:val="left" w:pos="0"/>
        </w:tabs>
        <w:ind w:firstLine="480"/>
        <w:jc w:val="left"/>
      </w:pPr>
      <w:r>
        <w:rPr>
          <w:rFonts w:hint="eastAsia"/>
        </w:rPr>
        <w:t>7）《泽普县县国民经济和社会发展统计公报》（2021年~2023年）；</w:t>
      </w:r>
    </w:p>
    <w:p>
      <w:pPr>
        <w:tabs>
          <w:tab w:val="left" w:pos="0"/>
        </w:tabs>
        <w:ind w:firstLine="480"/>
        <w:jc w:val="left"/>
      </w:pPr>
      <w:r>
        <w:rPr>
          <w:rFonts w:hint="eastAsia"/>
        </w:rPr>
        <w:t>8） 项目区土地损毁现状实地踏勘、调查报告资料。</w:t>
      </w:r>
    </w:p>
    <w:bookmarkEnd w:id="227"/>
    <w:bookmarkEnd w:id="228"/>
    <w:bookmarkEnd w:id="229"/>
    <w:bookmarkEnd w:id="230"/>
    <w:bookmarkEnd w:id="231"/>
    <w:bookmarkEnd w:id="232"/>
    <w:bookmarkEnd w:id="233"/>
    <w:bookmarkEnd w:id="234"/>
    <w:p>
      <w:pPr>
        <w:keepNext/>
        <w:keepLines/>
        <w:tabs>
          <w:tab w:val="left" w:pos="5640"/>
        </w:tabs>
        <w:adjustRightInd/>
        <w:snapToGrid w:val="0"/>
        <w:ind w:firstLine="0" w:firstLineChars="0"/>
        <w:jc w:val="left"/>
        <w:textAlignment w:val="auto"/>
        <w:outlineLvl w:val="1"/>
        <w:rPr>
          <w:rFonts w:eastAsia="黑体"/>
          <w:sz w:val="30"/>
          <w:szCs w:val="28"/>
        </w:rPr>
      </w:pPr>
      <w:bookmarkStart w:id="235" w:name="_Toc3352"/>
      <w:bookmarkStart w:id="236" w:name="_Toc6722"/>
      <w:bookmarkStart w:id="237" w:name="_Toc116061600"/>
      <w:bookmarkStart w:id="238" w:name="_Toc28156"/>
      <w:bookmarkStart w:id="239" w:name="_Toc215496710"/>
      <w:bookmarkStart w:id="240" w:name="_Toc260918450"/>
      <w:bookmarkStart w:id="241" w:name="_Toc331979942"/>
      <w:bookmarkStart w:id="242" w:name="_Toc331979416"/>
      <w:bookmarkStart w:id="243" w:name="_Toc215496784"/>
      <w:bookmarkStart w:id="244" w:name="_Toc272330939"/>
      <w:bookmarkStart w:id="245" w:name="_Toc341866359"/>
      <w:bookmarkStart w:id="246" w:name="_Toc326857784"/>
      <w:bookmarkStart w:id="247" w:name="_Toc246340443"/>
      <w:bookmarkStart w:id="248" w:name="_Toc215548429"/>
      <w:bookmarkStart w:id="249" w:name="_Toc374433397"/>
      <w:bookmarkStart w:id="250" w:name="_Toc332054170"/>
      <w:bookmarkStart w:id="251" w:name="_Toc215548354"/>
      <w:bookmarkStart w:id="252" w:name="_Toc306979454"/>
      <w:bookmarkStart w:id="253" w:name="_Toc331979521"/>
      <w:bookmarkStart w:id="254" w:name="_Toc331979731"/>
      <w:r>
        <w:rPr>
          <w:rFonts w:eastAsia="黑体"/>
          <w:sz w:val="30"/>
          <w:szCs w:val="28"/>
        </w:rPr>
        <w:t>2.4编制技术路线</w:t>
      </w:r>
      <w:bookmarkEnd w:id="235"/>
      <w:bookmarkEnd w:id="236"/>
      <w:bookmarkEnd w:id="237"/>
      <w:bookmarkEnd w:id="238"/>
    </w:p>
    <w:p>
      <w:pPr>
        <w:autoSpaceDE w:val="0"/>
        <w:autoSpaceDN w:val="0"/>
        <w:adjustRightInd/>
        <w:ind w:firstLine="480"/>
        <w:rPr>
          <w:rFonts w:cs="宋体"/>
          <w:kern w:val="0"/>
        </w:rPr>
      </w:pPr>
      <w:r>
        <w:rPr>
          <w:rFonts w:cs="宋体"/>
          <w:kern w:val="0"/>
        </w:rPr>
        <w:drawing>
          <wp:anchor distT="0" distB="0" distL="114300" distR="114300" simplePos="0" relativeHeight="251704320" behindDoc="0" locked="0" layoutInCell="1" allowOverlap="1">
            <wp:simplePos x="0" y="0"/>
            <wp:positionH relativeFrom="margin">
              <wp:align>center</wp:align>
            </wp:positionH>
            <wp:positionV relativeFrom="paragraph">
              <wp:posOffset>283210</wp:posOffset>
            </wp:positionV>
            <wp:extent cx="3322320" cy="3796665"/>
            <wp:effectExtent l="0" t="0" r="11430" b="13335"/>
            <wp:wrapNone/>
            <wp:docPr id="9"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0"/>
                    <pic:cNvPicPr>
                      <a:picLocks noChangeAspect="1"/>
                    </pic:cNvPicPr>
                  </pic:nvPicPr>
                  <pic:blipFill>
                    <a:blip r:embed="rId20"/>
                    <a:stretch>
                      <a:fillRect/>
                    </a:stretch>
                  </pic:blipFill>
                  <pic:spPr>
                    <a:xfrm>
                      <a:off x="0" y="0"/>
                      <a:ext cx="3322320" cy="3796665"/>
                    </a:xfrm>
                    <a:prstGeom prst="rect">
                      <a:avLst/>
                    </a:prstGeom>
                    <a:noFill/>
                    <a:ln>
                      <a:noFill/>
                    </a:ln>
                  </pic:spPr>
                </pic:pic>
              </a:graphicData>
            </a:graphic>
          </wp:anchor>
        </w:drawing>
      </w:r>
      <w:r>
        <w:rPr>
          <w:rFonts w:cs="宋体"/>
          <w:kern w:val="0"/>
        </w:rPr>
        <w:t>本土地复垦方案的编制技术路线（图2</w:t>
      </w:r>
      <w:r>
        <w:rPr>
          <w:rFonts w:hint="eastAsia" w:cs="宋体"/>
          <w:kern w:val="0"/>
        </w:rPr>
        <w:t>.4</w:t>
      </w:r>
      <w:r>
        <w:rPr>
          <w:rFonts w:cs="宋体"/>
          <w:kern w:val="0"/>
        </w:rPr>
        <w:t>-1）如下。</w:t>
      </w: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autoSpaceDE w:val="0"/>
        <w:autoSpaceDN w:val="0"/>
        <w:adjustRightInd/>
        <w:ind w:firstLine="480"/>
        <w:rPr>
          <w:rFonts w:cs="宋体"/>
          <w:kern w:val="0"/>
        </w:rPr>
      </w:pPr>
    </w:p>
    <w:p>
      <w:pPr>
        <w:pStyle w:val="286"/>
      </w:pPr>
      <w:r>
        <w:t>图2.4-1</w:t>
      </w:r>
      <w:r>
        <w:rPr>
          <w:rFonts w:hint="eastAsia"/>
        </w:rPr>
        <w:t>项目临时用地</w:t>
      </w:r>
      <w:r>
        <w:t>土地复垦方案编制流程图</w:t>
      </w:r>
    </w:p>
    <w:p>
      <w:pPr>
        <w:pStyle w:val="5"/>
        <w:sectPr>
          <w:pgSz w:w="11906" w:h="16838"/>
          <w:pgMar w:top="1418" w:right="1247" w:bottom="1418" w:left="1247" w:header="851" w:footer="992" w:gutter="340"/>
          <w:cols w:space="720" w:num="1"/>
          <w:docGrid w:type="linesAndChars" w:linePitch="312" w:charSpace="0"/>
        </w:sectPr>
      </w:pPr>
      <w:bookmarkStart w:id="255" w:name="_Toc93403604"/>
      <w:bookmarkStart w:id="256" w:name="_Toc31645"/>
      <w:bookmarkStart w:id="257" w:name="_Toc8581521"/>
    </w:p>
    <w:p>
      <w:pPr>
        <w:ind w:firstLine="480"/>
      </w:pPr>
      <w:bookmarkStart w:id="258" w:name="_Toc21783"/>
      <w:bookmarkStart w:id="259" w:name="_Toc116061601"/>
      <w:r>
        <w:br w:type="page"/>
      </w:r>
    </w:p>
    <w:p>
      <w:pPr>
        <w:pStyle w:val="5"/>
      </w:pPr>
      <w:bookmarkStart w:id="260" w:name="_Toc21741"/>
      <w:r>
        <w:t>3项目概况</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6"/>
      </w:pPr>
      <w:bookmarkStart w:id="261" w:name="_Toc341112445"/>
      <w:bookmarkStart w:id="262" w:name="_Toc340440662"/>
      <w:bookmarkStart w:id="263" w:name="_Toc1163"/>
      <w:bookmarkStart w:id="264" w:name="_Toc8581522"/>
      <w:bookmarkStart w:id="265" w:name="_Toc19523"/>
      <w:bookmarkStart w:id="266" w:name="_Toc374433398"/>
      <w:bookmarkStart w:id="267" w:name="_Toc116061602"/>
      <w:bookmarkStart w:id="268" w:name="_Toc6013"/>
      <w:bookmarkStart w:id="269" w:name="_Toc340565583"/>
      <w:bookmarkStart w:id="270" w:name="_Toc93403605"/>
      <w:bookmarkStart w:id="271" w:name="_Toc340565716"/>
      <w:bookmarkStart w:id="272" w:name="_Toc215496785"/>
      <w:bookmarkStart w:id="273" w:name="_Toc332054171"/>
      <w:bookmarkStart w:id="274" w:name="_Toc331979943"/>
      <w:bookmarkStart w:id="275" w:name="_Toc215548355"/>
      <w:bookmarkStart w:id="276" w:name="_Toc215548430"/>
      <w:bookmarkStart w:id="277" w:name="_Toc272330940"/>
      <w:bookmarkStart w:id="278" w:name="_Toc215496711"/>
      <w:bookmarkStart w:id="279" w:name="_Toc260918451"/>
      <w:bookmarkStart w:id="280" w:name="_Toc331979732"/>
      <w:bookmarkStart w:id="281" w:name="_Toc326857785"/>
      <w:bookmarkStart w:id="282" w:name="_Toc246340444"/>
      <w:bookmarkStart w:id="283" w:name="_Toc331979417"/>
      <w:bookmarkStart w:id="284" w:name="_Toc341866360"/>
      <w:bookmarkStart w:id="285" w:name="_Toc331979522"/>
      <w:bookmarkStart w:id="286" w:name="_Toc247700621"/>
      <w:r>
        <w:t>3.1项目简介</w:t>
      </w:r>
      <w:bookmarkEnd w:id="261"/>
      <w:bookmarkEnd w:id="262"/>
      <w:bookmarkEnd w:id="263"/>
      <w:bookmarkEnd w:id="264"/>
      <w:bookmarkEnd w:id="265"/>
      <w:bookmarkEnd w:id="266"/>
      <w:bookmarkEnd w:id="267"/>
      <w:bookmarkEnd w:id="268"/>
      <w:bookmarkEnd w:id="269"/>
      <w:bookmarkEnd w:id="270"/>
      <w:bookmarkEnd w:id="271"/>
    </w:p>
    <w:p>
      <w:pPr>
        <w:pStyle w:val="7"/>
      </w:pPr>
      <w:bookmarkStart w:id="287" w:name="_Toc116061603"/>
      <w:bookmarkStart w:id="288" w:name="_Toc260918452"/>
      <w:bookmarkStart w:id="289" w:name="_Toc247700622"/>
      <w:bookmarkStart w:id="290" w:name="_Toc272330941"/>
      <w:bookmarkStart w:id="291" w:name="_Toc32518"/>
      <w:r>
        <w:t>3.1.1项目工程概况</w:t>
      </w:r>
      <w:bookmarkEnd w:id="287"/>
      <w:bookmarkEnd w:id="288"/>
      <w:bookmarkEnd w:id="289"/>
      <w:bookmarkEnd w:id="290"/>
      <w:bookmarkEnd w:id="291"/>
    </w:p>
    <w:p>
      <w:pPr>
        <w:ind w:firstLine="482"/>
        <w:rPr>
          <w:b/>
        </w:rPr>
      </w:pPr>
      <w:r>
        <w:rPr>
          <w:b/>
        </w:rPr>
        <w:t>a</w:t>
      </w:r>
      <w:r>
        <w:rPr>
          <w:rFonts w:hint="eastAsia"/>
          <w:b/>
        </w:rPr>
        <w:t>）项目简介</w:t>
      </w:r>
    </w:p>
    <w:p>
      <w:pPr>
        <w:ind w:firstLine="480"/>
      </w:pPr>
      <w:r>
        <w:t>1</w:t>
      </w:r>
      <w:r>
        <w:rPr>
          <w:rFonts w:hint="eastAsia"/>
        </w:rPr>
        <w:t>）项目名称：喀什地区泽普县供水城乡一体化建设工程（泽普县农村规模化供水管道连通工程）临时用地</w:t>
      </w:r>
    </w:p>
    <w:p>
      <w:pPr>
        <w:ind w:firstLine="480"/>
      </w:pPr>
      <w:r>
        <w:t>2</w:t>
      </w:r>
      <w:r>
        <w:rPr>
          <w:rFonts w:hint="eastAsia"/>
        </w:rPr>
        <w:t>）项目类型：水利设施建设配套临建项目</w:t>
      </w:r>
    </w:p>
    <w:p>
      <w:pPr>
        <w:ind w:firstLine="480"/>
      </w:pPr>
      <w:r>
        <w:t>3</w:t>
      </w:r>
      <w:r>
        <w:rPr>
          <w:rFonts w:hint="eastAsia"/>
        </w:rPr>
        <w:t>）项目临时用地位置：泽普县阿依库勒乡</w:t>
      </w:r>
    </w:p>
    <w:p>
      <w:pPr>
        <w:ind w:firstLine="480"/>
      </w:pPr>
      <w:r>
        <w:t>4</w:t>
      </w:r>
      <w:r>
        <w:rPr>
          <w:rFonts w:hint="eastAsia"/>
        </w:rPr>
        <w:t>）建设单位：泽普县淼鑫水务有限责任公司</w:t>
      </w:r>
    </w:p>
    <w:p>
      <w:pPr>
        <w:ind w:firstLine="480"/>
      </w:pPr>
      <w:r>
        <w:t>5</w:t>
      </w:r>
      <w:r>
        <w:rPr>
          <w:rFonts w:hint="eastAsia"/>
        </w:rPr>
        <w:t>）单位性质：企业单位</w:t>
      </w:r>
    </w:p>
    <w:p>
      <w:pPr>
        <w:ind w:firstLine="480"/>
      </w:pPr>
      <w:r>
        <w:t>6</w:t>
      </w:r>
      <w:r>
        <w:rPr>
          <w:rFonts w:hint="eastAsia"/>
        </w:rPr>
        <w:t>）总投资规模：2533.70万元</w:t>
      </w:r>
    </w:p>
    <w:p>
      <w:pPr>
        <w:ind w:firstLine="480"/>
      </w:pPr>
      <w:r>
        <w:t>7</w:t>
      </w:r>
      <w:r>
        <w:rPr>
          <w:rFonts w:hint="eastAsia"/>
        </w:rPr>
        <w:t>）用地规模：临时用地面积4.3908hm</w:t>
      </w:r>
      <w:r>
        <w:rPr>
          <w:rFonts w:hint="eastAsia"/>
          <w:vertAlign w:val="superscript"/>
        </w:rPr>
        <w:t>2</w:t>
      </w:r>
    </w:p>
    <w:p>
      <w:pPr>
        <w:ind w:firstLine="480"/>
      </w:pPr>
      <w:r>
        <w:t>8</w:t>
      </w:r>
      <w:r>
        <w:rPr>
          <w:rFonts w:hint="eastAsia"/>
        </w:rPr>
        <w:t>）建设工期：2年（2024年9月至2026年8月）</w:t>
      </w:r>
    </w:p>
    <w:p>
      <w:pPr>
        <w:ind w:firstLine="480"/>
      </w:pPr>
      <w:r>
        <w:rPr>
          <w:rFonts w:hint="eastAsia"/>
        </w:rPr>
        <w:t>9）图幅号：J43G044083、J43G044084、J43G045083、J43G045084</w:t>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b）主要建设内容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本项目临时用地：修建供水管线1条，用于铺设供水管道。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通管道工程包括从26+500至31+000管道，总长4.5km。其中桩号26+500～29+735.10，管材为涂塑钢管，管径为DN700，壁厚为8mm，桩号29+735.10～31+000，管径为DN600，壁厚为6mm。工程输水线路较长，为保证输水的安全性，包括水质不受污染、水量不散失、冬季输水的可靠性等，连通工程不适宜采取明渠的形式，采取全封闭的管道输水型式。管道26+500—29+735.10、29+735.10—33+700段属于输配水混合流量，管道33+700—36+524.58为输水流量。</w:t>
      </w:r>
    </w:p>
    <w:p>
      <w:pPr>
        <w:ind w:firstLine="482"/>
        <w:rPr>
          <w:b/>
        </w:rPr>
      </w:pPr>
      <w:r>
        <w:rPr>
          <w:rFonts w:hint="eastAsia"/>
          <w:b/>
        </w:rPr>
        <w:t>c）用地类型</w:t>
      </w:r>
    </w:p>
    <w:p>
      <w:pPr>
        <w:ind w:firstLine="480"/>
      </w:pPr>
      <w:r>
        <w:rPr>
          <w:rFonts w:hint="eastAsia"/>
        </w:rPr>
        <w:t>根据泽普县淼鑫水务有限责任公司提供的勘测定界报告及项目地类面积汇总表等技术基础资料，喀什地区泽普县供水城乡一体化建设工程（泽普县农村规模化供水管道连通工程）临时用地1宗，</w:t>
      </w:r>
      <w:r>
        <w:t>临时用地损毁面积为</w:t>
      </w:r>
      <w:r>
        <w:rPr>
          <w:rFonts w:hint="eastAsia"/>
        </w:rPr>
        <w:t>4.3908hm</w:t>
      </w:r>
      <w:r>
        <w:rPr>
          <w:rFonts w:hint="eastAsia"/>
          <w:vertAlign w:val="superscript"/>
        </w:rPr>
        <w:t>2</w:t>
      </w:r>
      <w:r>
        <w:rPr>
          <w:rFonts w:hint="eastAsia"/>
        </w:rPr>
        <w:t>。损毁土地利用类型为</w:t>
      </w:r>
      <w:r>
        <w:t>水浇地0.4026hm</w:t>
      </w:r>
      <w:r>
        <w:rPr>
          <w:vertAlign w:val="superscript"/>
        </w:rPr>
        <w:t>2</w:t>
      </w:r>
      <w:r>
        <w:rPr>
          <w:rFonts w:hint="eastAsia"/>
        </w:rPr>
        <w:t>，</w:t>
      </w:r>
      <w:r>
        <w:t>果园0.6105hm</w:t>
      </w:r>
      <w:r>
        <w:rPr>
          <w:vertAlign w:val="superscript"/>
        </w:rPr>
        <w:t>2</w:t>
      </w:r>
      <w:r>
        <w:rPr>
          <w:rFonts w:hint="eastAsia"/>
        </w:rPr>
        <w:t>，</w:t>
      </w:r>
      <w:r>
        <w:t>乔木林地0.2056hm</w:t>
      </w:r>
      <w:r>
        <w:rPr>
          <w:vertAlign w:val="superscript"/>
        </w:rPr>
        <w:t>2</w:t>
      </w:r>
      <w:r>
        <w:rPr>
          <w:rFonts w:hint="eastAsia"/>
        </w:rPr>
        <w:t>，</w:t>
      </w:r>
      <w:r>
        <w:t>其他林地0.0223hm</w:t>
      </w:r>
      <w:r>
        <w:rPr>
          <w:vertAlign w:val="superscript"/>
        </w:rPr>
        <w:t>2</w:t>
      </w:r>
      <w:r>
        <w:rPr>
          <w:rFonts w:hint="eastAsia"/>
        </w:rPr>
        <w:t>，</w:t>
      </w:r>
      <w:r>
        <w:t>其他草地0.0163hm</w:t>
      </w:r>
      <w:r>
        <w:rPr>
          <w:vertAlign w:val="superscript"/>
        </w:rPr>
        <w:t>2</w:t>
      </w:r>
      <w:r>
        <w:rPr>
          <w:rFonts w:hint="eastAsia"/>
        </w:rPr>
        <w:t>，</w:t>
      </w:r>
      <w:r>
        <w:t>农村道路1.2099hm</w:t>
      </w:r>
      <w:r>
        <w:rPr>
          <w:vertAlign w:val="superscript"/>
        </w:rPr>
        <w:t>2</w:t>
      </w:r>
      <w:r>
        <w:rPr>
          <w:rFonts w:hint="eastAsia"/>
        </w:rPr>
        <w:t>，</w:t>
      </w:r>
      <w:r>
        <w:t>农村宅基地0.0135hm</w:t>
      </w:r>
      <w:r>
        <w:rPr>
          <w:vertAlign w:val="superscript"/>
        </w:rPr>
        <w:t>2</w:t>
      </w:r>
      <w:r>
        <w:rPr>
          <w:rFonts w:hint="eastAsia"/>
        </w:rPr>
        <w:t>，</w:t>
      </w:r>
      <w:r>
        <w:t>采矿用地0.0094hm</w:t>
      </w:r>
      <w:r>
        <w:rPr>
          <w:vertAlign w:val="superscript"/>
        </w:rPr>
        <w:t>2</w:t>
      </w:r>
      <w:r>
        <w:rPr>
          <w:rFonts w:hint="eastAsia"/>
        </w:rPr>
        <w:t>，</w:t>
      </w:r>
      <w:r>
        <w:t>公路用地0.0319hm</w:t>
      </w:r>
      <w:r>
        <w:rPr>
          <w:vertAlign w:val="superscript"/>
        </w:rPr>
        <w:t>2</w:t>
      </w:r>
      <w:r>
        <w:rPr>
          <w:rFonts w:hint="eastAsia"/>
        </w:rPr>
        <w:t>，其他</w:t>
      </w:r>
      <w:r>
        <w:t>特殊用地0.0476hm</w:t>
      </w:r>
      <w:r>
        <w:rPr>
          <w:vertAlign w:val="superscript"/>
        </w:rPr>
        <w:t>2</w:t>
      </w:r>
      <w:r>
        <w:rPr>
          <w:rFonts w:hint="eastAsia"/>
        </w:rPr>
        <w:t>，</w:t>
      </w:r>
      <w:r>
        <w:t>沟渠</w:t>
      </w:r>
      <w:r>
        <w:rPr>
          <w:rFonts w:hint="eastAsia"/>
        </w:rPr>
        <w:t>1.8212</w:t>
      </w:r>
      <w:r>
        <w:t>hm</w:t>
      </w:r>
      <w:r>
        <w:rPr>
          <w:vertAlign w:val="superscript"/>
        </w:rPr>
        <w:t>2</w:t>
      </w:r>
      <w:r>
        <w:rPr>
          <w:rFonts w:hint="eastAsia"/>
          <w:bCs/>
        </w:rPr>
        <w:t>。</w:t>
      </w:r>
      <w:r>
        <w:t>实际复垦土地面积</w:t>
      </w:r>
      <w:r>
        <w:rPr>
          <w:rFonts w:hint="eastAsia"/>
        </w:rPr>
        <w:t>4.3908hm</w:t>
      </w:r>
      <w:r>
        <w:rPr>
          <w:rFonts w:hint="eastAsia"/>
          <w:vertAlign w:val="superscript"/>
        </w:rPr>
        <w:t>2</w:t>
      </w:r>
      <w:r>
        <w:rPr>
          <w:rFonts w:hint="eastAsia"/>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Pr>
        <w:pStyle w:val="7"/>
      </w:pPr>
      <w:bookmarkStart w:id="292" w:name="_Toc15099"/>
      <w:bookmarkStart w:id="293" w:name="_Toc116061604"/>
      <w:bookmarkStart w:id="294" w:name="_Toc247700626"/>
      <w:bookmarkStart w:id="295" w:name="_Toc245534804"/>
      <w:bookmarkStart w:id="296" w:name="_Toc18390"/>
      <w:bookmarkStart w:id="297" w:name="_Toc8581523"/>
      <w:bookmarkStart w:id="298" w:name="_Toc331979741"/>
      <w:bookmarkStart w:id="299" w:name="_Toc374433399"/>
      <w:bookmarkStart w:id="300" w:name="_Toc272330945"/>
      <w:bookmarkStart w:id="301" w:name="_Toc260918456"/>
      <w:bookmarkStart w:id="302" w:name="_Toc331979952"/>
      <w:bookmarkStart w:id="303" w:name="_Toc331979426"/>
      <w:bookmarkStart w:id="304" w:name="_Toc93403606"/>
      <w:bookmarkStart w:id="305" w:name="_Toc332054180"/>
      <w:bookmarkStart w:id="306" w:name="_Toc341866370"/>
      <w:bookmarkStart w:id="307" w:name="_Toc331979531"/>
      <w:bookmarkStart w:id="308" w:name="_Toc326857786"/>
      <w:r>
        <w:rPr>
          <w:rFonts w:hint="eastAsia"/>
        </w:rPr>
        <w:t>3.1.2本复垦</w:t>
      </w:r>
      <w:bookmarkEnd w:id="292"/>
      <w:bookmarkEnd w:id="293"/>
      <w:r>
        <w:rPr>
          <w:rFonts w:hint="eastAsia"/>
        </w:rPr>
        <w:t>建设的必要性</w:t>
      </w:r>
    </w:p>
    <w:p>
      <w:pPr>
        <w:widowControl/>
        <w:ind w:firstLine="480"/>
        <w:jc w:val="left"/>
      </w:pPr>
      <w:r>
        <w:rPr>
          <w:rFonts w:hint="eastAsia"/>
        </w:rPr>
        <w:t>通过对项目相关资料分析，项目建设具有以下必要性：一、是补足短板、巩固脱贫攻坚成果和同乡村振兴有效衔接的需要。县城因供水总厂水量不足只能采用地下水供水，已建的部分输水管道不能发挥作用，存在供水设施闲置的问题。输配水管道及内部管网大部分达到使用年限需进行更换，部分管段管径无法满足过流要求，供水高峰期不得不启用水质未经处理的地下水进行补充，掺混后的水质无法保障。现状农村片区采用一个大配水系统，距离远、落差大，存在一定的安全隐患，同时容易导致供水不均的问题。入户水表落后导致水费征收困难。制水成本高，实施的水价低于成本价。二、是推进城乡一体化和区域协调发展的需要。推动泽普县供水城乡一体化建设工程，是消除农村与城镇差距，是满足当地群众对美好生活向往的保障，是推动泽普县城乡一体化建设的重要举措。三、是满足人民群众日益增长的物质文化生活需求的需要。2020年中央一号文件发布，《意见》指出，2020年是全面建成小康社会目标实现之年，是全面打赢脱贫攻坚战收官之年，要集中力量完成打赢脱贫攻坚战和补上全面小康“三农”领域突出短板两大重点任务。《意见》提出一系列实实在在的举措，具体包括30项工作。其中，推进城乡供水一体化作为了其中重要一项。</w:t>
      </w:r>
    </w:p>
    <w:p>
      <w:pPr>
        <w:pStyle w:val="6"/>
      </w:pPr>
      <w:bookmarkStart w:id="309" w:name="_Toc29468"/>
      <w:bookmarkStart w:id="310" w:name="_Toc24944"/>
      <w:bookmarkStart w:id="311" w:name="_Toc116061605"/>
      <w:r>
        <w:t>3.2项目区自然</w:t>
      </w:r>
      <w:bookmarkEnd w:id="294"/>
      <w:bookmarkEnd w:id="295"/>
      <w:bookmarkStart w:id="312" w:name="_Toc247700627"/>
      <w:r>
        <w:t>概况</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7"/>
      </w:pPr>
      <w:bookmarkStart w:id="313" w:name="_Toc260918453"/>
      <w:bookmarkStart w:id="314" w:name="_Toc331979742"/>
      <w:bookmarkStart w:id="315" w:name="_Toc31788"/>
      <w:bookmarkStart w:id="316" w:name="_Toc6873165"/>
      <w:bookmarkStart w:id="317" w:name="_Toc116061606"/>
      <w:bookmarkStart w:id="318" w:name="_Toc272330942"/>
      <w:bookmarkStart w:id="319" w:name="_Toc331979532"/>
      <w:bookmarkStart w:id="320" w:name="_Toc332054181"/>
      <w:bookmarkStart w:id="321" w:name="_Toc8385921"/>
      <w:bookmarkStart w:id="322" w:name="_Toc374433400"/>
      <w:bookmarkStart w:id="323" w:name="_Toc331979953"/>
      <w:bookmarkStart w:id="324" w:name="_Toc6856087"/>
      <w:bookmarkStart w:id="325" w:name="_Toc247700623"/>
      <w:bookmarkStart w:id="326" w:name="_Toc331979427"/>
      <w:bookmarkStart w:id="327" w:name="_Toc341866371"/>
      <w:bookmarkStart w:id="328" w:name="_Toc8581524"/>
      <w:r>
        <w:t>3.2.1地理位置</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pPr>
        <w:ind w:firstLine="480"/>
      </w:pPr>
      <w:r>
        <w:rPr>
          <w:rFonts w:hint="eastAsia"/>
        </w:rPr>
        <w:t>泽普县位于新疆维吾尔自治区西南部，昆仑山北麓，塔里木盆地西缘。地处北纬37°55'~38°19'、东经76°53'~77°29'，海拔高度在1215~1490米之间，位于神奇的北纬38度地区，该纬度是众多奇迹汇聚的地带，以城多、景美、物丰、神秘而著称。全县总面积988平方公里，辖15个乡镇（场）、155个行政村（社区）。</w:t>
      </w:r>
      <w:r>
        <w:t>详见项目区地理位置图（图3.2.1-1）。</w:t>
      </w:r>
    </w:p>
    <w:p>
      <w:pPr>
        <w:ind w:firstLine="480"/>
        <w:sectPr>
          <w:type w:val="continuous"/>
          <w:pgSz w:w="11906" w:h="16838"/>
          <w:pgMar w:top="1440" w:right="1440" w:bottom="1440" w:left="1440" w:header="851" w:footer="992" w:gutter="0"/>
          <w:cols w:space="720" w:num="1"/>
          <w:docGrid w:type="lines" w:linePitch="312" w:charSpace="0"/>
        </w:sectPr>
      </w:pPr>
      <w:bookmarkStart w:id="329" w:name="_Toc331979954"/>
      <w:bookmarkStart w:id="330" w:name="_Toc331979428"/>
      <w:bookmarkStart w:id="331" w:name="_Toc6856088"/>
      <w:bookmarkStart w:id="332" w:name="_Toc331979533"/>
      <w:bookmarkStart w:id="333" w:name="_Toc6873166"/>
      <w:bookmarkStart w:id="334" w:name="_Toc331979743"/>
      <w:bookmarkStart w:id="335" w:name="_Toc374433401"/>
      <w:bookmarkStart w:id="336" w:name="_Toc8385922"/>
      <w:bookmarkStart w:id="337" w:name="_Toc341866372"/>
      <w:bookmarkStart w:id="338" w:name="_Toc332054182"/>
      <w:bookmarkStart w:id="339" w:name="_Toc8581525"/>
    </w:p>
    <w:p>
      <w:pPr>
        <w:ind w:firstLine="0" w:firstLineChars="0"/>
        <w:jc w:val="center"/>
        <w:sectPr>
          <w:pgSz w:w="16838" w:h="11906" w:orient="landscape"/>
          <w:pgMar w:top="1440" w:right="1440" w:bottom="1440" w:left="1440" w:header="851" w:footer="992" w:gutter="0"/>
          <w:cols w:space="720" w:num="1"/>
          <w:docGrid w:type="lines" w:linePitch="312" w:charSpace="0"/>
        </w:sectPr>
      </w:pPr>
      <w:r>
        <w:t>图3.2.1-1项目区地理位置图</w:t>
      </w:r>
    </w:p>
    <w:bookmarkEnd w:id="329"/>
    <w:bookmarkEnd w:id="330"/>
    <w:bookmarkEnd w:id="331"/>
    <w:bookmarkEnd w:id="332"/>
    <w:bookmarkEnd w:id="333"/>
    <w:bookmarkEnd w:id="334"/>
    <w:bookmarkEnd w:id="335"/>
    <w:bookmarkEnd w:id="336"/>
    <w:bookmarkEnd w:id="337"/>
    <w:bookmarkEnd w:id="338"/>
    <w:bookmarkEnd w:id="339"/>
    <w:p>
      <w:pPr>
        <w:pStyle w:val="7"/>
      </w:pPr>
      <w:bookmarkStart w:id="340" w:name="_Toc11345"/>
      <w:bookmarkStart w:id="341" w:name="_Toc116061607"/>
      <w:bookmarkStart w:id="342" w:name="_Toc6873168"/>
      <w:bookmarkStart w:id="343" w:name="_Toc374433403"/>
      <w:bookmarkStart w:id="344" w:name="_Toc331979745"/>
      <w:bookmarkStart w:id="345" w:name="_Toc260918462"/>
      <w:bookmarkStart w:id="346" w:name="_Toc331979535"/>
      <w:bookmarkStart w:id="347" w:name="_Toc332054184"/>
      <w:bookmarkStart w:id="348" w:name="_Toc331979430"/>
      <w:bookmarkStart w:id="349" w:name="_Toc331979956"/>
      <w:bookmarkStart w:id="350" w:name="_Toc6856090"/>
      <w:bookmarkStart w:id="351" w:name="_Toc28565"/>
      <w:bookmarkStart w:id="352" w:name="_Toc8581527"/>
      <w:bookmarkStart w:id="353" w:name="_Toc8385924"/>
      <w:bookmarkStart w:id="354" w:name="_Toc341866374"/>
      <w:bookmarkStart w:id="355" w:name="_Toc116061609"/>
      <w:bookmarkStart w:id="356" w:name="_Toc272330953"/>
      <w:bookmarkStart w:id="357" w:name="_Toc260918458"/>
      <w:r>
        <w:t>3.2.2地貌</w:t>
      </w:r>
      <w:bookmarkEnd w:id="340"/>
      <w:bookmarkEnd w:id="341"/>
    </w:p>
    <w:p>
      <w:pPr>
        <w:ind w:firstLine="480"/>
      </w:pPr>
      <w:r>
        <w:rPr>
          <w:rFonts w:hint="eastAsia"/>
        </w:rPr>
        <w:t>泽普县属典型的沙漠绿洲地貌，有叶尔羌河和提孜那甫河两条河流流过县境，地处叶尔羌河与提孜那甫河冲积扇中上游，与喀什地区莎车县和叶城县相毗邻。地势由西南向东北倾斜。</w:t>
      </w:r>
    </w:p>
    <w:p>
      <w:pPr>
        <w:pStyle w:val="7"/>
      </w:pPr>
      <w:bookmarkStart w:id="358" w:name="_Toc23255"/>
      <w:bookmarkStart w:id="359" w:name="_Toc8581526"/>
      <w:bookmarkStart w:id="360" w:name="_Toc6856089"/>
      <w:bookmarkStart w:id="361" w:name="_Toc272330946"/>
      <w:bookmarkStart w:id="362" w:name="_Toc331979534"/>
      <w:bookmarkStart w:id="363" w:name="_Toc116061608"/>
      <w:bookmarkStart w:id="364" w:name="_Toc260918457"/>
      <w:bookmarkStart w:id="365" w:name="_Toc374433402"/>
      <w:bookmarkStart w:id="366" w:name="_Toc332054183"/>
      <w:bookmarkStart w:id="367" w:name="_Toc331979744"/>
      <w:bookmarkStart w:id="368" w:name="_Toc331979955"/>
      <w:bookmarkStart w:id="369" w:name="_Toc8385923"/>
      <w:bookmarkStart w:id="370" w:name="_Toc6873167"/>
      <w:bookmarkStart w:id="371" w:name="_Toc341866373"/>
      <w:bookmarkStart w:id="372" w:name="_Toc331979429"/>
      <w:r>
        <w:t>3.2.3气候</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ind w:firstLine="480"/>
      </w:pPr>
      <w:r>
        <w:rPr>
          <w:rFonts w:hint="eastAsia"/>
        </w:rPr>
        <w:t>泽普县属大陆性暖温带干旱气候，光照充足，热量丰富，气候干燥。多年平均气温：11.4.℃，极端最高气温为39.8℃，极端最低气温-23.5℃，多年平均降水量为46.1mm。多年平均蒸发量2297.5mm（20厘米口径蒸发皿），多年平均日照时数2965h，多年平均风速1.8m/s，最长无霜期为217天，历年平均无霜期为173天，最大冻土深度69cm。</w:t>
      </w:r>
    </w:p>
    <w:p>
      <w:pPr>
        <w:pStyle w:val="7"/>
      </w:pPr>
      <w:r>
        <w:t>3.2.4土壤</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ind w:firstLine="480"/>
      </w:pPr>
      <w:bookmarkStart w:id="373" w:name="_Toc374433404"/>
      <w:bookmarkStart w:id="374" w:name="_Toc341866375"/>
      <w:bookmarkStart w:id="375" w:name="_Toc331979431"/>
      <w:bookmarkStart w:id="376" w:name="_Toc6873169"/>
      <w:bookmarkStart w:id="377" w:name="_Toc8581528"/>
      <w:bookmarkStart w:id="378" w:name="_Toc6856091"/>
      <w:bookmarkStart w:id="379" w:name="_Toc331979957"/>
      <w:bookmarkStart w:id="380" w:name="_Toc331979536"/>
      <w:bookmarkStart w:id="381" w:name="_Toc332054185"/>
      <w:bookmarkStart w:id="382" w:name="_Toc8385925"/>
      <w:bookmarkStart w:id="383" w:name="_Toc331979746"/>
      <w:bookmarkStart w:id="384" w:name="_Toc260918463"/>
      <w:bookmarkStart w:id="385" w:name="_Toc272330954"/>
      <w:r>
        <w:rPr>
          <w:rFonts w:hint="eastAsia"/>
        </w:rPr>
        <w:t>根据新疆土壤类型分布图及结合周边历史调查结果分析，项目区区域土壤为棕漠土和潮土。项目区土壤颗粒组成较为均一，有机质含量低，较为贫瘠。</w:t>
      </w:r>
    </w:p>
    <w:p>
      <w:pPr>
        <w:ind w:firstLine="482"/>
        <w:rPr>
          <w:b/>
          <w:color w:val="000000"/>
        </w:rPr>
      </w:pPr>
      <w:r>
        <w:rPr>
          <w:b/>
          <w:color w:val="000000"/>
        </w:rPr>
        <w:t>a）棕漠土</w:t>
      </w:r>
    </w:p>
    <w:p>
      <w:pPr>
        <w:ind w:firstLine="480"/>
        <w:rPr>
          <w:color w:val="000000"/>
        </w:rPr>
      </w:pPr>
      <w:r>
        <w:rPr>
          <w:color w:val="000000"/>
        </w:rPr>
        <w:t>分布在</w:t>
      </w:r>
      <w:r>
        <w:t>乔木林地</w:t>
      </w:r>
      <w:r>
        <w:rPr>
          <w:rFonts w:hint="eastAsia"/>
        </w:rPr>
        <w:t>、</w:t>
      </w:r>
      <w:r>
        <w:t>其他林地</w:t>
      </w:r>
      <w:r>
        <w:rPr>
          <w:rFonts w:hint="eastAsia"/>
        </w:rPr>
        <w:t>、</w:t>
      </w:r>
      <w:r>
        <w:t>其他草地</w:t>
      </w:r>
      <w:r>
        <w:rPr>
          <w:rFonts w:hint="eastAsia"/>
        </w:rPr>
        <w:t>、</w:t>
      </w:r>
      <w:r>
        <w:t>农村道路</w:t>
      </w:r>
      <w:r>
        <w:rPr>
          <w:rFonts w:hint="eastAsia"/>
        </w:rPr>
        <w:t>、</w:t>
      </w:r>
      <w:r>
        <w:t>农村宅基地</w:t>
      </w:r>
      <w:r>
        <w:rPr>
          <w:rFonts w:hint="eastAsia"/>
        </w:rPr>
        <w:t>、</w:t>
      </w:r>
      <w:r>
        <w:t>采矿用地</w:t>
      </w:r>
      <w:r>
        <w:rPr>
          <w:rFonts w:hint="eastAsia"/>
        </w:rPr>
        <w:t>、其他</w:t>
      </w:r>
      <w:r>
        <w:t>特殊用地</w:t>
      </w:r>
      <w:r>
        <w:rPr>
          <w:rFonts w:hint="eastAsia"/>
        </w:rPr>
        <w:t>、</w:t>
      </w:r>
      <w:r>
        <w:t>沟渠</w:t>
      </w:r>
      <w:r>
        <w:rPr>
          <w:rFonts w:hint="eastAsia"/>
          <w:color w:val="000000"/>
        </w:rPr>
        <w:t>上</w:t>
      </w:r>
      <w:r>
        <w:rPr>
          <w:color w:val="000000"/>
        </w:rPr>
        <w:t>，为灰棕漠土，一般发育在干旱荒漠气候条件下砾质冲洪积物上，粗骨性母质，细土物质很少，土体非常干燥，地表有一层厚约2 - 3cm而略带黄灰色的结皮砾幕，混有砾石和碎石；下为浅褐棕色或褐红棕色、砾质沙壤的不明显层片状层，比较疏松，厚约8cm-12cm。灰棕漠土土壤表层有机质含量仅3g/kg-5g/kg，在剖面中无明显聚积层，腐殖质组成中的腐殖质碳只占有机碳的25%左右，而与矿质紧密结合的胡敏素碳占有机碳70％以上。</w:t>
      </w:r>
      <w:r>
        <w:rPr>
          <w:rFonts w:hint="eastAsia"/>
          <w:color w:val="000000"/>
          <w:lang w:val="en-US" w:eastAsia="zh-CN"/>
        </w:rPr>
        <w:t>有效土层厚度20cm，</w:t>
      </w:r>
      <w:r>
        <w:rPr>
          <w:color w:val="000000"/>
        </w:rPr>
        <w:t>土壤容重≤1.55g/cm</w:t>
      </w:r>
      <w:r>
        <w:rPr>
          <w:color w:val="000000"/>
          <w:vertAlign w:val="superscript"/>
        </w:rPr>
        <w:t>3</w:t>
      </w:r>
      <w:r>
        <w:rPr>
          <w:color w:val="000000"/>
        </w:rPr>
        <w:t>，砾石含量≤30%，pH为7.0-8.0，有机质含量≥3g/kg。</w:t>
      </w:r>
    </w:p>
    <w:p>
      <w:pPr>
        <w:ind w:firstLine="482"/>
        <w:rPr>
          <w:b/>
          <w:color w:val="000000"/>
        </w:rPr>
      </w:pPr>
      <w:r>
        <w:rPr>
          <w:rFonts w:hint="eastAsia"/>
          <w:b/>
          <w:color w:val="000000"/>
        </w:rPr>
        <w:t>b）潮土</w:t>
      </w:r>
    </w:p>
    <w:p>
      <w:pPr>
        <w:ind w:firstLine="480"/>
      </w:pPr>
      <w:r>
        <w:rPr>
          <w:rFonts w:hint="eastAsia"/>
          <w:color w:val="000000"/>
        </w:rPr>
        <w:t>分布在耕地及果园上，属潮土+叶垫潮土，项目区潮土含腐殖质表层，其腐殖质积累过程的实质是人类通过耕作、施肥、灌排等农业措施，改良培肥土壤的过程。表土质地多为壤质土，质地适中、水分物理性质良好，水、热，气、肥平衡协调，适耕性强。土壤腐殖质含量较高，多在10~20g/kg。土壤表层具有碱化、盐积现象，地下水埋深较浅，矿化度变幅较大，一般在1～5g/L间，排水条件较差。</w:t>
      </w:r>
      <w:r>
        <w:rPr>
          <w:rFonts w:hint="eastAsia"/>
          <w:color w:val="000000"/>
          <w:lang w:val="en-US" w:eastAsia="zh-CN"/>
        </w:rPr>
        <w:t>耕地有效土层厚度50cm，果园有效土层厚度20cm，</w:t>
      </w:r>
      <w:r>
        <w:rPr>
          <w:rFonts w:hint="eastAsia"/>
          <w:color w:val="000000"/>
        </w:rPr>
        <w:t>土壤容重≤1.45g/cm</w:t>
      </w:r>
      <w:r>
        <w:rPr>
          <w:rFonts w:hint="eastAsia"/>
          <w:color w:val="000000"/>
          <w:vertAlign w:val="superscript"/>
        </w:rPr>
        <w:t>3</w:t>
      </w:r>
      <w:r>
        <w:rPr>
          <w:rFonts w:hint="eastAsia"/>
          <w:color w:val="000000"/>
        </w:rPr>
        <w:t>，砾石含量≤20%，pH为7.0-8.0，有机质含量≥10g/kg。</w:t>
      </w:r>
    </w:p>
    <w:p>
      <w:pPr>
        <w:pStyle w:val="7"/>
      </w:pPr>
      <w:bookmarkStart w:id="386" w:name="_Toc30940"/>
      <w:bookmarkStart w:id="387" w:name="_Toc116061610"/>
      <w:r>
        <w:t>3.2.5</w:t>
      </w:r>
      <w:bookmarkEnd w:id="373"/>
      <w:bookmarkEnd w:id="374"/>
      <w:bookmarkEnd w:id="375"/>
      <w:bookmarkEnd w:id="376"/>
      <w:bookmarkEnd w:id="377"/>
      <w:bookmarkEnd w:id="378"/>
      <w:bookmarkEnd w:id="379"/>
      <w:bookmarkEnd w:id="380"/>
      <w:bookmarkEnd w:id="381"/>
      <w:bookmarkEnd w:id="382"/>
      <w:bookmarkEnd w:id="383"/>
      <w:bookmarkEnd w:id="386"/>
      <w:bookmarkEnd w:id="387"/>
      <w:r>
        <w:rPr>
          <w:rFonts w:hint="eastAsia"/>
        </w:rPr>
        <w:t>植被</w:t>
      </w:r>
    </w:p>
    <w:bookmarkEnd w:id="384"/>
    <w:bookmarkEnd w:id="385"/>
    <w:p>
      <w:pPr>
        <w:ind w:firstLine="480"/>
      </w:pPr>
      <w:bookmarkStart w:id="388" w:name="_Toc272330950"/>
      <w:bookmarkStart w:id="389" w:name="_Toc260918461"/>
      <w:bookmarkStart w:id="390" w:name="_Toc331979432"/>
      <w:bookmarkStart w:id="391" w:name="_Toc331979958"/>
      <w:bookmarkStart w:id="392" w:name="_Toc331979747"/>
      <w:bookmarkStart w:id="393" w:name="_Toc374433405"/>
      <w:bookmarkStart w:id="394" w:name="_Toc341866376"/>
      <w:bookmarkStart w:id="395" w:name="_Toc8581529"/>
      <w:bookmarkStart w:id="396" w:name="_Toc8385926"/>
      <w:bookmarkStart w:id="397" w:name="_Toc331979537"/>
      <w:bookmarkStart w:id="398" w:name="_Toc6856092"/>
      <w:bookmarkStart w:id="399" w:name="_Toc332054186"/>
      <w:bookmarkStart w:id="400" w:name="_Toc6873170"/>
      <w:r>
        <w:rPr>
          <w:rFonts w:hint="eastAsia"/>
        </w:rPr>
        <w:t>泽普县是以农业为主、农牧业相结合的县。农业以种小麦为主，粮食作物有小麦、玉米等；主要瓜果有红枣、核桃、苹果等。项目区地类为水浇地，果园，乔木林地，其他林地，其他草地，农村道路，农村宅基地，采矿用地，公路用地，其他特殊用地，沟渠。</w:t>
      </w:r>
      <w:r>
        <w:rPr>
          <w:rFonts w:hint="eastAsia"/>
          <w:lang w:val="en-US" w:eastAsia="zh-CN"/>
        </w:rPr>
        <w:t>依据现场调查，水浇地种植农作物为玉米；果园种植枣树401棵，核桃树544棵，西梅76棵；乔木林地、其他林地主要树种为白杨树809棵、柳树18棵。</w:t>
      </w:r>
      <w:r>
        <w:rPr>
          <w:rFonts w:hint="eastAsia"/>
        </w:rPr>
        <w:t>其他草地主要植被为灰绿藜、芨芨草、碱蒿</w:t>
      </w:r>
      <w:r>
        <w:rPr>
          <w:rFonts w:hint="eastAsia"/>
          <w:lang w:eastAsia="zh-CN"/>
        </w:rPr>
        <w:t>，</w:t>
      </w:r>
      <w:r>
        <w:rPr>
          <w:rFonts w:hint="eastAsia"/>
          <w:lang w:val="en-US" w:eastAsia="zh-CN"/>
        </w:rPr>
        <w:t>植被覆盖度为30%</w:t>
      </w:r>
      <w:r>
        <w:rPr>
          <w:rFonts w:hint="eastAsia"/>
        </w:rPr>
        <w:t>。农村道路，农村宅基地，采矿用地，公路用地，其他特殊用地，沟渠内部无天然植被覆盖，典型植被见图。</w:t>
      </w:r>
    </w:p>
    <w:p>
      <w:pPr>
        <w:spacing w:line="240" w:lineRule="auto"/>
        <w:ind w:firstLine="0" w:firstLineChars="0"/>
        <w:jc w:val="center"/>
      </w:pPr>
      <w:r>
        <w:rPr>
          <w:rFonts w:hint="eastAsia"/>
        </w:rPr>
        <w:t xml:space="preserve"> </w:t>
      </w:r>
    </w:p>
    <w:p>
      <w:pPr>
        <w:spacing w:line="240" w:lineRule="auto"/>
        <w:ind w:firstLine="0" w:firstLineChars="0"/>
        <w:jc w:val="center"/>
      </w:pPr>
      <w:r>
        <w:rPr>
          <w:rFonts w:hint="eastAsia"/>
        </w:rPr>
        <w:t xml:space="preserve"> </w:t>
      </w:r>
    </w:p>
    <w:p>
      <w:pPr>
        <w:spacing w:line="240" w:lineRule="auto"/>
        <w:ind w:firstLine="0" w:firstLineChars="0"/>
        <w:jc w:val="center"/>
      </w:pPr>
      <w:r>
        <w:rPr>
          <w:rFonts w:hint="eastAsia"/>
        </w:rPr>
        <w:t xml:space="preserve"> </w:t>
      </w:r>
    </w:p>
    <w:p>
      <w:pPr>
        <w:ind w:firstLine="0" w:firstLineChars="0"/>
        <w:jc w:val="center"/>
      </w:pPr>
      <w:r>
        <w:rPr>
          <w:rFonts w:hint="eastAsia"/>
        </w:rPr>
        <w:t>项目区地类及地貌</w:t>
      </w:r>
    </w:p>
    <w:p>
      <w:pPr>
        <w:pStyle w:val="7"/>
      </w:pPr>
      <w:bookmarkStart w:id="401" w:name="_Toc19761"/>
      <w:bookmarkStart w:id="402" w:name="_Toc116061611"/>
      <w:r>
        <w:t>3.2.</w:t>
      </w:r>
      <w:bookmarkEnd w:id="357"/>
      <w:bookmarkEnd w:id="388"/>
      <w:bookmarkEnd w:id="389"/>
      <w:r>
        <w:rPr>
          <w:rFonts w:hint="eastAsia"/>
        </w:rPr>
        <w:t>6</w:t>
      </w:r>
      <w:r>
        <w:t>水文</w:t>
      </w:r>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472"/>
        <w:snapToGrid/>
        <w:spacing w:line="500" w:lineRule="exact"/>
        <w:rPr>
          <w:szCs w:val="28"/>
        </w:rPr>
      </w:pPr>
      <w:bookmarkStart w:id="403" w:name="_Toc272330952"/>
      <w:bookmarkStart w:id="404" w:name="_Toc260918465"/>
      <w:bookmarkStart w:id="405" w:name="_Toc247700629"/>
      <w:bookmarkStart w:id="406" w:name="_Toc326857788"/>
      <w:r>
        <w:rPr>
          <w:rFonts w:hint="eastAsia"/>
        </w:rPr>
        <w:t>叶尔羌河位于新疆维吾尔自治区西南部，地处塔里木盆地西南缘。东邻塔克拉玛干沙漠及和田地区皮山县、喀拉喀什河流域，西与喀什噶尔流域接壤，南与喀喇昆仑山主山脊为界，北迄天山南麓与阿克苏地区毗连，上游约 250km穿行于崇山峻岭中，主流拉斯开木河；左岸有一支流为克里青河，发源于乔格里峰两河会合后，称叶尔羌河，右侧有提孜那甫河汇入，下游经巴楚县，在阿克苏地区阿瓦提县境内汇入塔里木河。流域介于地理坐标东经 74°28′至 80°54′，北纬 34°50′至 40°31′之间。据全国水资源评价：叶尔羌河总面积 8.73×10 4km 2，其中国内积水面积 8.44×10 4 km 2，从河源到河口河流全长 1165km，是塔里木河三大源流之一。详见项目区水系图（图3.2.6-1）。</w:t>
      </w:r>
    </w:p>
    <w:p>
      <w:pPr>
        <w:pStyle w:val="7"/>
        <w:sectPr>
          <w:pgSz w:w="11906" w:h="16838"/>
          <w:pgMar w:top="1418" w:right="1247" w:bottom="1418" w:left="1247" w:header="851" w:footer="992" w:gutter="340"/>
          <w:cols w:space="720" w:num="1"/>
          <w:docGrid w:type="linesAndChars" w:linePitch="312" w:charSpace="0"/>
        </w:sectPr>
      </w:pPr>
      <w:bookmarkStart w:id="407" w:name="_Toc332054187"/>
      <w:bookmarkStart w:id="408" w:name="_Toc27556"/>
      <w:bookmarkStart w:id="409" w:name="_Toc331979748"/>
      <w:bookmarkStart w:id="410" w:name="_Toc8581530"/>
      <w:bookmarkStart w:id="411" w:name="_Toc374433406"/>
      <w:bookmarkStart w:id="412" w:name="_Toc6873171"/>
      <w:bookmarkStart w:id="413" w:name="_Toc331979959"/>
      <w:bookmarkStart w:id="414" w:name="_Toc341866377"/>
      <w:bookmarkStart w:id="415" w:name="_Toc331979433"/>
      <w:bookmarkStart w:id="416" w:name="_Toc6856093"/>
      <w:bookmarkStart w:id="417" w:name="_Toc331979538"/>
      <w:bookmarkStart w:id="418" w:name="_Toc116061612"/>
      <w:bookmarkStart w:id="419" w:name="_Toc8385927"/>
    </w:p>
    <w:p>
      <w:pPr>
        <w:ind w:firstLine="0" w:firstLineChars="0"/>
        <w:jc w:val="center"/>
      </w:pPr>
      <w:r>
        <w:rPr>
          <w:rFonts w:hint="eastAsia"/>
        </w:rPr>
        <w:t>图3.2.6-1项目区水系图</w:t>
      </w:r>
    </w:p>
    <w:p>
      <w:pPr>
        <w:ind w:firstLine="480"/>
        <w:sectPr>
          <w:pgSz w:w="16838" w:h="11906" w:orient="landscape"/>
          <w:pgMar w:top="1247" w:right="1418" w:bottom="1247" w:left="1418" w:header="851" w:footer="992" w:gutter="340"/>
          <w:cols w:space="720" w:num="1"/>
          <w:docGrid w:type="linesAndChars" w:linePitch="326" w:charSpace="0"/>
        </w:sectPr>
      </w:pPr>
    </w:p>
    <w:p>
      <w:pPr>
        <w:pStyle w:val="7"/>
      </w:pPr>
      <w:r>
        <w:t>3.2.</w:t>
      </w:r>
      <w:r>
        <w:rPr>
          <w:rFonts w:hint="eastAsia"/>
        </w:rPr>
        <w:t>7</w:t>
      </w:r>
      <w:r>
        <w:t>地质</w:t>
      </w:r>
      <w:bookmarkEnd w:id="407"/>
      <w:bookmarkEnd w:id="408"/>
      <w:bookmarkEnd w:id="409"/>
      <w:bookmarkEnd w:id="410"/>
      <w:bookmarkEnd w:id="411"/>
      <w:bookmarkEnd w:id="412"/>
      <w:bookmarkEnd w:id="413"/>
      <w:bookmarkEnd w:id="414"/>
      <w:bookmarkEnd w:id="415"/>
      <w:bookmarkEnd w:id="416"/>
      <w:bookmarkEnd w:id="417"/>
      <w:bookmarkEnd w:id="418"/>
      <w:bookmarkEnd w:id="419"/>
    </w:p>
    <w:p>
      <w:pPr>
        <w:ind w:firstLine="480"/>
      </w:pPr>
      <w:bookmarkStart w:id="420" w:name="_Toc331979960"/>
      <w:bookmarkStart w:id="421" w:name="_Toc374433407"/>
      <w:bookmarkStart w:id="422" w:name="_Toc23565"/>
      <w:bookmarkStart w:id="423" w:name="_Toc8581531"/>
      <w:bookmarkStart w:id="424" w:name="_Toc93403607"/>
      <w:bookmarkStart w:id="425" w:name="_Toc341866378"/>
      <w:bookmarkStart w:id="426" w:name="_Toc332054188"/>
      <w:bookmarkStart w:id="427" w:name="_Toc331979434"/>
      <w:bookmarkStart w:id="428" w:name="_Toc331979749"/>
      <w:bookmarkStart w:id="429" w:name="_Toc331979539"/>
      <w:r>
        <w:rPr>
          <w:rFonts w:hint="eastAsia"/>
        </w:rPr>
        <w:t>本工程区位于新疆维吾尔自治区西南部，昆仑山北麓喀喇昆仑东侧塔里木盆地塔克拉玛干大沙漠的西缘，工程区主要分布在叶尔羌河东岸的冲积扇上。地势由西南向东北顺斜，坡降 1/200-1/700。工程区位于叶尔羌河冲洪积扇上工程区在地貌上属叶尔羌河冲洪积平原过渡区。上部土层连片，厚度一般在在 4～8m。 岩性基本全新统（Q4）冲洪积形成，表层岩性主要为粉土、黏性土和粉、细沙，下部为砂卵砾石。工程区域构造基本稳定。工程区 50 年超越概率 10%的地震动峰值加速度为 0.15g。地震基本烈度 7 度。工程沿线地下水埋深一般在 6-10m 以下，对工程施工基本没有影响。</w:t>
      </w:r>
    </w:p>
    <w:p>
      <w:pPr>
        <w:pStyle w:val="6"/>
      </w:pPr>
      <w:bookmarkStart w:id="430" w:name="_Toc14673"/>
      <w:bookmarkStart w:id="431" w:name="_Toc14887"/>
      <w:bookmarkStart w:id="432" w:name="_Toc116061613"/>
      <w:r>
        <w:t>3.3项目区社会经济概况</w:t>
      </w:r>
      <w:bookmarkEnd w:id="420"/>
      <w:bookmarkEnd w:id="421"/>
      <w:bookmarkEnd w:id="422"/>
      <w:bookmarkEnd w:id="423"/>
      <w:bookmarkEnd w:id="424"/>
      <w:bookmarkEnd w:id="425"/>
      <w:bookmarkEnd w:id="426"/>
      <w:bookmarkEnd w:id="427"/>
      <w:bookmarkEnd w:id="428"/>
      <w:bookmarkEnd w:id="429"/>
      <w:bookmarkEnd w:id="430"/>
      <w:bookmarkEnd w:id="431"/>
      <w:bookmarkEnd w:id="432"/>
    </w:p>
    <w:p>
      <w:pPr>
        <w:ind w:firstLine="480"/>
      </w:pPr>
      <w:bookmarkStart w:id="433" w:name="_Toc93403608"/>
      <w:bookmarkStart w:id="434" w:name="_Toc331979435"/>
      <w:bookmarkStart w:id="435" w:name="_Toc341866379"/>
      <w:bookmarkStart w:id="436" w:name="_Toc331979750"/>
      <w:bookmarkStart w:id="437" w:name="_Toc8581532"/>
      <w:bookmarkStart w:id="438" w:name="_Toc332054189"/>
      <w:bookmarkStart w:id="439" w:name="_Toc23573"/>
      <w:bookmarkStart w:id="440" w:name="_Toc374433408"/>
      <w:bookmarkStart w:id="441" w:name="_Toc331979540"/>
      <w:bookmarkStart w:id="442" w:name="_Toc331979961"/>
      <w:r>
        <w:rPr>
          <w:rFonts w:hint="eastAsia"/>
        </w:rPr>
        <w:t>泽普县辖15个乡镇（场）：</w:t>
      </w:r>
      <w:r>
        <w:fldChar w:fldCharType="begin"/>
      </w:r>
      <w:r>
        <w:instrText xml:space="preserve"> HYPERLINK "https://baike.baidu.com/item/%E6%B3%A2%E6%96%AF%E5%96%80%E6%9C%A8%E4%B9%A1?fromModule=lemma_inlink" </w:instrText>
      </w:r>
      <w:r>
        <w:fldChar w:fldCharType="separate"/>
      </w:r>
      <w:r>
        <w:rPr>
          <w:rFonts w:hint="eastAsia"/>
        </w:rPr>
        <w:t>波斯喀木乡</w:t>
      </w:r>
      <w:r>
        <w:rPr>
          <w:rFonts w:hint="eastAsia"/>
        </w:rPr>
        <w:fldChar w:fldCharType="end"/>
      </w:r>
      <w:r>
        <w:rPr>
          <w:rFonts w:hint="eastAsia"/>
        </w:rPr>
        <w:t>、</w:t>
      </w:r>
      <w:r>
        <w:fldChar w:fldCharType="begin"/>
      </w:r>
      <w:r>
        <w:instrText xml:space="preserve"> HYPERLINK "https://baike.baidu.com/item/%E4%BE%9D%E7%8E%9B%E4%B9%A1?fromModule=lemma_inlink" </w:instrText>
      </w:r>
      <w:r>
        <w:fldChar w:fldCharType="separate"/>
      </w:r>
      <w:r>
        <w:rPr>
          <w:rFonts w:hint="eastAsia"/>
        </w:rPr>
        <w:t>依玛乡</w:t>
      </w:r>
      <w:r>
        <w:rPr>
          <w:rFonts w:hint="eastAsia"/>
        </w:rPr>
        <w:fldChar w:fldCharType="end"/>
      </w:r>
      <w:r>
        <w:rPr>
          <w:rFonts w:hint="eastAsia"/>
        </w:rPr>
        <w:t>、</w:t>
      </w:r>
      <w:r>
        <w:fldChar w:fldCharType="begin"/>
      </w:r>
      <w:r>
        <w:instrText xml:space="preserve"> HYPERLINK "https://baike.baidu.com/item/%E5%8F%A4%E5%8B%92%E5%B7%B4%E6%A0%BC%E4%B9%A1?fromModule=lemma_inlink" </w:instrText>
      </w:r>
      <w:r>
        <w:fldChar w:fldCharType="separate"/>
      </w:r>
      <w:r>
        <w:rPr>
          <w:rFonts w:hint="eastAsia"/>
        </w:rPr>
        <w:t>古勒巴格乡</w:t>
      </w:r>
      <w:r>
        <w:rPr>
          <w:rFonts w:hint="eastAsia"/>
        </w:rPr>
        <w:fldChar w:fldCharType="end"/>
      </w:r>
      <w:r>
        <w:rPr>
          <w:rFonts w:hint="eastAsia"/>
        </w:rPr>
        <w:t>、</w:t>
      </w:r>
      <w:r>
        <w:fldChar w:fldCharType="begin"/>
      </w:r>
      <w:r>
        <w:instrText xml:space="preserve"> HYPERLINK "https://baike.baidu.com/item/%E8%B5%9B%E5%8A%9B%E4%B9%A1?fromModule=lemma_inlink" </w:instrText>
      </w:r>
      <w:r>
        <w:fldChar w:fldCharType="separate"/>
      </w:r>
      <w:r>
        <w:rPr>
          <w:rFonts w:hint="eastAsia"/>
        </w:rPr>
        <w:t>赛力乡</w:t>
      </w:r>
      <w:r>
        <w:rPr>
          <w:rFonts w:hint="eastAsia"/>
        </w:rPr>
        <w:fldChar w:fldCharType="end"/>
      </w:r>
      <w:r>
        <w:rPr>
          <w:rFonts w:hint="eastAsia"/>
        </w:rPr>
        <w:t>、</w:t>
      </w:r>
      <w:r>
        <w:fldChar w:fldCharType="begin"/>
      </w:r>
      <w:r>
        <w:instrText xml:space="preserve"> HYPERLINK "https://baike.baidu.com/item/%E4%BE%9D%E5%85%8B%E8%8B%8F%E4%B9%A1?fromModule=lemma_inlink" </w:instrText>
      </w:r>
      <w:r>
        <w:fldChar w:fldCharType="separate"/>
      </w:r>
      <w:r>
        <w:rPr>
          <w:rFonts w:hint="eastAsia"/>
        </w:rPr>
        <w:t>依克苏乡</w:t>
      </w:r>
      <w:r>
        <w:rPr>
          <w:rFonts w:hint="eastAsia"/>
        </w:rPr>
        <w:fldChar w:fldCharType="end"/>
      </w:r>
      <w:r>
        <w:rPr>
          <w:rFonts w:hint="eastAsia"/>
        </w:rPr>
        <w:t>、</w:t>
      </w:r>
      <w:r>
        <w:fldChar w:fldCharType="begin"/>
      </w:r>
      <w:r>
        <w:instrText xml:space="preserve"> HYPERLINK "https://baike.baidu.com/item/%E5%9B%BE%E5%91%BC%E5%85%B6%E4%B9%A1?fromModule=lemma_inlink" </w:instrText>
      </w:r>
      <w:r>
        <w:fldChar w:fldCharType="separate"/>
      </w:r>
      <w:r>
        <w:rPr>
          <w:rFonts w:hint="eastAsia"/>
        </w:rPr>
        <w:t>图呼其乡</w:t>
      </w:r>
      <w:r>
        <w:rPr>
          <w:rFonts w:hint="eastAsia"/>
        </w:rPr>
        <w:fldChar w:fldCharType="end"/>
      </w:r>
      <w:r>
        <w:rPr>
          <w:rFonts w:hint="eastAsia"/>
        </w:rPr>
        <w:t>、</w:t>
      </w:r>
      <w:r>
        <w:fldChar w:fldCharType="begin"/>
      </w:r>
      <w:r>
        <w:instrText xml:space="preserve"> HYPERLINK "https://baike.baidu.com/item/%E5%A5%8E%E4%BE%9D%E5%B7%B4%E6%A0%BC%E4%B9%A1?fromModule=lemma_inlink" </w:instrText>
      </w:r>
      <w:r>
        <w:fldChar w:fldCharType="separate"/>
      </w:r>
      <w:r>
        <w:rPr>
          <w:rFonts w:hint="eastAsia"/>
        </w:rPr>
        <w:t>奎依巴格乡</w:t>
      </w:r>
      <w:r>
        <w:rPr>
          <w:rFonts w:hint="eastAsia"/>
        </w:rPr>
        <w:fldChar w:fldCharType="end"/>
      </w:r>
      <w:r>
        <w:rPr>
          <w:rFonts w:hint="eastAsia"/>
        </w:rPr>
        <w:t>、</w:t>
      </w:r>
      <w:r>
        <w:fldChar w:fldCharType="begin"/>
      </w:r>
      <w:r>
        <w:instrText xml:space="preserve"> HYPERLINK "https://baike.baidu.com/item/%E9%98%BF%E5%85%8B%E5%A1%94%E6%9C%A8%E4%B9%A1?fromModule=lemma_inlink" </w:instrText>
      </w:r>
      <w:r>
        <w:fldChar w:fldCharType="separate"/>
      </w:r>
      <w:r>
        <w:rPr>
          <w:rFonts w:hint="eastAsia"/>
        </w:rPr>
        <w:t>阿克塔木乡</w:t>
      </w:r>
      <w:r>
        <w:rPr>
          <w:rFonts w:hint="eastAsia"/>
        </w:rPr>
        <w:fldChar w:fldCharType="end"/>
      </w:r>
      <w:r>
        <w:rPr>
          <w:rFonts w:hint="eastAsia"/>
        </w:rPr>
        <w:t>、</w:t>
      </w:r>
      <w:r>
        <w:fldChar w:fldCharType="begin"/>
      </w:r>
      <w:r>
        <w:instrText xml:space="preserve"> HYPERLINK "https://baike.baidu.com/item/%E9%98%BF%E4%BE%9D%E5%BA%93%E5%8B%92%E4%B9%A1?fromModule=lemma_inlink" </w:instrText>
      </w:r>
      <w:r>
        <w:fldChar w:fldCharType="separate"/>
      </w:r>
      <w:r>
        <w:rPr>
          <w:rFonts w:hint="eastAsia"/>
        </w:rPr>
        <w:t>阿依库勒乡</w:t>
      </w:r>
      <w:r>
        <w:rPr>
          <w:rFonts w:hint="eastAsia"/>
        </w:rPr>
        <w:fldChar w:fldCharType="end"/>
      </w:r>
      <w:r>
        <w:rPr>
          <w:rFonts w:hint="eastAsia"/>
        </w:rPr>
        <w:t>、</w:t>
      </w:r>
      <w:r>
        <w:fldChar w:fldCharType="begin"/>
      </w:r>
      <w:r>
        <w:instrText xml:space="preserve"> HYPERLINK "https://baike.baidu.com/item/%E5%B8%83%E4%BE%9D%E9%B2%81%E5%85%8B%E5%A1%94%E5%90%89%E5%85%8B%E6%97%8F%E4%B9%A1?fromModule=lemma_inlink" </w:instrText>
      </w:r>
      <w:r>
        <w:fldChar w:fldCharType="separate"/>
      </w:r>
      <w:r>
        <w:rPr>
          <w:rFonts w:hint="eastAsia"/>
        </w:rPr>
        <w:t>布依鲁克塔吉克族乡</w:t>
      </w:r>
      <w:r>
        <w:rPr>
          <w:rFonts w:hint="eastAsia"/>
        </w:rPr>
        <w:fldChar w:fldCharType="end"/>
      </w:r>
      <w:r>
        <w:rPr>
          <w:rFonts w:hint="eastAsia"/>
        </w:rPr>
        <w:t>、桐安乡、</w:t>
      </w:r>
      <w:r>
        <w:fldChar w:fldCharType="begin"/>
      </w:r>
      <w:r>
        <w:instrText xml:space="preserve"> HYPERLINK "https://baike.baidu.com/item/%E6%B3%BD%E6%99%AE%E9%95%87?fromModule=lemma_inlink" </w:instrText>
      </w:r>
      <w:r>
        <w:fldChar w:fldCharType="separate"/>
      </w:r>
      <w:r>
        <w:rPr>
          <w:rFonts w:hint="eastAsia"/>
        </w:rPr>
        <w:t>泽普镇</w:t>
      </w:r>
      <w:r>
        <w:rPr>
          <w:rFonts w:hint="eastAsia"/>
        </w:rPr>
        <w:fldChar w:fldCharType="end"/>
      </w:r>
      <w:r>
        <w:rPr>
          <w:rFonts w:hint="eastAsia"/>
        </w:rPr>
        <w:t>、</w:t>
      </w:r>
      <w:r>
        <w:fldChar w:fldCharType="begin"/>
      </w:r>
      <w:r>
        <w:instrText xml:space="preserve"> HYPERLINK "https://baike.baidu.com/item/%E5%A5%8E%E4%BE%9D%E5%B7%B4%E6%A0%BC%E9%95%87?fromModule=lemma_inlink" </w:instrText>
      </w:r>
      <w:r>
        <w:fldChar w:fldCharType="separate"/>
      </w:r>
      <w:r>
        <w:rPr>
          <w:rFonts w:hint="eastAsia"/>
        </w:rPr>
        <w:t>奎依巴格镇</w:t>
      </w:r>
      <w:r>
        <w:rPr>
          <w:rFonts w:hint="eastAsia"/>
        </w:rPr>
        <w:fldChar w:fldCharType="end"/>
      </w:r>
      <w:r>
        <w:rPr>
          <w:rFonts w:hint="eastAsia"/>
        </w:rPr>
        <w:t>、林场、良种场。泽普县近三年社会经济概况具体如下：</w:t>
      </w:r>
    </w:p>
    <w:p>
      <w:pPr>
        <w:ind w:firstLine="480"/>
      </w:pPr>
      <w:r>
        <w:rPr>
          <w:rFonts w:hint="eastAsia"/>
        </w:rPr>
        <w:t>2021年，泽普县地区生产总值（GDP）54.49亿元，比上年增长9%。其中：第一产业增加值19.79亿元，增长4%；第二产业增加值9.38亿元，增长23.1%，其中工业增加值2.05亿元，增长2.4%；第三产业增加值25.32亿元，增长8.7%。第一产业增加值占国内生产总值的36.31%，第二产业增加值占国内生产总值的17.21%，第三产业增加值占国内生产总值的46.48%，全县三次产业结构为36：17：47，与上年同期相比一产占比下降3.06个百分点，二产占比增长2.83个百分点，三产占比增长0.21个百分点；2021年人均国内生产总值25401元，增长19.79%。</w:t>
      </w:r>
    </w:p>
    <w:p>
      <w:pPr>
        <w:ind w:firstLine="480"/>
      </w:pPr>
      <w:r>
        <w:rPr>
          <w:rFonts w:hint="eastAsia"/>
        </w:rPr>
        <w:t>2022年，泽普县地区生产总值（GDP）58.4011亿元，同比增长5.9%，比全疆高2.7个百分点，比全地区高2.8个百分点。其中，第一产业增加值22.219亿元，同比增长5.5%，增速比全疆、全地区高0.2个百分点；第二产业增加值11.1571亿元，同比增长19.4%，比全疆高14.6个百分点，比全地区高15.5个百分点；第三产业增加值25.0249亿元，同比增长1.7%，增速比全疆高0.2个百分点，比全地区高0.1个百分点。全县三次产业结构为38:19:43，与上年同期相比一产占比增长2个百分点，二产占比增长2个百分点，三产占比下降4个百分点；2022年人均国内生产总值27221元，增加1820元，同比增长7.1%。</w:t>
      </w:r>
    </w:p>
    <w:p>
      <w:pPr>
        <w:ind w:firstLine="480"/>
        <w:rPr>
          <w:spacing w:val="6"/>
          <w:u w:color="000000"/>
        </w:rPr>
      </w:pPr>
      <w:r>
        <w:rPr>
          <w:rFonts w:hint="eastAsia"/>
        </w:rPr>
        <w:t>2023年，泽普县地区生产总值（GDP）63.32亿元，同比增长3.5%，比全疆低3.3个百分点，比全地区低2.9个百分点。其中，第一产业增加值25.42亿元，同比增长6%，增速比全疆低0.3个百分点，全地区低0.5个百分点；第二产业增加值11.002亿元，同比增长1.6%，比全疆低5.6个百分点，比全地区低6个百分点；第三产业增加值26.91亿元，同比增长2.3%，增速比全疆低4.3个百分点，比全地区低2.5个百分点。2023年人均国内生产总值29516元，增加2295元，同比增长8.4%。</w:t>
      </w:r>
    </w:p>
    <w:p>
      <w:pPr>
        <w:pStyle w:val="6"/>
      </w:pPr>
      <w:bookmarkStart w:id="443" w:name="_Toc4262"/>
      <w:bookmarkStart w:id="444" w:name="_Toc7291"/>
      <w:bookmarkStart w:id="445" w:name="_Toc116061614"/>
      <w:r>
        <w:t>3.4项目区土地利用</w:t>
      </w:r>
      <w:bookmarkEnd w:id="403"/>
      <w:bookmarkEnd w:id="404"/>
      <w:bookmarkEnd w:id="405"/>
      <w:r>
        <w:t>状况</w:t>
      </w:r>
      <w:bookmarkEnd w:id="406"/>
      <w:bookmarkEnd w:id="433"/>
      <w:bookmarkEnd w:id="434"/>
      <w:bookmarkEnd w:id="435"/>
      <w:bookmarkEnd w:id="436"/>
      <w:bookmarkEnd w:id="437"/>
      <w:bookmarkEnd w:id="438"/>
      <w:bookmarkEnd w:id="439"/>
      <w:bookmarkEnd w:id="440"/>
      <w:bookmarkEnd w:id="441"/>
      <w:bookmarkEnd w:id="442"/>
      <w:bookmarkEnd w:id="443"/>
      <w:bookmarkEnd w:id="444"/>
      <w:bookmarkEnd w:id="445"/>
    </w:p>
    <w:p>
      <w:pPr>
        <w:ind w:firstLine="480"/>
      </w:pPr>
      <w:bookmarkStart w:id="446" w:name="OLE_LINK1"/>
      <w:bookmarkStart w:id="447" w:name="OLE_LINK2"/>
      <w:r>
        <w:rPr>
          <w:rFonts w:hint="eastAsia"/>
        </w:rPr>
        <w:t>参照《第三次全国国土调查技术规程》（TD/T1055-2019）、《国土空间调查、规划、用途管制用地用海分类指南》(自然资发〔2023〕234号)，以泽普县自然资源局提供的项目区1：10000土地利用现状分幅图为底图，结合喀什地区泽普县供水城乡一体化建设工程（泽普县农村规模化供水管道连通工程）临时用地土地勘测定界图，调查各类土地面积、分布。通过外业调查和内业面积量算，并采用ArcGIS、CAD等绘图软件进行数据处理与分析，获得项目区土地利用现状数据。项目区临时用地面积为4.3908hm</w:t>
      </w:r>
      <w:r>
        <w:rPr>
          <w:rFonts w:hint="eastAsia"/>
          <w:vertAlign w:val="superscript"/>
        </w:rPr>
        <w:t>2</w:t>
      </w:r>
      <w:r>
        <w:rPr>
          <w:rFonts w:hint="eastAsia"/>
        </w:rPr>
        <w:t>。</w:t>
      </w:r>
    </w:p>
    <w:p>
      <w:pPr>
        <w:ind w:firstLine="482"/>
        <w:rPr>
          <w:b/>
        </w:rPr>
      </w:pPr>
      <w:r>
        <w:rPr>
          <w:rFonts w:hint="eastAsia"/>
          <w:b/>
        </w:rPr>
        <w:t>a）土地利用现状</w:t>
      </w:r>
    </w:p>
    <w:p>
      <w:pPr>
        <w:ind w:firstLine="480"/>
      </w:pPr>
      <w:r>
        <w:rPr>
          <w:rFonts w:hint="eastAsia"/>
        </w:rPr>
        <w:t>根据土地利用现状统计结果，统计结果如下：</w:t>
      </w:r>
    </w:p>
    <w:p>
      <w:pPr>
        <w:ind w:firstLine="480"/>
      </w:pPr>
      <w:r>
        <w:rPr>
          <w:rFonts w:hint="eastAsia"/>
        </w:rPr>
        <w:t>1）耕地：均为水浇地，面积合计0.4026hm</w:t>
      </w:r>
      <w:r>
        <w:rPr>
          <w:rFonts w:hint="eastAsia"/>
          <w:vertAlign w:val="superscript"/>
        </w:rPr>
        <w:t>2</w:t>
      </w:r>
      <w:r>
        <w:rPr>
          <w:rFonts w:hint="eastAsia"/>
        </w:rPr>
        <w:t>，占项目区总面积的9.17%。</w:t>
      </w:r>
    </w:p>
    <w:p>
      <w:pPr>
        <w:ind w:firstLine="480"/>
      </w:pPr>
      <w:r>
        <w:rPr>
          <w:rFonts w:hint="eastAsia"/>
        </w:rPr>
        <w:t>2）园地：均为果园，面积合计0.6105hm</w:t>
      </w:r>
      <w:r>
        <w:rPr>
          <w:rFonts w:hint="eastAsia"/>
          <w:vertAlign w:val="superscript"/>
        </w:rPr>
        <w:t>2</w:t>
      </w:r>
      <w:r>
        <w:rPr>
          <w:rFonts w:hint="eastAsia"/>
        </w:rPr>
        <w:t>，占项目区总面积的13.90%。</w:t>
      </w:r>
    </w:p>
    <w:p>
      <w:pPr>
        <w:ind w:firstLine="480"/>
      </w:pPr>
      <w:r>
        <w:rPr>
          <w:rFonts w:hint="eastAsia"/>
        </w:rPr>
        <w:t>3）林地：分别为乔木林地、其他林地；乔木林地面积合计0.2056hm</w:t>
      </w:r>
      <w:r>
        <w:rPr>
          <w:rFonts w:hint="eastAsia"/>
          <w:vertAlign w:val="superscript"/>
        </w:rPr>
        <w:t>2</w:t>
      </w:r>
      <w:r>
        <w:rPr>
          <w:rFonts w:hint="eastAsia"/>
        </w:rPr>
        <w:t>，占项目区总面积的4.68%；其他林地面积合计</w:t>
      </w:r>
      <w:r>
        <w:rPr>
          <w:rFonts w:hint="eastAsia" w:eastAsia="宋体"/>
        </w:rPr>
        <w:t>0.0223</w:t>
      </w:r>
      <w:r>
        <w:rPr>
          <w:rFonts w:hint="eastAsia"/>
        </w:rPr>
        <w:t>hm</w:t>
      </w:r>
      <w:r>
        <w:rPr>
          <w:rFonts w:hint="eastAsia"/>
          <w:vertAlign w:val="superscript"/>
        </w:rPr>
        <w:t>2</w:t>
      </w:r>
      <w:r>
        <w:rPr>
          <w:rFonts w:hint="eastAsia"/>
        </w:rPr>
        <w:t>，占项目区总面积的</w:t>
      </w:r>
      <w:r>
        <w:rPr>
          <w:rFonts w:hint="eastAsia" w:eastAsia="宋体"/>
        </w:rPr>
        <w:t>0.51</w:t>
      </w:r>
      <w:r>
        <w:rPr>
          <w:rFonts w:hint="eastAsia"/>
        </w:rPr>
        <w:t>%。</w:t>
      </w:r>
    </w:p>
    <w:p>
      <w:pPr>
        <w:ind w:firstLine="480"/>
      </w:pPr>
      <w:r>
        <w:rPr>
          <w:rFonts w:hint="eastAsia"/>
        </w:rPr>
        <w:t>4）草地：均为其他草地，面积合计0.0163hm</w:t>
      </w:r>
      <w:r>
        <w:rPr>
          <w:rFonts w:hint="eastAsia"/>
          <w:vertAlign w:val="superscript"/>
        </w:rPr>
        <w:t>2</w:t>
      </w:r>
      <w:r>
        <w:rPr>
          <w:rFonts w:hint="eastAsia"/>
        </w:rPr>
        <w:t>，占项目区总面积的0.37%。</w:t>
      </w:r>
    </w:p>
    <w:p>
      <w:pPr>
        <w:ind w:firstLine="480"/>
      </w:pPr>
      <w:r>
        <w:rPr>
          <w:rFonts w:hint="eastAsia"/>
        </w:rPr>
        <w:t>5）农业设施建设用地：均为农村道路，面积合计1.2099hm</w:t>
      </w:r>
      <w:r>
        <w:rPr>
          <w:rFonts w:hint="eastAsia"/>
          <w:vertAlign w:val="superscript"/>
        </w:rPr>
        <w:t>2</w:t>
      </w:r>
      <w:r>
        <w:rPr>
          <w:rFonts w:hint="eastAsia"/>
        </w:rPr>
        <w:t>，占项目区总面积的27.56%。</w:t>
      </w:r>
    </w:p>
    <w:p>
      <w:pPr>
        <w:ind w:firstLine="480"/>
      </w:pPr>
      <w:r>
        <w:rPr>
          <w:rFonts w:hint="eastAsia"/>
        </w:rPr>
        <w:t>6）居住用地：均为农村宅基地，面积合计0.0135hm</w:t>
      </w:r>
      <w:r>
        <w:rPr>
          <w:rFonts w:hint="eastAsia"/>
          <w:vertAlign w:val="superscript"/>
        </w:rPr>
        <w:t>2</w:t>
      </w:r>
      <w:r>
        <w:rPr>
          <w:rFonts w:hint="eastAsia"/>
        </w:rPr>
        <w:t>，占项目区总面积的0.31%。</w:t>
      </w:r>
    </w:p>
    <w:p>
      <w:pPr>
        <w:ind w:firstLine="480"/>
      </w:pPr>
      <w:r>
        <w:rPr>
          <w:rFonts w:hint="eastAsia"/>
        </w:rPr>
        <w:t>7）工矿用地：均为采矿用地，面积合计0.0094hm</w:t>
      </w:r>
      <w:r>
        <w:rPr>
          <w:rFonts w:hint="eastAsia"/>
          <w:vertAlign w:val="superscript"/>
        </w:rPr>
        <w:t>2</w:t>
      </w:r>
      <w:r>
        <w:rPr>
          <w:rFonts w:hint="eastAsia"/>
        </w:rPr>
        <w:t>，占项目区总面积的0.21%。</w:t>
      </w:r>
    </w:p>
    <w:p>
      <w:pPr>
        <w:ind w:firstLine="480"/>
      </w:pPr>
      <w:r>
        <w:rPr>
          <w:rFonts w:hint="eastAsia"/>
        </w:rPr>
        <w:t>8）交通运输用地：均为公路用地，面积合计0.0319hm</w:t>
      </w:r>
      <w:r>
        <w:rPr>
          <w:rFonts w:hint="eastAsia"/>
          <w:vertAlign w:val="superscript"/>
        </w:rPr>
        <w:t>2</w:t>
      </w:r>
      <w:r>
        <w:rPr>
          <w:rFonts w:hint="eastAsia"/>
        </w:rPr>
        <w:t>，占项目区总面积的0.73%。</w:t>
      </w:r>
    </w:p>
    <w:p>
      <w:pPr>
        <w:ind w:firstLine="480"/>
      </w:pPr>
      <w:r>
        <w:rPr>
          <w:rFonts w:hint="eastAsia"/>
        </w:rPr>
        <w:t>9）特殊用地：均为其他特殊用地，面积合计0.0476hm</w:t>
      </w:r>
      <w:r>
        <w:rPr>
          <w:rFonts w:hint="eastAsia"/>
          <w:vertAlign w:val="superscript"/>
        </w:rPr>
        <w:t>2</w:t>
      </w:r>
      <w:r>
        <w:rPr>
          <w:rFonts w:hint="eastAsia"/>
        </w:rPr>
        <w:t>，占项目区总面积的1.08%。</w:t>
      </w:r>
    </w:p>
    <w:p>
      <w:pPr>
        <w:ind w:firstLine="480"/>
      </w:pPr>
      <w:r>
        <w:rPr>
          <w:rFonts w:hint="eastAsia"/>
        </w:rPr>
        <w:t>10）陆地水域：均为沟渠，面积合计1.8212hm</w:t>
      </w:r>
      <w:r>
        <w:rPr>
          <w:rFonts w:hint="eastAsia"/>
          <w:vertAlign w:val="superscript"/>
        </w:rPr>
        <w:t>2</w:t>
      </w:r>
      <w:r>
        <w:rPr>
          <w:rFonts w:hint="eastAsia"/>
        </w:rPr>
        <w:t>，占项目区总面积的41.48%。</w:t>
      </w:r>
    </w:p>
    <w:p>
      <w:pPr>
        <w:pStyle w:val="291"/>
        <w:jc w:val="center"/>
      </w:pPr>
    </w:p>
    <w:p>
      <w:pPr>
        <w:pStyle w:val="291"/>
        <w:jc w:val="center"/>
      </w:pPr>
    </w:p>
    <w:p>
      <w:pPr>
        <w:pStyle w:val="291"/>
        <w:jc w:val="center"/>
      </w:pPr>
      <w:r>
        <w:rPr>
          <w:rFonts w:hint="eastAsia"/>
        </w:rPr>
        <w:t>表</w:t>
      </w:r>
      <w:r>
        <w:t>3.4-1</w:t>
      </w:r>
      <w:r>
        <w:rPr>
          <w:rFonts w:hint="eastAsia"/>
        </w:rPr>
        <w:t>项目区临时用地土地利用表</w:t>
      </w:r>
    </w:p>
    <w:tbl>
      <w:tblPr>
        <w:tblStyle w:val="88"/>
        <w:tblW w:w="9067" w:type="dxa"/>
        <w:tblInd w:w="111" w:type="dxa"/>
        <w:tblLayout w:type="fixed"/>
        <w:tblCellMar>
          <w:top w:w="0" w:type="dxa"/>
          <w:left w:w="108" w:type="dxa"/>
          <w:bottom w:w="0" w:type="dxa"/>
          <w:right w:w="108" w:type="dxa"/>
        </w:tblCellMar>
      </w:tblPr>
      <w:tblGrid>
        <w:gridCol w:w="1116"/>
        <w:gridCol w:w="1952"/>
        <w:gridCol w:w="1253"/>
        <w:gridCol w:w="1721"/>
        <w:gridCol w:w="1458"/>
        <w:gridCol w:w="1567"/>
      </w:tblGrid>
      <w:tr>
        <w:tblPrEx>
          <w:tblLayout w:type="fixed"/>
          <w:tblCellMar>
            <w:top w:w="0" w:type="dxa"/>
            <w:left w:w="108" w:type="dxa"/>
            <w:bottom w:w="0" w:type="dxa"/>
            <w:right w:w="108" w:type="dxa"/>
          </w:tblCellMar>
        </w:tblPrEx>
        <w:trPr>
          <w:trHeight w:val="285" w:hRule="atLeast"/>
        </w:trPr>
        <w:tc>
          <w:tcPr>
            <w:tcW w:w="30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一级地类</w:t>
            </w:r>
          </w:p>
        </w:tc>
        <w:tc>
          <w:tcPr>
            <w:tcW w:w="29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二级地类</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面积</w:t>
            </w:r>
            <w:r>
              <w:rPr>
                <w:kern w:val="0"/>
                <w:sz w:val="21"/>
                <w:szCs w:val="21"/>
                <w:lang w:bidi="ar"/>
              </w:rPr>
              <w:t>/hm</w:t>
            </w:r>
            <w:r>
              <w:rPr>
                <w:kern w:val="0"/>
                <w:sz w:val="21"/>
                <w:szCs w:val="21"/>
                <w:vertAlign w:val="superscript"/>
                <w:lang w:bidi="ar"/>
              </w:rPr>
              <w:t>2</w:t>
            </w:r>
          </w:p>
        </w:tc>
        <w:tc>
          <w:tcPr>
            <w:tcW w:w="1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占总面积比例</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编码</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编码</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w:t>
            </w: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01</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0102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9.17%</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13.90%</w:t>
            </w:r>
          </w:p>
        </w:tc>
      </w:tr>
      <w:tr>
        <w:tblPrEx>
          <w:tblLayout w:type="fixed"/>
          <w:tblCellMar>
            <w:top w:w="0" w:type="dxa"/>
            <w:left w:w="108" w:type="dxa"/>
            <w:bottom w:w="0" w:type="dxa"/>
            <w:right w:w="108" w:type="dxa"/>
          </w:tblCellMar>
        </w:tblPrEx>
        <w:trPr>
          <w:trHeight w:val="285" w:hRule="atLeast"/>
        </w:trPr>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w:t>
            </w:r>
          </w:p>
        </w:tc>
        <w:tc>
          <w:tcPr>
            <w:tcW w:w="19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4.68%</w:t>
            </w:r>
          </w:p>
        </w:tc>
      </w:tr>
      <w:tr>
        <w:tblPrEx>
          <w:tblLayout w:type="fixed"/>
          <w:tblCellMar>
            <w:top w:w="0" w:type="dxa"/>
            <w:left w:w="108" w:type="dxa"/>
            <w:bottom w:w="0" w:type="dxa"/>
            <w:right w:w="108" w:type="dxa"/>
          </w:tblCellMar>
        </w:tblPrEx>
        <w:trPr>
          <w:trHeight w:val="285"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9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0304</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0.51%</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0403</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0.37%</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0601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27.56%</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0703</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0.31%</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0.21%</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0.73%</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1507</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1.08%</w:t>
            </w:r>
          </w:p>
        </w:tc>
      </w:tr>
      <w:tr>
        <w:tblPrEx>
          <w:tblLayout w:type="fixed"/>
          <w:tblCellMar>
            <w:top w:w="0" w:type="dxa"/>
            <w:left w:w="108" w:type="dxa"/>
            <w:bottom w:w="0" w:type="dxa"/>
            <w:right w:w="108" w:type="dxa"/>
          </w:tblCellMar>
        </w:tblPrEx>
        <w:trPr>
          <w:trHeight w:val="28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1705</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41.48%</w:t>
            </w:r>
          </w:p>
        </w:tc>
      </w:tr>
      <w:tr>
        <w:tblPrEx>
          <w:tblLayout w:type="fixed"/>
          <w:tblCellMar>
            <w:top w:w="0" w:type="dxa"/>
            <w:left w:w="108" w:type="dxa"/>
            <w:bottom w:w="0" w:type="dxa"/>
            <w:right w:w="108" w:type="dxa"/>
          </w:tblCellMar>
        </w:tblPrEx>
        <w:trPr>
          <w:trHeight w:val="285" w:hRule="atLeast"/>
        </w:trPr>
        <w:tc>
          <w:tcPr>
            <w:tcW w:w="604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合计</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4.3908</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100%</w:t>
            </w:r>
          </w:p>
        </w:tc>
      </w:tr>
      <w:bookmarkEnd w:id="446"/>
      <w:bookmarkEnd w:id="447"/>
    </w:tbl>
    <w:p>
      <w:pPr>
        <w:ind w:firstLine="482"/>
        <w:rPr>
          <w:b/>
        </w:rPr>
      </w:pPr>
      <w:r>
        <w:rPr>
          <w:rFonts w:hint="eastAsia"/>
          <w:b/>
        </w:rPr>
        <w:t>b）土地质量评价</w:t>
      </w:r>
    </w:p>
    <w:p>
      <w:pPr>
        <w:ind w:firstLine="480"/>
        <w:rPr>
          <w:b/>
          <w:color w:val="000000"/>
        </w:rPr>
      </w:pPr>
      <w:r>
        <w:rPr>
          <w:rFonts w:hint="eastAsia"/>
          <w:bCs/>
          <w:color w:val="000000"/>
        </w:rPr>
        <w:t>1</w:t>
      </w:r>
      <w:r>
        <w:rPr>
          <w:bCs/>
          <w:color w:val="000000"/>
        </w:rPr>
        <w:t>）棕漠土</w:t>
      </w:r>
    </w:p>
    <w:p>
      <w:pPr>
        <w:ind w:firstLine="480"/>
        <w:rPr>
          <w:color w:val="000000"/>
        </w:rPr>
      </w:pPr>
      <w:r>
        <w:rPr>
          <w:color w:val="000000"/>
        </w:rPr>
        <w:t>分布在</w:t>
      </w:r>
      <w:r>
        <w:t>乔木林地</w:t>
      </w:r>
      <w:r>
        <w:rPr>
          <w:rFonts w:hint="eastAsia"/>
        </w:rPr>
        <w:t>、</w:t>
      </w:r>
      <w:r>
        <w:t>其他林地</w:t>
      </w:r>
      <w:r>
        <w:rPr>
          <w:rFonts w:hint="eastAsia"/>
        </w:rPr>
        <w:t>、</w:t>
      </w:r>
      <w:r>
        <w:t>其他草地</w:t>
      </w:r>
      <w:r>
        <w:rPr>
          <w:rFonts w:hint="eastAsia"/>
        </w:rPr>
        <w:t>、</w:t>
      </w:r>
      <w:r>
        <w:t>农村道路</w:t>
      </w:r>
      <w:r>
        <w:rPr>
          <w:rFonts w:hint="eastAsia"/>
        </w:rPr>
        <w:t>、</w:t>
      </w:r>
      <w:r>
        <w:t>农村宅基地</w:t>
      </w:r>
      <w:r>
        <w:rPr>
          <w:rFonts w:hint="eastAsia"/>
        </w:rPr>
        <w:t>、</w:t>
      </w:r>
      <w:r>
        <w:t>采矿用地</w:t>
      </w:r>
      <w:r>
        <w:rPr>
          <w:rFonts w:hint="eastAsia"/>
        </w:rPr>
        <w:t>、其他</w:t>
      </w:r>
      <w:r>
        <w:t>特殊用地</w:t>
      </w:r>
      <w:r>
        <w:rPr>
          <w:rFonts w:hint="eastAsia"/>
        </w:rPr>
        <w:t>、</w:t>
      </w:r>
      <w:r>
        <w:t>沟渠</w:t>
      </w:r>
      <w:r>
        <w:rPr>
          <w:rFonts w:hint="eastAsia"/>
          <w:color w:val="000000"/>
        </w:rPr>
        <w:t>上</w:t>
      </w:r>
      <w:r>
        <w:rPr>
          <w:color w:val="000000"/>
        </w:rPr>
        <w:t>为灰棕漠土，一般发育在干旱荒漠气候条件下砾质冲洪积物上，粗骨性母质，细土物质很少，土体非常干燥，地表有一层厚约2 - 3cm而略带黄灰色的结皮砾幕，混有砾石和碎石；下为浅褐棕色或褐红棕色、砾质沙壤的不明显层片状层，比较疏松，厚约8cm-12cm。灰棕漠土土壤表层有机质含量仅3g/kg-5g/kg，在剖面中无明显聚积层，腐殖质组成中的腐殖质碳只占有机碳的25%左右，而与矿质紧密结合的胡敏素碳占有机碳70％以上。</w:t>
      </w:r>
    </w:p>
    <w:p>
      <w:pPr>
        <w:numPr>
          <w:ilvl w:val="0"/>
          <w:numId w:val="1"/>
        </w:numPr>
        <w:ind w:firstLine="480"/>
        <w:rPr>
          <w:bCs/>
          <w:color w:val="000000"/>
        </w:rPr>
      </w:pPr>
      <w:r>
        <w:rPr>
          <w:rFonts w:hint="eastAsia"/>
          <w:bCs/>
          <w:color w:val="000000"/>
        </w:rPr>
        <w:t>潮土</w:t>
      </w:r>
    </w:p>
    <w:p>
      <w:pPr>
        <w:ind w:firstLine="480"/>
        <w:rPr>
          <w:bCs/>
          <w:color w:val="000000"/>
        </w:rPr>
      </w:pPr>
      <w:r>
        <w:rPr>
          <w:rFonts w:hint="eastAsia"/>
          <w:color w:val="000000"/>
        </w:rPr>
        <w:t>分布在临时占用的耕地、果园上，属潮土+叶垫潮土，项目区潮土绝大多数已垦殖为农田，含腐殖质表层，其腐殖质积累过程的实质是人类通过耕作、施肥、灌排等农业措施，改良培肥土壤的过程。表土质地多为壤质土，质地适中、水分物理性质良好，水、热，气、肥平衡协调，适耕性强。土壤腐殖质含量较高，多在10~20g/kg。土壤表层具有碱化、盐积现象，地下水埋深较浅，矿化度变幅较大，一般在1～5g/L间，排水条件较差。</w:t>
      </w:r>
      <w:r>
        <w:rPr>
          <w:rFonts w:hint="eastAsia"/>
        </w:rPr>
        <w:t>土壤剖面见图3.4-1、图3.4-2。</w:t>
      </w:r>
    </w:p>
    <w:p>
      <w:pPr>
        <w:ind w:firstLine="480"/>
      </w:pPr>
      <w:r>
        <w:rPr>
          <w:rFonts w:hint="eastAsia"/>
        </w:rPr>
        <w:t xml:space="preserve">图3.4-1 </w:t>
      </w:r>
      <w:r>
        <w:rPr>
          <w:bCs/>
          <w:color w:val="000000"/>
        </w:rPr>
        <w:t>棕漠土</w:t>
      </w:r>
      <w:r>
        <w:rPr>
          <w:rFonts w:hint="eastAsia"/>
        </w:rPr>
        <w:t xml:space="preserve">土壤剖面                  图3.4-2 </w:t>
      </w:r>
      <w:r>
        <w:rPr>
          <w:rFonts w:hint="eastAsia"/>
          <w:bCs/>
          <w:color w:val="000000"/>
        </w:rPr>
        <w:t>潮土</w:t>
      </w:r>
      <w:r>
        <w:rPr>
          <w:rFonts w:hint="eastAsia"/>
        </w:rPr>
        <w:t>土壤剖面</w:t>
      </w:r>
    </w:p>
    <w:p>
      <w:pPr>
        <w:ind w:firstLine="0" w:firstLineChars="0"/>
        <w:outlineLvl w:val="1"/>
        <w:rPr>
          <w:rFonts w:eastAsia="黑体"/>
          <w:bCs/>
          <w:color w:val="000000" w:themeColor="text1"/>
          <w:sz w:val="30"/>
          <w:szCs w:val="32"/>
          <w14:textFill>
            <w14:solidFill>
              <w14:schemeClr w14:val="tx1"/>
            </w14:solidFill>
          </w14:textFill>
        </w:rPr>
      </w:pPr>
      <w:bookmarkStart w:id="448" w:name="_Toc15914"/>
      <w:bookmarkStart w:id="449" w:name="_Toc29255"/>
      <w:bookmarkStart w:id="450" w:name="_Toc3507"/>
      <w:bookmarkStart w:id="451" w:name="_Toc20864"/>
      <w:bookmarkStart w:id="452" w:name="_Toc331979751"/>
      <w:bookmarkStart w:id="453" w:name="_Toc331979962"/>
      <w:bookmarkStart w:id="454" w:name="_Toc331979436"/>
      <w:bookmarkStart w:id="455" w:name="_Toc331979541"/>
      <w:bookmarkStart w:id="456" w:name="_Toc332054190"/>
      <w:bookmarkStart w:id="457" w:name="_Toc93403610"/>
      <w:bookmarkStart w:id="458" w:name="_Toc374433409"/>
      <w:bookmarkStart w:id="459" w:name="_Toc8581534"/>
      <w:bookmarkStart w:id="460" w:name="_Toc21765"/>
      <w:bookmarkStart w:id="461" w:name="_Toc116061615"/>
      <w:bookmarkStart w:id="462" w:name="_Toc341866380"/>
      <w:bookmarkStart w:id="463" w:name="_Toc27036"/>
      <w:r>
        <w:rPr>
          <w:rFonts w:eastAsia="黑体"/>
          <w:bCs/>
          <w:color w:val="000000" w:themeColor="text1"/>
          <w:sz w:val="30"/>
          <w:szCs w:val="32"/>
          <w14:textFill>
            <w14:solidFill>
              <w14:schemeClr w14:val="tx1"/>
            </w14:solidFill>
          </w14:textFill>
        </w:rPr>
        <w:t>3.5项目占用</w:t>
      </w:r>
      <w:r>
        <w:rPr>
          <w:rFonts w:hint="eastAsia" w:eastAsia="黑体"/>
          <w:bCs/>
          <w:color w:val="000000" w:themeColor="text1"/>
          <w:sz w:val="30"/>
          <w:szCs w:val="32"/>
          <w14:textFill>
            <w14:solidFill>
              <w14:schemeClr w14:val="tx1"/>
            </w14:solidFill>
          </w14:textFill>
        </w:rPr>
        <w:t>耕地</w:t>
      </w:r>
      <w:r>
        <w:rPr>
          <w:rFonts w:eastAsia="黑体"/>
          <w:bCs/>
          <w:color w:val="000000" w:themeColor="text1"/>
          <w:sz w:val="30"/>
          <w:szCs w:val="32"/>
          <w14:textFill>
            <w14:solidFill>
              <w14:schemeClr w14:val="tx1"/>
            </w14:solidFill>
          </w14:textFill>
        </w:rPr>
        <w:t>情况及必要性分析</w:t>
      </w:r>
      <w:bookmarkEnd w:id="448"/>
      <w:bookmarkEnd w:id="449"/>
      <w:bookmarkEnd w:id="450"/>
      <w:bookmarkEnd w:id="451"/>
    </w:p>
    <w:p>
      <w:pPr>
        <w:ind w:firstLine="482"/>
        <w:rPr>
          <w:b/>
          <w:color w:val="000000"/>
        </w:rPr>
      </w:pPr>
      <w:r>
        <w:rPr>
          <w:b/>
          <w:color w:val="000000"/>
        </w:rPr>
        <w:t>a）项目</w:t>
      </w:r>
      <w:r>
        <w:rPr>
          <w:rFonts w:hint="eastAsia"/>
          <w:b/>
          <w:color w:val="000000"/>
        </w:rPr>
        <w:t>区</w:t>
      </w:r>
      <w:r>
        <w:rPr>
          <w:b/>
          <w:color w:val="000000"/>
        </w:rPr>
        <w:t>位置</w:t>
      </w:r>
    </w:p>
    <w:p>
      <w:pPr>
        <w:ind w:firstLine="480"/>
        <w:rPr>
          <w:color w:val="000000"/>
        </w:rPr>
      </w:pPr>
      <w:r>
        <w:rPr>
          <w:rFonts w:hint="eastAsia"/>
          <w:color w:val="000000"/>
        </w:rPr>
        <w:t>项目区位于泽普县阿依库勒乡</w:t>
      </w:r>
      <w:r>
        <w:rPr>
          <w:color w:val="000000"/>
        </w:rPr>
        <w:t>。</w:t>
      </w:r>
    </w:p>
    <w:p>
      <w:pPr>
        <w:ind w:firstLine="482"/>
        <w:rPr>
          <w:b/>
          <w:color w:val="000000"/>
        </w:rPr>
      </w:pPr>
      <w:r>
        <w:rPr>
          <w:b/>
          <w:color w:val="000000"/>
        </w:rPr>
        <w:t>b）占用</w:t>
      </w:r>
      <w:r>
        <w:rPr>
          <w:rFonts w:hint="eastAsia"/>
          <w:b/>
          <w:color w:val="000000"/>
        </w:rPr>
        <w:t>耕地</w:t>
      </w:r>
      <w:r>
        <w:rPr>
          <w:b/>
          <w:color w:val="000000"/>
        </w:rPr>
        <w:t>情况</w:t>
      </w:r>
    </w:p>
    <w:p>
      <w:pPr>
        <w:ind w:firstLine="480"/>
        <w:rPr>
          <w:color w:val="000000"/>
        </w:rPr>
      </w:pPr>
      <w:r>
        <w:rPr>
          <w:color w:val="000000"/>
        </w:rPr>
        <w:t>本项目因工程选址的特殊性无法避让</w:t>
      </w:r>
      <w:r>
        <w:rPr>
          <w:rFonts w:hint="eastAsia"/>
          <w:color w:val="000000"/>
        </w:rPr>
        <w:t>耕地</w:t>
      </w:r>
      <w:r>
        <w:rPr>
          <w:color w:val="000000"/>
        </w:rPr>
        <w:t>，项目合计占用</w:t>
      </w:r>
      <w:r>
        <w:rPr>
          <w:rFonts w:hint="eastAsia"/>
          <w:color w:val="000000"/>
        </w:rPr>
        <w:t>耕地0.4026</w:t>
      </w:r>
      <w:r>
        <w:rPr>
          <w:color w:val="000000"/>
        </w:rPr>
        <w:t>hm</w:t>
      </w:r>
      <w:r>
        <w:rPr>
          <w:color w:val="000000"/>
          <w:vertAlign w:val="superscript"/>
        </w:rPr>
        <w:t>2</w:t>
      </w:r>
      <w:r>
        <w:rPr>
          <w:color w:val="000000"/>
        </w:rPr>
        <w:t>，占项目区总面积的</w:t>
      </w:r>
      <w:r>
        <w:rPr>
          <w:rFonts w:hint="eastAsia"/>
          <w:color w:val="000000"/>
        </w:rPr>
        <w:t>9.17%</w:t>
      </w:r>
      <w:r>
        <w:rPr>
          <w:color w:val="000000"/>
        </w:rPr>
        <w:t>，项目区临时用地占用</w:t>
      </w:r>
      <w:r>
        <w:rPr>
          <w:rFonts w:hint="eastAsia"/>
          <w:color w:val="000000"/>
        </w:rPr>
        <w:t>耕地</w:t>
      </w:r>
      <w:r>
        <w:rPr>
          <w:color w:val="000000"/>
        </w:rPr>
        <w:t>全部为水浇地，平均质量等别为</w:t>
      </w:r>
      <w:r>
        <w:rPr>
          <w:rFonts w:hint="eastAsia"/>
          <w:color w:val="000000"/>
        </w:rPr>
        <w:t>12</w:t>
      </w:r>
      <w:r>
        <w:rPr>
          <w:color w:val="000000"/>
        </w:rPr>
        <w:t>等，项目结束后拟复垦为原土地利用类型。</w:t>
      </w:r>
    </w:p>
    <w:p>
      <w:pPr>
        <w:ind w:firstLine="482"/>
        <w:rPr>
          <w:b/>
          <w:color w:val="000000"/>
        </w:rPr>
      </w:pPr>
      <w:r>
        <w:rPr>
          <w:b/>
          <w:color w:val="000000"/>
        </w:rPr>
        <w:t>c）</w:t>
      </w:r>
      <w:r>
        <w:rPr>
          <w:rFonts w:hint="eastAsia"/>
          <w:b/>
          <w:color w:val="000000"/>
        </w:rPr>
        <w:t>项目</w:t>
      </w:r>
      <w:r>
        <w:rPr>
          <w:b/>
          <w:color w:val="000000"/>
        </w:rPr>
        <w:t>占用水浇地必要性及合理性</w:t>
      </w:r>
    </w:p>
    <w:p>
      <w:pPr>
        <w:ind w:firstLine="480"/>
        <w:rPr>
          <w:bCs/>
          <w:color w:val="000000"/>
        </w:rPr>
      </w:pPr>
      <w:r>
        <w:rPr>
          <w:bCs/>
          <w:color w:val="000000"/>
        </w:rPr>
        <w:t>经现场踏勘论证，喀什地区泽普县供水城乡一体化建设工程（泽普县农村规模化供水管道连通工程）临时用地项目属于水利设施建设项目。根据项目施工要求、地表现状合理性分析，喀什地区泽普县供水城乡一体化建设工程（泽普县农村规模化供水管道连通工程）临时用地项目属于水利设施建设配套临建项目。项目区南侧均为耕地,项目区管线连通不可避让占用耕地。该项目的实施符合《中共中央、国务院关于抓好“三农”领域重点工作确保如期实现全面小康的意见》</w:t>
      </w:r>
      <w:r>
        <w:rPr>
          <w:rFonts w:hint="eastAsia"/>
          <w:bCs/>
          <w:color w:val="000000"/>
          <w:lang w:val="en-US" w:eastAsia="zh-CN"/>
        </w:rPr>
        <w:t>及《中共中央、国务院关于学习运用“千村示范、万村整治”工程经验有力有效推进乡村全面振兴的意见》</w:t>
      </w:r>
      <w:r>
        <w:rPr>
          <w:bCs/>
          <w:color w:val="000000"/>
        </w:rPr>
        <w:t>要求，能够补足短板、巩固脱贫攻坚成果和同乡村振兴有效衔接，能够推进城乡一体化和区域协调发展,加快带动周边区域经济发展。</w:t>
      </w:r>
    </w:p>
    <w:p>
      <w:pPr>
        <w:ind w:firstLine="482"/>
        <w:rPr>
          <w:b/>
          <w:color w:val="000000"/>
        </w:rPr>
      </w:pPr>
      <w:r>
        <w:rPr>
          <w:rFonts w:hint="eastAsia"/>
          <w:b/>
          <w:color w:val="000000"/>
        </w:rPr>
        <w:t>d</w:t>
      </w:r>
      <w:r>
        <w:rPr>
          <w:b/>
          <w:color w:val="000000"/>
        </w:rPr>
        <w:t>）采取的避让措施</w:t>
      </w:r>
    </w:p>
    <w:p>
      <w:pPr>
        <w:ind w:firstLine="480"/>
        <w:rPr>
          <w:color w:val="000000"/>
        </w:rPr>
      </w:pPr>
      <w:r>
        <w:rPr>
          <w:color w:val="000000"/>
        </w:rPr>
        <w:t>为全面落实</w:t>
      </w:r>
      <w:r>
        <w:rPr>
          <w:rFonts w:hint="eastAsia"/>
          <w:color w:val="000000"/>
        </w:rPr>
        <w:t>不占或者少占耕地</w:t>
      </w:r>
      <w:r>
        <w:rPr>
          <w:color w:val="000000"/>
        </w:rPr>
        <w:t>的要求，该项目在设计阶段组织有关技术人员进行了现场勘查，在保证</w:t>
      </w:r>
      <w:r>
        <w:rPr>
          <w:rFonts w:hint="eastAsia"/>
          <w:color w:val="000000"/>
        </w:rPr>
        <w:t>项目</w:t>
      </w:r>
      <w:r>
        <w:rPr>
          <w:color w:val="000000"/>
        </w:rPr>
        <w:t>始终位于</w:t>
      </w:r>
      <w:r>
        <w:rPr>
          <w:rFonts w:hint="eastAsia"/>
          <w:color w:val="000000"/>
        </w:rPr>
        <w:t>合理</w:t>
      </w:r>
      <w:r>
        <w:rPr>
          <w:color w:val="000000"/>
        </w:rPr>
        <w:t>范围内的同时，依据现有规划对</w:t>
      </w:r>
      <w:r>
        <w:rPr>
          <w:rFonts w:hint="eastAsia"/>
          <w:color w:val="000000"/>
        </w:rPr>
        <w:t>项目</w:t>
      </w:r>
      <w:r>
        <w:rPr>
          <w:color w:val="000000"/>
        </w:rPr>
        <w:t>进行优化选址，避让</w:t>
      </w:r>
      <w:r>
        <w:rPr>
          <w:rFonts w:hint="eastAsia"/>
          <w:color w:val="000000"/>
        </w:rPr>
        <w:t>耕地</w:t>
      </w:r>
      <w:r>
        <w:rPr>
          <w:color w:val="000000"/>
        </w:rPr>
        <w:t>。对项目用地范围采取严格控制措施，尽量减少占用</w:t>
      </w:r>
      <w:r>
        <w:rPr>
          <w:rFonts w:hint="eastAsia"/>
          <w:color w:val="000000"/>
        </w:rPr>
        <w:t>耕地</w:t>
      </w:r>
      <w:r>
        <w:rPr>
          <w:color w:val="000000"/>
        </w:rPr>
        <w:t>面积。</w:t>
      </w:r>
    </w:p>
    <w:p>
      <w:pPr>
        <w:ind w:firstLine="480"/>
      </w:pPr>
      <w:r>
        <w:br w:type="page"/>
      </w:r>
    </w:p>
    <w:p>
      <w:pPr>
        <w:pStyle w:val="5"/>
      </w:pPr>
      <w:bookmarkStart w:id="464" w:name="_Toc27075"/>
      <w:r>
        <w:t>4土地</w:t>
      </w:r>
      <w:bookmarkEnd w:id="452"/>
      <w:bookmarkEnd w:id="453"/>
      <w:bookmarkEnd w:id="454"/>
      <w:bookmarkEnd w:id="455"/>
      <w:bookmarkEnd w:id="456"/>
      <w:r>
        <w:t>复垦方向可行性分析</w:t>
      </w:r>
      <w:bookmarkEnd w:id="457"/>
      <w:bookmarkEnd w:id="458"/>
      <w:bookmarkEnd w:id="459"/>
      <w:bookmarkEnd w:id="460"/>
      <w:bookmarkEnd w:id="461"/>
      <w:bookmarkEnd w:id="462"/>
      <w:bookmarkEnd w:id="463"/>
      <w:bookmarkEnd w:id="464"/>
    </w:p>
    <w:p>
      <w:pPr>
        <w:pStyle w:val="6"/>
      </w:pPr>
      <w:bookmarkStart w:id="465" w:name="_Toc272330956"/>
      <w:bookmarkStart w:id="466" w:name="_Toc116061616"/>
      <w:bookmarkStart w:id="467" w:name="_Toc485310636"/>
      <w:bookmarkStart w:id="468" w:name="_Toc19666"/>
      <w:bookmarkStart w:id="469" w:name="_Toc5920"/>
      <w:bookmarkStart w:id="470" w:name="_Toc7804"/>
      <w:r>
        <w:t>4.1</w:t>
      </w:r>
      <w:bookmarkEnd w:id="465"/>
      <w:r>
        <w:rPr>
          <w:rFonts w:hint="eastAsia"/>
        </w:rPr>
        <w:t>土地损毁环节与时序</w:t>
      </w:r>
      <w:bookmarkEnd w:id="466"/>
      <w:bookmarkEnd w:id="467"/>
      <w:bookmarkEnd w:id="468"/>
      <w:bookmarkEnd w:id="469"/>
      <w:bookmarkEnd w:id="470"/>
    </w:p>
    <w:p>
      <w:pPr>
        <w:ind w:firstLine="480"/>
      </w:pPr>
      <w:r>
        <w:rPr>
          <w:rFonts w:hint="eastAsia"/>
        </w:rPr>
        <w:t>在土地损毁分析过程中，项目的生产建设工艺及流程是分析和明确土地损毁环节和形式的主要依据。本项目属于水利设施建设配套临建项目，该项目修建供水管线1条。本方案在土地损毁环节与时序分析过程中，对项目主要生产建设工艺及流程进行具体说明。</w:t>
      </w:r>
    </w:p>
    <w:p>
      <w:pPr>
        <w:pStyle w:val="7"/>
      </w:pPr>
      <w:bookmarkStart w:id="471" w:name="_Toc6856097"/>
      <w:bookmarkStart w:id="472" w:name="_Toc6873175"/>
      <w:bookmarkStart w:id="473" w:name="_Toc374433411"/>
      <w:bookmarkStart w:id="474" w:name="_Toc8385933"/>
      <w:bookmarkStart w:id="475" w:name="_Toc8581536"/>
      <w:bookmarkStart w:id="476" w:name="_Toc341866382"/>
      <w:bookmarkStart w:id="477" w:name="_Toc3731"/>
      <w:bookmarkStart w:id="478" w:name="_Toc116061617"/>
      <w:r>
        <w:t>4.1.1</w:t>
      </w:r>
      <w:bookmarkEnd w:id="471"/>
      <w:bookmarkEnd w:id="472"/>
      <w:bookmarkEnd w:id="473"/>
      <w:bookmarkEnd w:id="474"/>
      <w:bookmarkEnd w:id="475"/>
      <w:bookmarkEnd w:id="476"/>
      <w:r>
        <w:rPr>
          <w:rFonts w:hint="eastAsia"/>
        </w:rPr>
        <w:t>主要生产建设工艺流程</w:t>
      </w:r>
      <w:bookmarkEnd w:id="477"/>
      <w:bookmarkEnd w:id="478"/>
    </w:p>
    <w:p>
      <w:pPr>
        <w:pStyle w:val="472"/>
        <w:spacing w:line="500" w:lineRule="exact"/>
      </w:pPr>
      <w:bookmarkStart w:id="479" w:name="_Toc374433412"/>
      <w:bookmarkStart w:id="480" w:name="_Toc8385934"/>
      <w:bookmarkStart w:id="481" w:name="_Toc6856098"/>
      <w:bookmarkStart w:id="482" w:name="_Toc8581537"/>
      <w:bookmarkStart w:id="483" w:name="_Toc6873176"/>
      <w:bookmarkStart w:id="484" w:name="_Toc116061618"/>
      <w:bookmarkStart w:id="485" w:name="_Toc26001"/>
      <w:r>
        <w:rPr>
          <w:rFonts w:hint="eastAsia"/>
        </w:rPr>
        <w:t>供水管线用地用于铺设供水管道。供水管线用地面积为4.3908hm</w:t>
      </w:r>
      <w:r>
        <w:rPr>
          <w:rFonts w:hint="eastAsia"/>
          <w:vertAlign w:val="superscript"/>
        </w:rPr>
        <w:t>2</w:t>
      </w:r>
      <w:r>
        <w:rPr>
          <w:rFonts w:hint="eastAsia"/>
        </w:rPr>
        <w:t>，管径 DN630- DN720，为涂塑钢管，总长 4.5km。</w:t>
      </w:r>
    </w:p>
    <w:p>
      <w:pPr>
        <w:pStyle w:val="7"/>
      </w:pPr>
      <w:r>
        <w:t>4.1.2</w:t>
      </w:r>
      <w:bookmarkEnd w:id="479"/>
      <w:bookmarkEnd w:id="480"/>
      <w:bookmarkEnd w:id="481"/>
      <w:bookmarkEnd w:id="482"/>
      <w:bookmarkEnd w:id="483"/>
      <w:r>
        <w:rPr>
          <w:rFonts w:hint="eastAsia"/>
        </w:rPr>
        <w:t>土地损毁环节、形式和时序</w:t>
      </w:r>
      <w:bookmarkEnd w:id="484"/>
      <w:bookmarkEnd w:id="485"/>
    </w:p>
    <w:p>
      <w:pPr>
        <w:ind w:firstLine="482"/>
        <w:rPr>
          <w:b/>
        </w:rPr>
      </w:pPr>
      <w:r>
        <w:rPr>
          <w:rFonts w:hint="eastAsia"/>
          <w:b/>
        </w:rPr>
        <w:t>a）土地损毁环节与形式</w:t>
      </w:r>
    </w:p>
    <w:p>
      <w:pPr>
        <w:ind w:firstLine="480"/>
      </w:pPr>
      <w:r>
        <w:rPr>
          <w:rFonts w:hint="eastAsia"/>
        </w:rPr>
        <w:t>通过上述工艺流程简述，项目在生产建设过程中的土地损毁主要体现在设施的建设对土地造成损毁。具体来讲，主要表现在以下三方面：</w:t>
      </w:r>
    </w:p>
    <w:p>
      <w:pPr>
        <w:ind w:firstLine="480"/>
      </w:pPr>
      <w:r>
        <w:rPr>
          <w:rFonts w:hint="eastAsia"/>
        </w:rPr>
        <w:t>1）项目区内表层清理，供水管线开挖、安置、堆放设备一定程度上打破了地表原有平衡状态，损毁形式主要为挖损。损毁地表植被，易导致水土流失。建设完成后应立即对临时用地进行复垦。项目建设过程中产生的临时用地对地表植被造成的损毁，都需采取复垦措施恢复地表植被。</w:t>
      </w:r>
    </w:p>
    <w:p>
      <w:pPr>
        <w:ind w:firstLine="480"/>
      </w:pPr>
      <w:r>
        <w:rPr>
          <w:rFonts w:hint="eastAsia"/>
        </w:rPr>
        <w:t>2）建设期间产生的生产生活污水等污染物质，采用集中处理的方式，做到资源化、减量化及无害化处理，不易对土壤、水环境造成污染。此环节已由建设单位在工程建设完毕之后妥善处理，不再设计其他复垦措施。</w:t>
      </w:r>
    </w:p>
    <w:p>
      <w:pPr>
        <w:ind w:firstLine="480"/>
      </w:pPr>
      <w:r>
        <w:rPr>
          <w:rFonts w:hint="eastAsia"/>
        </w:rPr>
        <w:t>3）建设期间供水管线开挖的土壤分层堆放，损毁形式主要为挖损。这在一定程度上扰动了项目区内的土壤结构，损毁原有地表稳定，增加土地退化的可能性。管道铺设完成后，开挖出来的底土和表土进行分层回填，最大程度保证临时用地土壤及地貌恢复到原有水平。</w:t>
      </w:r>
    </w:p>
    <w:p>
      <w:pPr>
        <w:ind w:firstLine="482"/>
        <w:rPr>
          <w:b/>
        </w:rPr>
      </w:pPr>
      <w:r>
        <w:rPr>
          <w:rFonts w:hint="eastAsia"/>
          <w:b/>
        </w:rPr>
        <w:t>b）土地损毁的时序</w:t>
      </w:r>
    </w:p>
    <w:p>
      <w:pPr>
        <w:ind w:firstLine="480"/>
      </w:pPr>
      <w:r>
        <w:rPr>
          <w:rFonts w:hint="eastAsia"/>
        </w:rPr>
        <w:t>建设期间需要安置、堆放设备、供水管线开挖。这在一定程度上扰动了项目区内的土壤结构，损毁原有地表稳定，增加土地退化的可能性。修建完成后，对临时扰动的区域进行复垦，有植被的区域进行植被恢复，保证临时用地恢复到原来地貌。本项目生产建设过程中对土地的损毁环节主要是建设期间对土地的挖损。</w:t>
      </w:r>
    </w:p>
    <w:p>
      <w:pPr>
        <w:ind w:firstLine="480"/>
      </w:pPr>
      <w:r>
        <w:rPr>
          <w:rFonts w:hint="eastAsia"/>
        </w:rPr>
        <w:t>根据喀什地区泽普县供水城乡一体化建设工程（泽普县农村规模化供水管道连通工程）临时用地地面设施建设施工工艺和施工计划安排，确定本项目生产建设过程中对土地造成的损毁形式、时间及面积（表4.1.2-1）。</w:t>
      </w:r>
    </w:p>
    <w:p>
      <w:pPr>
        <w:pStyle w:val="291"/>
        <w:wordWrap w:val="0"/>
      </w:pPr>
      <w:r>
        <w:rPr>
          <w:rFonts w:hint="eastAsia"/>
        </w:rPr>
        <w:t>表</w:t>
      </w:r>
      <w:r>
        <w:t>4.1.2-1</w:t>
      </w:r>
      <w:r>
        <w:rPr>
          <w:rFonts w:hint="eastAsia"/>
        </w:rPr>
        <w:t>项目临时用地土地损毁形式及时间表            单位：hm</w:t>
      </w:r>
      <w:r>
        <w:rPr>
          <w:rFonts w:hint="eastAsia"/>
          <w:vertAlign w:val="superscript"/>
        </w:rPr>
        <w:t>2</w:t>
      </w:r>
    </w:p>
    <w:tbl>
      <w:tblPr>
        <w:tblStyle w:val="88"/>
        <w:tblW w:w="9073"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5"/>
        <w:gridCol w:w="1883"/>
        <w:gridCol w:w="1265"/>
        <w:gridCol w:w="1198"/>
        <w:gridCol w:w="120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2425" w:type="dxa"/>
            <w:vMerge w:val="restart"/>
            <w:shd w:val="clear" w:color="auto" w:fill="auto"/>
            <w:noWrap/>
            <w:vAlign w:val="center"/>
          </w:tcPr>
          <w:p>
            <w:pPr>
              <w:widowControl/>
              <w:snapToGrid w:val="0"/>
              <w:spacing w:line="240" w:lineRule="auto"/>
              <w:ind w:firstLine="0" w:firstLineChars="0"/>
              <w:jc w:val="center"/>
              <w:rPr>
                <w:sz w:val="21"/>
                <w:szCs w:val="21"/>
              </w:rPr>
            </w:pPr>
            <w:bookmarkStart w:id="486" w:name="_Toc116061619"/>
            <w:bookmarkStart w:id="487" w:name="_Toc16456"/>
            <w:bookmarkStart w:id="488" w:name="_Toc12421"/>
            <w:r>
              <w:rPr>
                <w:kern w:val="0"/>
                <w:sz w:val="21"/>
                <w:szCs w:val="21"/>
                <w:lang w:bidi="ar"/>
              </w:rPr>
              <w:t>项目</w:t>
            </w:r>
          </w:p>
        </w:tc>
        <w:tc>
          <w:tcPr>
            <w:tcW w:w="1883" w:type="dxa"/>
            <w:vMerge w:val="restart"/>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损毁时间</w:t>
            </w:r>
          </w:p>
        </w:tc>
        <w:tc>
          <w:tcPr>
            <w:tcW w:w="1265" w:type="dxa"/>
            <w:vMerge w:val="restart"/>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损毁类型</w:t>
            </w:r>
          </w:p>
        </w:tc>
        <w:tc>
          <w:tcPr>
            <w:tcW w:w="2402" w:type="dxa"/>
            <w:gridSpan w:val="2"/>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占地面积</w:t>
            </w:r>
          </w:p>
        </w:tc>
        <w:tc>
          <w:tcPr>
            <w:tcW w:w="1098" w:type="dxa"/>
            <w:vMerge w:val="restart"/>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blHeader/>
        </w:trPr>
        <w:tc>
          <w:tcPr>
            <w:tcW w:w="2425"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883"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265"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198"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永久用地</w:t>
            </w:r>
          </w:p>
        </w:tc>
        <w:tc>
          <w:tcPr>
            <w:tcW w:w="1204" w:type="dxa"/>
            <w:shd w:val="clear" w:color="auto" w:fill="auto"/>
            <w:noWrap/>
            <w:vAlign w:val="center"/>
          </w:tcPr>
          <w:p>
            <w:pPr>
              <w:widowControl/>
              <w:snapToGrid w:val="0"/>
              <w:spacing w:line="240" w:lineRule="auto"/>
              <w:ind w:firstLine="0" w:firstLineChars="0"/>
              <w:jc w:val="left"/>
              <w:rPr>
                <w:sz w:val="21"/>
                <w:szCs w:val="21"/>
              </w:rPr>
            </w:pPr>
            <w:r>
              <w:rPr>
                <w:kern w:val="0"/>
                <w:sz w:val="21"/>
                <w:szCs w:val="21"/>
                <w:lang w:bidi="ar"/>
              </w:rPr>
              <w:t>临时用地</w:t>
            </w:r>
          </w:p>
        </w:tc>
        <w:tc>
          <w:tcPr>
            <w:tcW w:w="1098" w:type="dxa"/>
            <w:vMerge w:val="continue"/>
            <w:shd w:val="clear" w:color="auto" w:fill="auto"/>
            <w:noWrap/>
            <w:vAlign w:val="center"/>
          </w:tcPr>
          <w:p>
            <w:pPr>
              <w:widowControl/>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425" w:type="dxa"/>
            <w:shd w:val="clear" w:color="auto" w:fill="auto"/>
            <w:vAlign w:val="center"/>
          </w:tcPr>
          <w:p>
            <w:pPr>
              <w:widowControl/>
              <w:snapToGrid w:val="0"/>
              <w:spacing w:line="240" w:lineRule="auto"/>
              <w:ind w:firstLine="0" w:firstLineChars="0"/>
              <w:jc w:val="center"/>
              <w:rPr>
                <w:sz w:val="21"/>
                <w:szCs w:val="21"/>
              </w:rPr>
            </w:pPr>
            <w:r>
              <w:rPr>
                <w:rFonts w:hint="eastAsia"/>
                <w:sz w:val="21"/>
                <w:szCs w:val="21"/>
              </w:rPr>
              <w:t>喀什地区泽普县供水城乡一体化建设工程（泽普县农村规模化供水管道连通工程）临时用地</w:t>
            </w:r>
          </w:p>
        </w:tc>
        <w:tc>
          <w:tcPr>
            <w:tcW w:w="1883"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2024年9月至2026年8月</w:t>
            </w:r>
          </w:p>
        </w:tc>
        <w:tc>
          <w:tcPr>
            <w:tcW w:w="1265"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挖损</w:t>
            </w:r>
          </w:p>
        </w:tc>
        <w:tc>
          <w:tcPr>
            <w:tcW w:w="1198"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0</w:t>
            </w:r>
          </w:p>
        </w:tc>
        <w:tc>
          <w:tcPr>
            <w:tcW w:w="120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098"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r>
    </w:tbl>
    <w:p>
      <w:pPr>
        <w:pStyle w:val="6"/>
      </w:pPr>
      <w:bookmarkStart w:id="489" w:name="_Toc7670"/>
      <w:r>
        <w:t>4.2</w:t>
      </w:r>
      <w:r>
        <w:rPr>
          <w:rFonts w:hint="eastAsia"/>
        </w:rPr>
        <w:t>预防控制措施</w:t>
      </w:r>
      <w:bookmarkEnd w:id="486"/>
      <w:bookmarkEnd w:id="487"/>
      <w:bookmarkEnd w:id="488"/>
      <w:bookmarkEnd w:id="489"/>
    </w:p>
    <w:p>
      <w:pPr>
        <w:ind w:firstLine="480"/>
      </w:pPr>
      <w:r>
        <w:rPr>
          <w:rFonts w:hint="eastAsia"/>
        </w:rPr>
        <w:t>按照</w:t>
      </w:r>
      <w:r>
        <w:t>“</w:t>
      </w:r>
      <w:r>
        <w:rPr>
          <w:rFonts w:hint="eastAsia"/>
        </w:rPr>
        <w:t>统一规划、控制源头、防复结合</w:t>
      </w:r>
      <w:r>
        <w:t>”</w:t>
      </w:r>
      <w:r>
        <w:rPr>
          <w:rFonts w:hint="eastAsia"/>
        </w:rPr>
        <w:t>的原则，根据项目特点、生产方式与工艺等采取有效的预防控制措施。施工前完善各项环保手续。落实各项环保措施。</w:t>
      </w:r>
    </w:p>
    <w:p>
      <w:pPr>
        <w:pStyle w:val="7"/>
      </w:pPr>
      <w:bookmarkStart w:id="490" w:name="_Toc12757"/>
      <w:bookmarkStart w:id="491" w:name="_Toc116061620"/>
      <w:r>
        <w:t>4.2.1</w:t>
      </w:r>
      <w:r>
        <w:rPr>
          <w:rFonts w:hint="eastAsia"/>
        </w:rPr>
        <w:t>人员作业预防控制措施</w:t>
      </w:r>
      <w:bookmarkEnd w:id="490"/>
      <w:bookmarkEnd w:id="491"/>
    </w:p>
    <w:p>
      <w:pPr>
        <w:ind w:firstLine="480"/>
      </w:pPr>
      <w:r>
        <w:rPr>
          <w:rFonts w:hint="eastAsia"/>
        </w:rPr>
        <w:t>a）对所有进场人员组织学习，宣传土地复垦的意义。把项目管护与集体经济利益相挂钩、与工人切身利益相结合，加强生态环境治理的重大意义的宣传教育，增强工人管护的责任感和利益感，提高广大群众参与管护的积极性。</w:t>
      </w:r>
    </w:p>
    <w:p>
      <w:pPr>
        <w:ind w:firstLine="480"/>
      </w:pPr>
      <w:r>
        <w:rPr>
          <w:rFonts w:hint="eastAsia"/>
        </w:rPr>
        <w:t>b）作业过程中作业人员一定要遵守操作守则，保护项目区生态环境，对项目区的林草植被加以保护。消除或减轻作业活动对所在区域的不利影响，在作业过程中尽量不破坏原有的生态环境，在作业结束后应立即恢复原有地形地貌，最大限度的保护项目区生态环境，实现人与自然的和谐共处。</w:t>
      </w:r>
    </w:p>
    <w:p>
      <w:pPr>
        <w:ind w:firstLine="480"/>
      </w:pPr>
      <w:r>
        <w:rPr>
          <w:rFonts w:hint="eastAsia"/>
        </w:rPr>
        <w:t>c）作业过程中产生的废品、污水、垃圾等废弃物必须带出项目区丢弃至垃圾站内，禁止随地乱扔。</w:t>
      </w:r>
    </w:p>
    <w:p>
      <w:pPr>
        <w:pStyle w:val="7"/>
      </w:pPr>
      <w:bookmarkStart w:id="492" w:name="_Toc116061621"/>
      <w:bookmarkStart w:id="493" w:name="_Toc20878"/>
      <w:r>
        <w:t>4.2.2</w:t>
      </w:r>
      <w:r>
        <w:rPr>
          <w:rFonts w:hint="eastAsia"/>
        </w:rPr>
        <w:t>污水对土壤、水环境的污染的预防控制措施</w:t>
      </w:r>
      <w:bookmarkEnd w:id="492"/>
      <w:bookmarkEnd w:id="493"/>
    </w:p>
    <w:p>
      <w:pPr>
        <w:ind w:firstLine="480"/>
      </w:pPr>
      <w:r>
        <w:rPr>
          <w:rFonts w:hint="eastAsia"/>
        </w:rPr>
        <w:t>a）施工建设中产生的污水要集中收集，并拉运至处理站集中处理。不得随意排放。</w:t>
      </w:r>
    </w:p>
    <w:p>
      <w:pPr>
        <w:ind w:firstLine="480"/>
      </w:pPr>
      <w:r>
        <w:rPr>
          <w:rFonts w:hint="eastAsia"/>
        </w:rPr>
        <w:t>b）合理设计控制方式，使污水流出事故的可能性降到最低，可及时发现并采取停泵及关闭管道中间阀门等措施，防止污水大面积流出，减少污水排放及对环境造成污染；</w:t>
      </w:r>
    </w:p>
    <w:p>
      <w:pPr>
        <w:pStyle w:val="6"/>
      </w:pPr>
      <w:bookmarkStart w:id="494" w:name="_Toc26839"/>
      <w:bookmarkStart w:id="495" w:name="_Toc485310638"/>
      <w:bookmarkStart w:id="496" w:name="_Toc1810"/>
      <w:bookmarkStart w:id="497" w:name="_Toc116061622"/>
      <w:bookmarkStart w:id="498" w:name="_Toc14855"/>
      <w:r>
        <w:t>4.3</w:t>
      </w:r>
      <w:r>
        <w:rPr>
          <w:rFonts w:hint="eastAsia"/>
        </w:rPr>
        <w:t>土地损毁分析</w:t>
      </w:r>
      <w:bookmarkEnd w:id="494"/>
      <w:bookmarkEnd w:id="495"/>
      <w:bookmarkEnd w:id="496"/>
      <w:bookmarkEnd w:id="497"/>
      <w:bookmarkEnd w:id="498"/>
    </w:p>
    <w:p>
      <w:pPr>
        <w:pStyle w:val="7"/>
      </w:pPr>
      <w:bookmarkStart w:id="499" w:name="_Toc116061623"/>
      <w:bookmarkStart w:id="500" w:name="_Toc23379"/>
      <w:r>
        <w:t>4.3.1</w:t>
      </w:r>
      <w:r>
        <w:rPr>
          <w:rFonts w:hint="eastAsia"/>
        </w:rPr>
        <w:t>拟损毁土地现状和复垦情况</w:t>
      </w:r>
      <w:bookmarkEnd w:id="499"/>
      <w:bookmarkEnd w:id="500"/>
    </w:p>
    <w:p>
      <w:pPr>
        <w:ind w:firstLine="480"/>
      </w:pPr>
      <w:r>
        <w:rPr>
          <w:rFonts w:hint="eastAsia"/>
        </w:rPr>
        <w:t>损毁土地现状调查主要以项目区土地利用现状图为底图，结合项目施工建设工艺流程、工程施工进度安排及总体平面布置图，查清本项目临时用地损毁土地利用现状和损毁土地状况，主要包括土地损毁类型、损毁范围、损毁面积、损毁土地利用类型、损毁土地复垦情况、土地权属等内容。</w:t>
      </w:r>
    </w:p>
    <w:p>
      <w:pPr>
        <w:ind w:firstLine="482"/>
        <w:rPr>
          <w:b/>
        </w:rPr>
      </w:pPr>
      <w:r>
        <w:rPr>
          <w:rFonts w:hint="eastAsia"/>
          <w:b/>
        </w:rPr>
        <w:t>a）临时用地</w:t>
      </w:r>
    </w:p>
    <w:p>
      <w:pPr>
        <w:ind w:firstLine="480"/>
      </w:pPr>
      <w:r>
        <w:rPr>
          <w:rFonts w:hint="eastAsia"/>
        </w:rPr>
        <w:t>根据统计，喀什地区泽普县供水城乡一体化建设工程（泽普县农村规模化供水管道连通工程）临时用地拟损毁土地合计4.3908hm</w:t>
      </w:r>
      <w:r>
        <w:rPr>
          <w:rFonts w:hint="eastAsia"/>
          <w:vertAlign w:val="superscript"/>
        </w:rPr>
        <w:t>2</w:t>
      </w:r>
      <w:r>
        <w:rPr>
          <w:rFonts w:hint="eastAsia"/>
        </w:rPr>
        <w:t>，均为临时用地，面积为4.3908hm</w:t>
      </w:r>
      <w:r>
        <w:rPr>
          <w:rFonts w:hint="eastAsia"/>
          <w:vertAlign w:val="superscript"/>
        </w:rPr>
        <w:t>2</w:t>
      </w:r>
      <w:r>
        <w:t>。</w:t>
      </w:r>
    </w:p>
    <w:p>
      <w:pPr>
        <w:ind w:firstLine="480"/>
      </w:pPr>
      <w:r>
        <w:rPr>
          <w:rFonts w:hint="eastAsia"/>
        </w:rPr>
        <w:t>喀什地区泽普县供水城乡一体化建设工程（泽普县农村规模化供水管道连通工程）临时用地土地利用现状情况见表4.3.1-1。</w:t>
      </w:r>
    </w:p>
    <w:p>
      <w:pPr>
        <w:pStyle w:val="7"/>
      </w:pPr>
      <w:bookmarkStart w:id="501" w:name="_Toc116061624"/>
      <w:bookmarkStart w:id="502" w:name="_Toc18379"/>
      <w:r>
        <w:t>4.3.2</w:t>
      </w:r>
      <w:r>
        <w:rPr>
          <w:rFonts w:hint="eastAsia"/>
        </w:rPr>
        <w:t>已损毁土地汇总</w:t>
      </w:r>
      <w:bookmarkEnd w:id="501"/>
      <w:bookmarkEnd w:id="502"/>
    </w:p>
    <w:p>
      <w:pPr>
        <w:ind w:firstLine="480"/>
      </w:pPr>
      <w:r>
        <w:rPr>
          <w:rFonts w:hint="eastAsia"/>
        </w:rPr>
        <w:t>喀什地区泽普县供水城乡一体化建设工程（泽普县农村规模化供水管道连通工程）临时用地尚未开工，无已损毁土地。</w:t>
      </w:r>
    </w:p>
    <w:p>
      <w:pPr>
        <w:pStyle w:val="7"/>
      </w:pPr>
      <w:bookmarkStart w:id="503" w:name="_Toc116061625"/>
      <w:bookmarkStart w:id="504" w:name="_Toc12237"/>
      <w:r>
        <w:t>4.3.3</w:t>
      </w:r>
      <w:r>
        <w:rPr>
          <w:rFonts w:hint="eastAsia"/>
        </w:rPr>
        <w:t>拟损毁土地预测</w:t>
      </w:r>
      <w:bookmarkEnd w:id="503"/>
      <w:bookmarkEnd w:id="504"/>
    </w:p>
    <w:p>
      <w:pPr>
        <w:ind w:firstLine="480"/>
        <w:sectPr>
          <w:headerReference r:id="rId11" w:type="even"/>
          <w:footerReference r:id="rId12" w:type="even"/>
          <w:type w:val="nextColumn"/>
          <w:pgSz w:w="11906" w:h="16838"/>
          <w:pgMar w:top="1418" w:right="1247" w:bottom="1418" w:left="1247" w:header="851" w:footer="992" w:gutter="340"/>
          <w:cols w:space="720" w:num="1"/>
          <w:docGrid w:type="linesAndChars" w:linePitch="312" w:charSpace="0"/>
        </w:sectPr>
      </w:pPr>
      <w:r>
        <w:rPr>
          <w:rFonts w:hint="eastAsia"/>
        </w:rPr>
        <w:t>根据地面建设方案、勘测定界图等技术基础资料，结合项目生产建设工艺流程及已损毁土地实地调查分析，喀什地区泽普县供水城乡一体化建设工程（泽普县农村规模化供水管道连通工程）临时用地拟损毁土地面积总计4.3908hm</w:t>
      </w:r>
      <w:r>
        <w:rPr>
          <w:rFonts w:hint="eastAsia"/>
          <w:vertAlign w:val="superscript"/>
        </w:rPr>
        <w:t>2</w:t>
      </w:r>
      <w:r>
        <w:rPr>
          <w:rFonts w:hint="eastAsia"/>
        </w:rPr>
        <w:t>，其中临时用地面积4.3908hm</w:t>
      </w:r>
      <w:r>
        <w:rPr>
          <w:rFonts w:hint="eastAsia"/>
          <w:vertAlign w:val="superscript"/>
        </w:rPr>
        <w:t>2</w:t>
      </w:r>
      <w:r>
        <w:rPr>
          <w:rFonts w:hint="eastAsia"/>
        </w:rPr>
        <w:t>。损毁的土地利用类型为水浇地，果园，乔木林地，其他林地，其他草地，农村道路，农村宅基地，采矿用地，公路用地，其他特殊用地，沟渠，土地损毁形式为挖损。本项目拟损毁土地情况见表</w:t>
      </w:r>
      <w:r>
        <w:t>4.3.2-1</w:t>
      </w:r>
    </w:p>
    <w:p>
      <w:pPr>
        <w:pStyle w:val="291"/>
        <w:wordWrap w:val="0"/>
      </w:pPr>
      <w:r>
        <w:rPr>
          <w:rFonts w:hint="eastAsia"/>
        </w:rPr>
        <w:t>表4.3.1-1项目临时用地土地利用现状情况                                    单位：hm</w:t>
      </w:r>
      <w:r>
        <w:rPr>
          <w:rFonts w:hint="eastAsia"/>
          <w:vertAlign w:val="superscript"/>
        </w:rPr>
        <w:t>2</w:t>
      </w:r>
    </w:p>
    <w:tbl>
      <w:tblPr>
        <w:tblStyle w:val="88"/>
        <w:tblW w:w="14218" w:type="dxa"/>
        <w:tblInd w:w="0" w:type="dxa"/>
        <w:tblLayout w:type="fixed"/>
        <w:tblCellMar>
          <w:top w:w="0" w:type="dxa"/>
          <w:left w:w="108" w:type="dxa"/>
          <w:bottom w:w="0" w:type="dxa"/>
          <w:right w:w="108" w:type="dxa"/>
        </w:tblCellMar>
      </w:tblPr>
      <w:tblGrid>
        <w:gridCol w:w="553"/>
        <w:gridCol w:w="718"/>
        <w:gridCol w:w="936"/>
        <w:gridCol w:w="936"/>
        <w:gridCol w:w="1274"/>
        <w:gridCol w:w="1277"/>
        <w:gridCol w:w="1274"/>
        <w:gridCol w:w="1092"/>
        <w:gridCol w:w="953"/>
        <w:gridCol w:w="1078"/>
        <w:gridCol w:w="1186"/>
        <w:gridCol w:w="1200"/>
        <w:gridCol w:w="933"/>
        <w:gridCol w:w="808"/>
      </w:tblGrid>
      <w:tr>
        <w:tblPrEx>
          <w:tblLayout w:type="fixed"/>
          <w:tblCellMar>
            <w:top w:w="0" w:type="dxa"/>
            <w:left w:w="108" w:type="dxa"/>
            <w:bottom w:w="0" w:type="dxa"/>
            <w:right w:w="108" w:type="dxa"/>
          </w:tblCellMar>
        </w:tblPrEx>
        <w:trPr>
          <w:trHeight w:val="285"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序号</w:t>
            </w: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项目</w:t>
            </w:r>
          </w:p>
        </w:tc>
        <w:tc>
          <w:tcPr>
            <w:tcW w:w="1213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用地类型</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面积合计</w:t>
            </w:r>
          </w:p>
        </w:tc>
      </w:tr>
      <w:tr>
        <w:tblPrEx>
          <w:tblLayout w:type="fixed"/>
          <w:tblCellMar>
            <w:top w:w="0" w:type="dxa"/>
            <w:left w:w="108" w:type="dxa"/>
            <w:bottom w:w="0" w:type="dxa"/>
            <w:right w:w="108" w:type="dxa"/>
          </w:tblCellMar>
        </w:tblPrEx>
        <w:trPr>
          <w:trHeight w:val="495"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耕地01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园地02</w:t>
            </w:r>
          </w:p>
        </w:tc>
        <w:tc>
          <w:tcPr>
            <w:tcW w:w="2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林地03</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草地04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农业设施建设用地06</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居住用地07</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工矿用地10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交通运输用地12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特殊用地15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陆地水域17</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r>
      <w:tr>
        <w:tblPrEx>
          <w:tblLayout w:type="fixed"/>
          <w:tblCellMar>
            <w:top w:w="0" w:type="dxa"/>
            <w:left w:w="108" w:type="dxa"/>
            <w:bottom w:w="0" w:type="dxa"/>
            <w:right w:w="108" w:type="dxa"/>
          </w:tblCellMar>
        </w:tblPrEx>
        <w:trPr>
          <w:trHeight w:val="495"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水浇地0102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果园0201</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乔木林地0301</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其他林地0304</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其他草地0403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农村道路0601</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农村宅基地0703</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采矿用地1002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公路用地1202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其他特殊用地1507</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沟渠1705</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r>
      <w:tr>
        <w:tblPrEx>
          <w:tblLayout w:type="fixed"/>
          <w:tblCellMar>
            <w:top w:w="0" w:type="dxa"/>
            <w:left w:w="108" w:type="dxa"/>
            <w:bottom w:w="0" w:type="dxa"/>
            <w:right w:w="108" w:type="dxa"/>
          </w:tblCellMar>
        </w:tblPrEx>
        <w:trPr>
          <w:trHeight w:val="285" w:hRule="atLeast"/>
        </w:trPr>
        <w:tc>
          <w:tcPr>
            <w:tcW w:w="553"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1</w:t>
            </w:r>
          </w:p>
        </w:tc>
        <w:tc>
          <w:tcPr>
            <w:tcW w:w="718" w:type="dxa"/>
            <w:tcBorders>
              <w:top w:val="single" w:color="000000" w:sz="4" w:space="0"/>
              <w:left w:val="single" w:color="000000" w:sz="4" w:space="0"/>
              <w:bottom w:val="nil"/>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供水管线用地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0.4026 </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0.6105 </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0.2056 </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0.0223 </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0.0163 </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1.2099 </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0.0135 </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0.0094 </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0.0319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0.0476 </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sz w:val="21"/>
                <w:szCs w:val="21"/>
              </w:rPr>
              <w:t>1.8212</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4.3908</w:t>
            </w:r>
          </w:p>
        </w:tc>
      </w:tr>
      <w:tr>
        <w:tblPrEx>
          <w:tblLayout w:type="fixed"/>
          <w:tblCellMar>
            <w:top w:w="0" w:type="dxa"/>
            <w:left w:w="108" w:type="dxa"/>
            <w:bottom w:w="0" w:type="dxa"/>
            <w:right w:w="108" w:type="dxa"/>
          </w:tblCellMar>
        </w:tblPrEx>
        <w:trPr>
          <w:trHeight w:val="285" w:hRule="atLeast"/>
        </w:trPr>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合计</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0.4026 </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0.6105 </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0.2056 </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0.0223 </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0.0163 </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1.2099 </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0.0135 </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0.0094 </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0.0319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0.0476 </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 xml:space="preserve">1.8212 </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4.3908</w:t>
            </w:r>
          </w:p>
        </w:tc>
      </w:tr>
    </w:tbl>
    <w:p>
      <w:pPr>
        <w:ind w:firstLine="480"/>
      </w:pPr>
      <w:r>
        <w:rPr>
          <w:rFonts w:hint="eastAsia"/>
        </w:rPr>
        <w:br w:type="page"/>
      </w:r>
    </w:p>
    <w:p>
      <w:pPr>
        <w:pStyle w:val="291"/>
        <w:wordWrap w:val="0"/>
        <w:rPr>
          <w:vertAlign w:val="superscript"/>
        </w:rPr>
      </w:pPr>
      <w:r>
        <w:rPr>
          <w:rFonts w:hint="eastAsia"/>
        </w:rPr>
        <w:t>表4.3.2-1项目临时用地拟损毁土地利用现状情况                                   单位：hm</w:t>
      </w:r>
      <w:r>
        <w:rPr>
          <w:rFonts w:hint="eastAsia"/>
          <w:vertAlign w:val="superscript"/>
        </w:rPr>
        <w:t>2</w:t>
      </w:r>
    </w:p>
    <w:tbl>
      <w:tblPr>
        <w:tblStyle w:val="88"/>
        <w:tblW w:w="14218" w:type="dxa"/>
        <w:tblInd w:w="0" w:type="dxa"/>
        <w:tblLayout w:type="fixed"/>
        <w:tblCellMar>
          <w:top w:w="0" w:type="dxa"/>
          <w:left w:w="108" w:type="dxa"/>
          <w:bottom w:w="0" w:type="dxa"/>
          <w:right w:w="108" w:type="dxa"/>
        </w:tblCellMar>
      </w:tblPr>
      <w:tblGrid>
        <w:gridCol w:w="393"/>
        <w:gridCol w:w="533"/>
        <w:gridCol w:w="811"/>
        <w:gridCol w:w="900"/>
        <w:gridCol w:w="954"/>
        <w:gridCol w:w="1036"/>
        <w:gridCol w:w="1104"/>
        <w:gridCol w:w="954"/>
        <w:gridCol w:w="968"/>
        <w:gridCol w:w="900"/>
        <w:gridCol w:w="859"/>
        <w:gridCol w:w="830"/>
        <w:gridCol w:w="870"/>
        <w:gridCol w:w="845"/>
        <w:gridCol w:w="694"/>
        <w:gridCol w:w="557"/>
        <w:gridCol w:w="518"/>
        <w:gridCol w:w="492"/>
      </w:tblGrid>
      <w:tr>
        <w:tblPrEx>
          <w:tblLayout w:type="fixed"/>
          <w:tblCellMar>
            <w:top w:w="0" w:type="dxa"/>
            <w:left w:w="108" w:type="dxa"/>
            <w:bottom w:w="0" w:type="dxa"/>
            <w:right w:w="108" w:type="dxa"/>
          </w:tblCellMar>
        </w:tblPrEx>
        <w:trPr>
          <w:trHeight w:val="460"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bookmarkStart w:id="505" w:name="_Toc116061626"/>
            <w:bookmarkStart w:id="506" w:name="_Toc17401"/>
            <w:r>
              <w:rPr>
                <w:szCs w:val="21"/>
              </w:rPr>
              <w:t>序号</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项目</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损毁面积</w:t>
            </w:r>
          </w:p>
        </w:tc>
        <w:tc>
          <w:tcPr>
            <w:tcW w:w="1022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用地类型</w:t>
            </w:r>
          </w:p>
        </w:tc>
        <w:tc>
          <w:tcPr>
            <w:tcW w:w="6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损毁时间</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损毁类型</w:t>
            </w:r>
          </w:p>
        </w:tc>
        <w:tc>
          <w:tcPr>
            <w:tcW w:w="5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损毁程度</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权属性质</w:t>
            </w:r>
          </w:p>
        </w:tc>
      </w:tr>
      <w:tr>
        <w:tblPrEx>
          <w:tblLayout w:type="fixed"/>
          <w:tblCellMar>
            <w:top w:w="0" w:type="dxa"/>
            <w:left w:w="108" w:type="dxa"/>
            <w:bottom w:w="0" w:type="dxa"/>
            <w:right w:w="108" w:type="dxa"/>
          </w:tblCellMar>
        </w:tblPrEx>
        <w:trPr>
          <w:trHeight w:val="1455"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耕地01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园地02</w:t>
            </w:r>
          </w:p>
        </w:tc>
        <w:tc>
          <w:tcPr>
            <w:tcW w:w="2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林地03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草地04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农业设施建设用地06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居住用地07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工矿用地10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交通运输用地12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rFonts w:hint="eastAsia"/>
                <w:szCs w:val="21"/>
              </w:rPr>
              <w:t>其他特殊用地</w:t>
            </w:r>
            <w:r>
              <w:rPr>
                <w:szCs w:val="21"/>
              </w:rPr>
              <w:t>15</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陆地水域17</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r>
      <w:tr>
        <w:tblPrEx>
          <w:tblLayout w:type="fixed"/>
          <w:tblCellMar>
            <w:top w:w="0" w:type="dxa"/>
            <w:left w:w="108" w:type="dxa"/>
            <w:bottom w:w="0" w:type="dxa"/>
            <w:right w:w="108" w:type="dxa"/>
          </w:tblCellMar>
        </w:tblPrEx>
        <w:trPr>
          <w:trHeight w:val="560"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水浇地0102</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果园0201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乔木林地0301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其他林地0304</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其他草地0403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农村道路0601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农村宅基地0703</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采矿用地1002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公路用地1202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其他</w:t>
            </w:r>
            <w:r>
              <w:rPr>
                <w:rFonts w:hint="eastAsia"/>
                <w:szCs w:val="21"/>
              </w:rPr>
              <w:t>其他特殊用地</w:t>
            </w:r>
            <w:r>
              <w:rPr>
                <w:szCs w:val="21"/>
              </w:rPr>
              <w:t>1507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沟渠1705</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r>
      <w:tr>
        <w:tblPrEx>
          <w:tblLayout w:type="fixed"/>
          <w:tblCellMar>
            <w:top w:w="0" w:type="dxa"/>
            <w:left w:w="108" w:type="dxa"/>
            <w:bottom w:w="0" w:type="dxa"/>
            <w:right w:w="108" w:type="dxa"/>
          </w:tblCellMar>
        </w:tblPrEx>
        <w:trPr>
          <w:trHeight w:val="717"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1</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供水管线用地</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0.7024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0.0669</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0.0222</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0.0163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0.5731</w:t>
            </w:r>
          </w:p>
        </w:tc>
        <w:tc>
          <w:tcPr>
            <w:tcW w:w="6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2024年9月至2026年8月</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挖损</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中度</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国有</w:t>
            </w:r>
          </w:p>
        </w:tc>
      </w:tr>
      <w:tr>
        <w:tblPrEx>
          <w:tblLayout w:type="fixed"/>
          <w:tblCellMar>
            <w:top w:w="0" w:type="dxa"/>
            <w:left w:w="108" w:type="dxa"/>
            <w:bottom w:w="0" w:type="dxa"/>
            <w:right w:w="108" w:type="dxa"/>
          </w:tblCellMar>
        </w:tblPrEx>
        <w:trPr>
          <w:trHeight w:val="460"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3.6884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0.3357</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0.5998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0.2056</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1.2099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0.0094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0.0187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0.0476</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1.2481</w:t>
            </w:r>
          </w:p>
        </w:tc>
        <w:tc>
          <w:tcPr>
            <w:tcW w:w="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挖损</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rFonts w:hint="eastAsia"/>
                <w:szCs w:val="21"/>
              </w:rPr>
              <w:t>中度</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集体</w:t>
            </w:r>
          </w:p>
        </w:tc>
      </w:tr>
      <w:tr>
        <w:tblPrEx>
          <w:tblLayout w:type="fixed"/>
          <w:tblCellMar>
            <w:top w:w="0" w:type="dxa"/>
            <w:left w:w="108" w:type="dxa"/>
            <w:bottom w:w="0" w:type="dxa"/>
            <w:right w:w="108" w:type="dxa"/>
          </w:tblCellMar>
        </w:tblPrEx>
        <w:trPr>
          <w:trHeight w:val="460" w:hRule="atLeast"/>
        </w:trPr>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合计</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4.3908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0.4026</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0.6105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0.2056</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0.0223</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0.0163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1.2099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0.0135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0.0094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0.0319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0.0476</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2"/>
              <w:snapToGrid w:val="0"/>
              <w:rPr>
                <w:szCs w:val="21"/>
              </w:rPr>
            </w:pPr>
            <w:r>
              <w:rPr>
                <w:szCs w:val="21"/>
              </w:rPr>
              <w:t>1.8212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2"/>
              <w:snapToGrid w:val="0"/>
              <w:rPr>
                <w:szCs w:val="21"/>
              </w:rPr>
            </w:pPr>
            <w:r>
              <w:rPr>
                <w:szCs w:val="21"/>
              </w:rPr>
              <w:t>—</w:t>
            </w:r>
          </w:p>
        </w:tc>
      </w:tr>
    </w:tbl>
    <w:p>
      <w:pPr>
        <w:ind w:firstLine="480"/>
      </w:pPr>
      <w:r>
        <w:br w:type="page"/>
      </w:r>
    </w:p>
    <w:p>
      <w:pPr>
        <w:pStyle w:val="7"/>
        <w:sectPr>
          <w:type w:val="continuous"/>
          <w:pgSz w:w="16838" w:h="11906" w:orient="landscape"/>
          <w:pgMar w:top="1247" w:right="1418" w:bottom="1247" w:left="1418" w:header="851" w:footer="992" w:gutter="340"/>
          <w:cols w:space="720" w:num="1"/>
          <w:docGrid w:type="linesAndChars" w:linePitch="312" w:charSpace="0"/>
        </w:sectPr>
      </w:pPr>
    </w:p>
    <w:p>
      <w:pPr>
        <w:pStyle w:val="7"/>
      </w:pPr>
      <w:r>
        <w:t>4.3.4</w:t>
      </w:r>
      <w:r>
        <w:rPr>
          <w:rFonts w:hint="eastAsia"/>
        </w:rPr>
        <w:t>土地损毁程度分析</w:t>
      </w:r>
      <w:bookmarkEnd w:id="505"/>
      <w:bookmarkEnd w:id="506"/>
    </w:p>
    <w:p>
      <w:pPr>
        <w:pStyle w:val="160"/>
        <w:rPr>
          <w:rFonts w:ascii="Times New Roman" w:hAnsi="Times New Roman" w:eastAsia="仿宋_GB2312" w:cs="Times New Roman"/>
        </w:rPr>
      </w:pPr>
      <w:r>
        <w:rPr>
          <w:rFonts w:hint="eastAsia" w:ascii="Times New Roman" w:hAnsi="Times New Roman" w:eastAsia="仿宋_GB2312" w:cs="Times New Roman"/>
        </w:rPr>
        <w:t>土地损毁程度评价揭示了土地的可利用范围及可利用的能力。项目生产建设过程中对土地的损毁表现为项目建设施工引起的土地利用变化，直接表现为对原有土地的挖损。</w:t>
      </w:r>
    </w:p>
    <w:p>
      <w:pPr>
        <w:ind w:firstLine="480"/>
      </w:pPr>
      <w:r>
        <w:rPr>
          <w:rFonts w:hint="eastAsia"/>
        </w:rPr>
        <w:t>通过对本项目用地分析，发现该项目用地具有点多、面广等特点。针对这些特点，根据《土地复垦方案编制规程》中的相关条文说明，结合以往对类似项目土地损毁程度调查分析经验，遵循简约的原则，采用综合定性分析方法，按用地类型对喀什地区泽普县供水城乡一体化建设工程（泽普县农村规模化供水管道连通工程）临时用地的土地损毁程度进行分析。本方案将喀什地区泽普县供水城乡一体化建设工程（泽普县农村规模化供水管道连通工程）临时用地的土地损毁评价等级定为中度损毁。</w:t>
      </w:r>
    </w:p>
    <w:p>
      <w:pPr>
        <w:pStyle w:val="6"/>
      </w:pPr>
      <w:bookmarkStart w:id="507" w:name="_Toc28323"/>
      <w:bookmarkStart w:id="508" w:name="_Toc272330964"/>
      <w:bookmarkStart w:id="509" w:name="_Toc116061627"/>
      <w:bookmarkStart w:id="510" w:name="_Toc31753"/>
      <w:bookmarkStart w:id="511" w:name="_Toc485310639"/>
      <w:bookmarkStart w:id="512" w:name="_Toc260918479"/>
      <w:bookmarkStart w:id="513" w:name="_Toc26002"/>
      <w:bookmarkStart w:id="514" w:name="_Toc331979982"/>
      <w:bookmarkStart w:id="515" w:name="_Toc374433472"/>
      <w:bookmarkStart w:id="516" w:name="_Toc332054222"/>
      <w:bookmarkStart w:id="517" w:name="_Toc260918509"/>
      <w:bookmarkStart w:id="518" w:name="_Toc272330981"/>
      <w:bookmarkStart w:id="519" w:name="_Toc169564212"/>
      <w:bookmarkStart w:id="520" w:name="_Toc272330974"/>
      <w:bookmarkStart w:id="521" w:name="_Toc340565647"/>
      <w:bookmarkStart w:id="522" w:name="_Toc331979587"/>
      <w:bookmarkStart w:id="523" w:name="_Toc215496726"/>
      <w:bookmarkStart w:id="524" w:name="_Toc341866402"/>
      <w:bookmarkStart w:id="525" w:name="_Toc331979573"/>
      <w:bookmarkStart w:id="526" w:name="_Toc331980008"/>
      <w:bookmarkStart w:id="527" w:name="_Toc272330997"/>
      <w:bookmarkStart w:id="528" w:name="_Toc234999499"/>
      <w:bookmarkStart w:id="529" w:name="_Toc169241186"/>
      <w:bookmarkStart w:id="530" w:name="_Toc326857799"/>
      <w:bookmarkStart w:id="531" w:name="_Toc332054236"/>
      <w:bookmarkStart w:id="532" w:name="_Toc341866432"/>
      <w:bookmarkStart w:id="533" w:name="_Toc341866416"/>
      <w:bookmarkStart w:id="534" w:name="OLE_LINK3"/>
      <w:bookmarkStart w:id="535" w:name="_Toc205788756"/>
      <w:bookmarkStart w:id="536" w:name="_Toc331979468"/>
      <w:bookmarkStart w:id="537" w:name="_Toc228761359"/>
      <w:bookmarkStart w:id="538" w:name="_Toc8581577"/>
      <w:bookmarkStart w:id="539" w:name="_Toc8581600"/>
      <w:bookmarkStart w:id="540" w:name="_Toc331979561"/>
      <w:bookmarkStart w:id="541" w:name="_Toc341112499"/>
      <w:bookmarkStart w:id="542" w:name="_Toc306979456"/>
      <w:bookmarkStart w:id="543" w:name="_Toc374433432"/>
      <w:bookmarkStart w:id="544" w:name="_Toc374433449"/>
      <w:bookmarkStart w:id="545" w:name="_Toc8581559"/>
      <w:bookmarkStart w:id="546" w:name="_Toc260918485"/>
      <w:bookmarkStart w:id="547" w:name="_Toc331979771"/>
      <w:bookmarkStart w:id="548" w:name="_Toc215548371"/>
      <w:bookmarkStart w:id="549" w:name="_Toc331979994"/>
      <w:bookmarkStart w:id="550" w:name="_Toc247964582"/>
      <w:bookmarkStart w:id="551" w:name="_Toc246924052"/>
      <w:bookmarkStart w:id="552" w:name="_Toc242845583"/>
      <w:bookmarkStart w:id="553" w:name="_Toc331979797"/>
      <w:bookmarkStart w:id="554" w:name="_Toc332054210"/>
      <w:bookmarkStart w:id="555" w:name="_Toc340565780"/>
      <w:bookmarkStart w:id="556" w:name="_Toc331979783"/>
      <w:bookmarkStart w:id="557" w:name="_Toc172786441"/>
      <w:bookmarkStart w:id="558" w:name="_Toc93403616"/>
      <w:bookmarkStart w:id="559" w:name="_Toc247964556"/>
      <w:bookmarkStart w:id="560" w:name="_Toc260918493"/>
      <w:bookmarkStart w:id="561" w:name="_Toc5629"/>
      <w:bookmarkStart w:id="562" w:name="_Toc340440683"/>
      <w:bookmarkStart w:id="563" w:name="_Toc215496800"/>
      <w:bookmarkStart w:id="564" w:name="_Toc331979482"/>
      <w:bookmarkStart w:id="565" w:name="_Toc215548446"/>
      <w:bookmarkStart w:id="566" w:name="_Toc374026591"/>
      <w:bookmarkStart w:id="567" w:name="_Toc326857802"/>
      <w:bookmarkStart w:id="568" w:name="OLE_LINK4"/>
      <w:bookmarkStart w:id="569" w:name="_Toc331979456"/>
      <w:r>
        <w:t>4.4</w:t>
      </w:r>
      <w:r>
        <w:rPr>
          <w:rFonts w:hint="eastAsia"/>
        </w:rPr>
        <w:t>生态环境影响分析</w:t>
      </w:r>
      <w:bookmarkEnd w:id="507"/>
      <w:bookmarkEnd w:id="508"/>
      <w:bookmarkEnd w:id="509"/>
      <w:bookmarkEnd w:id="510"/>
      <w:bookmarkEnd w:id="511"/>
      <w:bookmarkEnd w:id="512"/>
      <w:bookmarkEnd w:id="513"/>
    </w:p>
    <w:p>
      <w:pPr>
        <w:pStyle w:val="7"/>
      </w:pPr>
      <w:bookmarkStart w:id="570" w:name="_Toc116061628"/>
      <w:bookmarkStart w:id="571" w:name="_Toc24159"/>
      <w:r>
        <w:t>4.4.1</w:t>
      </w:r>
      <w:r>
        <w:rPr>
          <w:rFonts w:hint="eastAsia"/>
        </w:rPr>
        <w:t>土壤环境影响分析</w:t>
      </w:r>
      <w:bookmarkEnd w:id="570"/>
      <w:bookmarkEnd w:id="571"/>
    </w:p>
    <w:p>
      <w:pPr>
        <w:ind w:firstLine="482"/>
        <w:rPr>
          <w:b/>
        </w:rPr>
      </w:pPr>
      <w:r>
        <w:rPr>
          <w:rFonts w:hint="eastAsia"/>
          <w:b/>
        </w:rPr>
        <w:t>a）施工期对土壤环境的影响</w:t>
      </w:r>
    </w:p>
    <w:p>
      <w:pPr>
        <w:ind w:firstLine="480"/>
      </w:pPr>
      <w:r>
        <w:rPr>
          <w:rFonts w:hint="eastAsia"/>
        </w:rPr>
        <w:t>项目工程的施工建设在一定程度上会改变原有土壤结构和理化性质，改变原始地貌形态和地表结构，使表土内有机质含量降低，并且使土壤的富集过程受阻，土壤生产力下降，地表植被覆盖度降低，进而加剧局部水土流失和土地荒漠化状况。如果不采取复垦措施，工程建设中对土地的挖损，扰动原地貌、损毁土壤和破坏植被，造成大面积的地表裸露，减弱了地表的固土保肥功能，易导致该区土地进一步荒漠化及水土流失，造成土地质量下降。</w:t>
      </w:r>
    </w:p>
    <w:p>
      <w:pPr>
        <w:pStyle w:val="7"/>
      </w:pPr>
      <w:bookmarkStart w:id="572" w:name="_Toc11674"/>
      <w:bookmarkStart w:id="573" w:name="_Toc116061630"/>
      <w:r>
        <w:t>4.4.2</w:t>
      </w:r>
      <w:r>
        <w:rPr>
          <w:rFonts w:hint="eastAsia"/>
        </w:rPr>
        <w:t>水资源影响分析</w:t>
      </w:r>
      <w:bookmarkEnd w:id="572"/>
      <w:bookmarkEnd w:id="573"/>
    </w:p>
    <w:p>
      <w:pPr>
        <w:ind w:firstLine="482"/>
        <w:rPr>
          <w:b/>
        </w:rPr>
      </w:pPr>
      <w:r>
        <w:rPr>
          <w:rFonts w:hint="eastAsia"/>
          <w:b/>
        </w:rPr>
        <w:t>a）对地表水的影响</w:t>
      </w:r>
    </w:p>
    <w:p>
      <w:pPr>
        <w:ind w:firstLine="480"/>
      </w:pPr>
      <w:r>
        <w:rPr>
          <w:rFonts w:hint="eastAsia"/>
        </w:rPr>
        <w:t>主要水污染物为生活污水。生活污水集中收集。运往就近的污水处理厂处置。</w:t>
      </w:r>
    </w:p>
    <w:p>
      <w:pPr>
        <w:ind w:firstLine="482"/>
        <w:rPr>
          <w:b/>
        </w:rPr>
      </w:pPr>
      <w:r>
        <w:rPr>
          <w:rFonts w:hint="eastAsia"/>
          <w:b/>
        </w:rPr>
        <w:t>b）对地下水的影响</w:t>
      </w:r>
    </w:p>
    <w:p>
      <w:pPr>
        <w:ind w:firstLine="480"/>
      </w:pPr>
      <w:r>
        <w:rPr>
          <w:rFonts w:hint="eastAsia"/>
        </w:rPr>
        <w:t>项目区地下水的补给主要以冰雪融水补给为主，本项目对地下水的影响主要是生产建设及工人生活过程中产生的废水。在开发建设过程中对污染源采取了预防控制措施，废水均采用集中处理的方式，在采取预防措施及不出现事故的前提下，项目开发建设对地下水影响较小。</w:t>
      </w:r>
    </w:p>
    <w:p>
      <w:pPr>
        <w:pStyle w:val="7"/>
      </w:pPr>
      <w:r>
        <w:t>4.4.</w:t>
      </w:r>
      <w:r>
        <w:rPr>
          <w:rFonts w:hint="eastAsia"/>
        </w:rPr>
        <w:t>3大气环境影响分析</w:t>
      </w:r>
    </w:p>
    <w:p>
      <w:pPr>
        <w:ind w:firstLine="480"/>
      </w:pPr>
      <w:r>
        <w:rPr>
          <w:rFonts w:hint="eastAsia"/>
        </w:rPr>
        <w:t>项目建设对大气环境的影响。主要通过加强对复垦作业现场扬尘的防治，减少施工对周围环境的影响。采取洒水降尘等措施，避免大风天气施工，防止扬尘污染。采用低噪声设备、严格控制施工作业时间等方式降低噪声对周围居民的影响。</w:t>
      </w:r>
    </w:p>
    <w:p>
      <w:pPr>
        <w:pStyle w:val="7"/>
      </w:pPr>
      <w:bookmarkStart w:id="574" w:name="_Toc116061631"/>
      <w:bookmarkStart w:id="575" w:name="_Toc27880"/>
      <w:r>
        <w:t>4.4.</w:t>
      </w:r>
      <w:r>
        <w:rPr>
          <w:rFonts w:hint="eastAsia"/>
        </w:rPr>
        <w:t>4生物资源影响分析</w:t>
      </w:r>
      <w:bookmarkEnd w:id="574"/>
      <w:bookmarkEnd w:id="575"/>
    </w:p>
    <w:p>
      <w:pPr>
        <w:ind w:firstLine="480"/>
      </w:pPr>
      <w:r>
        <w:rPr>
          <w:rFonts w:hint="eastAsia"/>
        </w:rPr>
        <w:t>本项目对植物的破坏主要是工程占用土地，填挖土方，使项目区域人工植被遭受破坏。经实地调查，本项目对项目区外的植被影响较小。因此，本项目的开发建设对区域生态系统物种的丰度影响较小。</w:t>
      </w:r>
    </w:p>
    <w:p>
      <w:pPr>
        <w:ind w:firstLine="480"/>
      </w:pPr>
      <w:r>
        <w:rPr>
          <w:rFonts w:hint="eastAsia"/>
        </w:rPr>
        <w:t>项目开发建设对野生动物生存环境、分布范围和种群数量的影响主要分为直接影响和间接影响两个方面。直接影响主要表现为建设项目占地和施工机械噪声的影响，使野生动物的原始生存环境被破坏或改变；间接影响主要表现为由于植被的减少或污染破坏而引起野生动物食物来源减少。由于该项目区内野生动物较少，少有野生动物出没，故项目开发对野生动物的影响较小。</w:t>
      </w:r>
    </w:p>
    <w:p>
      <w:pPr>
        <w:pStyle w:val="6"/>
      </w:pPr>
      <w:bookmarkStart w:id="576" w:name="_Toc13151"/>
      <w:bookmarkStart w:id="577" w:name="_Toc591"/>
      <w:bookmarkStart w:id="578" w:name="_Toc116061629"/>
      <w:bookmarkStart w:id="579" w:name="_Toc15383"/>
      <w:bookmarkStart w:id="580" w:name="_Toc485310640"/>
      <w:bookmarkStart w:id="581" w:name="_Toc24434"/>
      <w:bookmarkStart w:id="582" w:name="_Toc116061632"/>
      <w:bookmarkStart w:id="583" w:name="_Toc325922569"/>
      <w:bookmarkStart w:id="584" w:name="_Toc6125"/>
      <w:bookmarkStart w:id="585" w:name="_Toc485310641"/>
      <w:r>
        <w:t>4.5</w:t>
      </w:r>
      <w:r>
        <w:rPr>
          <w:rFonts w:hint="eastAsia"/>
        </w:rPr>
        <w:t>复垦区与复垦责任范围确定</w:t>
      </w:r>
      <w:bookmarkEnd w:id="576"/>
      <w:bookmarkEnd w:id="577"/>
      <w:bookmarkEnd w:id="578"/>
      <w:bookmarkEnd w:id="579"/>
      <w:bookmarkEnd w:id="580"/>
    </w:p>
    <w:p>
      <w:pPr>
        <w:ind w:firstLine="482"/>
        <w:rPr>
          <w:b/>
        </w:rPr>
      </w:pPr>
      <w:r>
        <w:rPr>
          <w:b/>
        </w:rPr>
        <w:t>a</w:t>
      </w:r>
      <w:r>
        <w:rPr>
          <w:rFonts w:hint="eastAsia"/>
          <w:b/>
        </w:rPr>
        <w:t>）复垦区</w:t>
      </w:r>
    </w:p>
    <w:p>
      <w:pPr>
        <w:ind w:firstLine="480"/>
        <w:jc w:val="left"/>
      </w:pPr>
      <w:r>
        <w:rPr>
          <w:rFonts w:hint="eastAsia"/>
        </w:rPr>
        <w:t>依据土地损毁分析结果，结合项目区土地利用现状，本方案复垦区面积为临时用地构成区域，即本方案复垦区</w:t>
      </w:r>
      <w:r>
        <w:t>=</w:t>
      </w:r>
      <w:r>
        <w:rPr>
          <w:rFonts w:hint="eastAsia"/>
        </w:rPr>
        <w:t>临时用地损毁土地面积</w:t>
      </w:r>
      <w:r>
        <w:t>=</w:t>
      </w:r>
      <w:r>
        <w:rPr>
          <w:rFonts w:hint="eastAsia"/>
        </w:rPr>
        <w:t>4.3908hm</w:t>
      </w:r>
      <w:r>
        <w:rPr>
          <w:rFonts w:hint="eastAsia"/>
          <w:vertAlign w:val="superscript"/>
        </w:rPr>
        <w:t>2</w:t>
      </w:r>
      <w:r>
        <w:rPr>
          <w:rFonts w:hint="eastAsia"/>
        </w:rPr>
        <w:t>。</w:t>
      </w:r>
    </w:p>
    <w:p>
      <w:pPr>
        <w:ind w:firstLine="482"/>
        <w:rPr>
          <w:b/>
        </w:rPr>
      </w:pPr>
      <w:r>
        <w:rPr>
          <w:b/>
        </w:rPr>
        <w:t>b</w:t>
      </w:r>
      <w:r>
        <w:rPr>
          <w:rFonts w:hint="eastAsia"/>
          <w:b/>
        </w:rPr>
        <w:t>）复垦责任范围</w:t>
      </w:r>
    </w:p>
    <w:p>
      <w:pPr>
        <w:ind w:firstLine="480"/>
      </w:pPr>
      <w:r>
        <w:rPr>
          <w:rFonts w:hint="eastAsia"/>
          <w:lang w:val="zh-CN"/>
        </w:rPr>
        <w:t>按照</w:t>
      </w:r>
      <w:r>
        <w:rPr>
          <w:rFonts w:hint="eastAsia"/>
        </w:rPr>
        <w:t>现行土地复垦政策法规标准等解决当下土地复垦问题的原则，本项目复垦责任范围为复垦区中损毁的临时用地区域。</w:t>
      </w:r>
    </w:p>
    <w:p>
      <w:pPr>
        <w:ind w:firstLine="480"/>
      </w:pPr>
      <w:r>
        <w:rPr>
          <w:rFonts w:hint="eastAsia"/>
        </w:rPr>
        <w:t>综合上述的分析，确定本方案复垦责任范围为4.3908hm</w:t>
      </w:r>
      <w:r>
        <w:rPr>
          <w:rFonts w:hint="eastAsia"/>
          <w:vertAlign w:val="superscript"/>
        </w:rPr>
        <w:t>2</w:t>
      </w:r>
      <w:r>
        <w:rPr>
          <w:rFonts w:hint="eastAsia"/>
        </w:rPr>
        <w:t>，为项目区临时用地。</w:t>
      </w:r>
    </w:p>
    <w:p>
      <w:pPr>
        <w:pStyle w:val="6"/>
      </w:pPr>
      <w:bookmarkStart w:id="586" w:name="_Toc7627"/>
      <w:r>
        <w:t>4.6</w:t>
      </w:r>
      <w:r>
        <w:rPr>
          <w:rFonts w:hint="eastAsia"/>
        </w:rPr>
        <w:t>复垦区土地利用状况</w:t>
      </w:r>
      <w:bookmarkEnd w:id="581"/>
      <w:bookmarkEnd w:id="582"/>
      <w:bookmarkEnd w:id="583"/>
      <w:bookmarkEnd w:id="584"/>
      <w:bookmarkEnd w:id="585"/>
      <w:bookmarkEnd w:id="586"/>
    </w:p>
    <w:p>
      <w:pPr>
        <w:pStyle w:val="7"/>
      </w:pPr>
      <w:bookmarkStart w:id="587" w:name="_Toc116061633"/>
      <w:bookmarkStart w:id="588" w:name="_Toc17215"/>
      <w:r>
        <w:t>4.6.1</w:t>
      </w:r>
      <w:r>
        <w:rPr>
          <w:rFonts w:hint="eastAsia"/>
        </w:rPr>
        <w:t>土地利用类型</w:t>
      </w:r>
      <w:bookmarkEnd w:id="587"/>
      <w:bookmarkEnd w:id="588"/>
    </w:p>
    <w:p>
      <w:pPr>
        <w:ind w:firstLine="480"/>
      </w:pPr>
      <w:r>
        <w:rPr>
          <w:rFonts w:hint="eastAsia"/>
        </w:rPr>
        <w:t>根据泽普县自然资源局提供的土地利用变更调查成果图，结合本项目布置示意图及实地调查情况，获得复垦区土地利用现状数据，复垦区面积4.3908hm</w:t>
      </w:r>
      <w:r>
        <w:rPr>
          <w:rFonts w:hint="eastAsia"/>
          <w:vertAlign w:val="superscript"/>
        </w:rPr>
        <w:t>2</w:t>
      </w:r>
      <w:r>
        <w:rPr>
          <w:rFonts w:hint="eastAsia"/>
        </w:rPr>
        <w:t>，土地损毁形式为挖损，复垦区及复垦责任范围土地利用现状见表4.6.1-1。</w:t>
      </w:r>
    </w:p>
    <w:p>
      <w:pPr>
        <w:pStyle w:val="291"/>
        <w:wordWrap w:val="0"/>
      </w:pPr>
    </w:p>
    <w:p>
      <w:pPr>
        <w:pStyle w:val="291"/>
        <w:wordWrap w:val="0"/>
      </w:pPr>
    </w:p>
    <w:p>
      <w:pPr>
        <w:pStyle w:val="291"/>
        <w:wordWrap w:val="0"/>
      </w:pPr>
    </w:p>
    <w:p>
      <w:pPr>
        <w:pStyle w:val="291"/>
        <w:wordWrap w:val="0"/>
      </w:pPr>
    </w:p>
    <w:p>
      <w:pPr>
        <w:pStyle w:val="291"/>
        <w:wordWrap w:val="0"/>
        <w:rPr>
          <w:vertAlign w:val="superscript"/>
        </w:rPr>
      </w:pPr>
      <w:r>
        <w:rPr>
          <w:rFonts w:hint="eastAsia"/>
        </w:rPr>
        <w:t>表</w:t>
      </w:r>
      <w:r>
        <w:t>4.6.1-1</w:t>
      </w:r>
      <w:r>
        <w:rPr>
          <w:rFonts w:hint="eastAsia"/>
        </w:rPr>
        <w:t>复垦区及复垦责任范围土地利用现状情况         单位：hm</w:t>
      </w:r>
      <w:r>
        <w:rPr>
          <w:rFonts w:hint="eastAsia"/>
          <w:vertAlign w:val="superscript"/>
        </w:rPr>
        <w:t>2</w:t>
      </w:r>
    </w:p>
    <w:tbl>
      <w:tblPr>
        <w:tblStyle w:val="88"/>
        <w:tblW w:w="9284" w:type="dxa"/>
        <w:tblInd w:w="0" w:type="dxa"/>
        <w:tblLayout w:type="fixed"/>
        <w:tblCellMar>
          <w:top w:w="0" w:type="dxa"/>
          <w:left w:w="108" w:type="dxa"/>
          <w:bottom w:w="0" w:type="dxa"/>
          <w:right w:w="108" w:type="dxa"/>
        </w:tblCellMar>
      </w:tblPr>
      <w:tblGrid>
        <w:gridCol w:w="1094"/>
        <w:gridCol w:w="2435"/>
        <w:gridCol w:w="927"/>
        <w:gridCol w:w="1689"/>
        <w:gridCol w:w="1761"/>
        <w:gridCol w:w="1378"/>
      </w:tblGrid>
      <w:tr>
        <w:tblPrEx>
          <w:tblLayout w:type="fixed"/>
          <w:tblCellMar>
            <w:top w:w="0" w:type="dxa"/>
            <w:left w:w="108" w:type="dxa"/>
            <w:bottom w:w="0" w:type="dxa"/>
            <w:right w:w="108" w:type="dxa"/>
          </w:tblCellMar>
        </w:tblPrEx>
        <w:trPr>
          <w:trHeight w:val="285" w:hRule="atLeast"/>
          <w:tblHeader/>
        </w:trPr>
        <w:tc>
          <w:tcPr>
            <w:tcW w:w="35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一级地类</w:t>
            </w:r>
          </w:p>
        </w:tc>
        <w:tc>
          <w:tcPr>
            <w:tcW w:w="26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二级地类</w:t>
            </w:r>
          </w:p>
        </w:tc>
        <w:tc>
          <w:tcPr>
            <w:tcW w:w="17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复垦区</w:t>
            </w:r>
            <w:r>
              <w:rPr>
                <w:rFonts w:hint="eastAsia"/>
                <w:kern w:val="0"/>
                <w:sz w:val="21"/>
                <w:szCs w:val="21"/>
                <w:lang w:bidi="ar"/>
              </w:rPr>
              <w:br w:type="textWrapping"/>
            </w:r>
            <w:r>
              <w:rPr>
                <w:rFonts w:hint="eastAsia"/>
                <w:kern w:val="0"/>
                <w:sz w:val="21"/>
                <w:szCs w:val="21"/>
                <w:lang w:bidi="ar"/>
              </w:rPr>
              <w:t>面积</w:t>
            </w:r>
          </w:p>
        </w:tc>
        <w:tc>
          <w:tcPr>
            <w:tcW w:w="13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复垦区</w:t>
            </w:r>
            <w:r>
              <w:rPr>
                <w:rFonts w:hint="eastAsia"/>
                <w:kern w:val="0"/>
                <w:sz w:val="21"/>
                <w:szCs w:val="21"/>
                <w:lang w:bidi="ar"/>
              </w:rPr>
              <w:br w:type="textWrapping"/>
            </w:r>
            <w:r>
              <w:rPr>
                <w:rFonts w:hint="eastAsia"/>
                <w:kern w:val="0"/>
                <w:sz w:val="21"/>
                <w:szCs w:val="21"/>
                <w:lang w:bidi="ar"/>
              </w:rPr>
              <w:t>责任范围面积</w:t>
            </w:r>
          </w:p>
        </w:tc>
      </w:tr>
      <w:tr>
        <w:tblPrEx>
          <w:tblLayout w:type="fixed"/>
          <w:tblCellMar>
            <w:top w:w="0" w:type="dxa"/>
            <w:left w:w="108" w:type="dxa"/>
            <w:bottom w:w="0" w:type="dxa"/>
            <w:right w:w="108" w:type="dxa"/>
          </w:tblCellMar>
        </w:tblPrEx>
        <w:trPr>
          <w:trHeight w:val="285" w:hRule="atLeast"/>
          <w:tblHeader/>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编码</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编码</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w:t>
            </w:r>
          </w:p>
        </w:tc>
        <w:tc>
          <w:tcPr>
            <w:tcW w:w="1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0102</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0201</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r>
      <w:tr>
        <w:tblPrEx>
          <w:tblLayout w:type="fixed"/>
          <w:tblCellMar>
            <w:top w:w="0" w:type="dxa"/>
            <w:left w:w="108" w:type="dxa"/>
            <w:bottom w:w="0" w:type="dxa"/>
            <w:right w:w="108" w:type="dxa"/>
          </w:tblCellMar>
        </w:tblPrEx>
        <w:trPr>
          <w:trHeight w:val="285" w:hRule="atLeast"/>
        </w:trPr>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w:t>
            </w:r>
          </w:p>
        </w:tc>
        <w:tc>
          <w:tcPr>
            <w:tcW w:w="24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0301</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r>
      <w:tr>
        <w:tblPrEx>
          <w:tblLayout w:type="fixed"/>
          <w:tblCellMar>
            <w:top w:w="0" w:type="dxa"/>
            <w:left w:w="108" w:type="dxa"/>
            <w:bottom w:w="0" w:type="dxa"/>
            <w:right w:w="108" w:type="dxa"/>
          </w:tblCellMar>
        </w:tblPrEx>
        <w:trPr>
          <w:trHeight w:val="285" w:hRule="atLeast"/>
        </w:trPr>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24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0304</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0403</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0601</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0703</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1002</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1202</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1507</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r>
      <w:tr>
        <w:tblPrEx>
          <w:tblLayout w:type="fixed"/>
          <w:tblCellMar>
            <w:top w:w="0" w:type="dxa"/>
            <w:left w:w="108" w:type="dxa"/>
            <w:bottom w:w="0" w:type="dxa"/>
            <w:right w:w="108" w:type="dxa"/>
          </w:tblCellMar>
        </w:tblPrEx>
        <w:trPr>
          <w:trHeight w:val="285"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1705</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r>
      <w:tr>
        <w:tblPrEx>
          <w:tblLayout w:type="fixed"/>
          <w:tblCellMar>
            <w:top w:w="0" w:type="dxa"/>
            <w:left w:w="108" w:type="dxa"/>
            <w:bottom w:w="0" w:type="dxa"/>
            <w:right w:w="108" w:type="dxa"/>
          </w:tblCellMar>
        </w:tblPrEx>
        <w:trPr>
          <w:trHeight w:val="285" w:hRule="atLeast"/>
        </w:trPr>
        <w:tc>
          <w:tcPr>
            <w:tcW w:w="614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合计</w:t>
            </w: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4.3908</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4.3908</w:t>
            </w:r>
          </w:p>
        </w:tc>
      </w:tr>
    </w:tbl>
    <w:p>
      <w:pPr>
        <w:pStyle w:val="7"/>
      </w:pPr>
      <w:bookmarkStart w:id="589" w:name="_Toc18072"/>
      <w:bookmarkStart w:id="590" w:name="_Toc116061634"/>
      <w:r>
        <w:t>4.6.2</w:t>
      </w:r>
      <w:r>
        <w:rPr>
          <w:rFonts w:hint="eastAsia"/>
        </w:rPr>
        <w:t>土地权属状况</w:t>
      </w:r>
      <w:bookmarkEnd w:id="589"/>
      <w:bookmarkEnd w:id="590"/>
    </w:p>
    <w:p>
      <w:pPr>
        <w:ind w:firstLine="480"/>
      </w:pPr>
      <w:r>
        <w:rPr>
          <w:rFonts w:hint="eastAsia"/>
        </w:rPr>
        <w:t>复垦区坐落于泽普县阿依库勒乡，复垦区土地为国有土地和集体土地。</w:t>
      </w:r>
      <w:r>
        <w:rPr>
          <w:rFonts w:hint="eastAsia"/>
          <w:lang w:val="zh-CN"/>
        </w:rPr>
        <w:t>项目临时用地使用集体土地3.6884公顷。与阿依库勒乡政府签订集体土地临时用地合同，与泽普县自然资源局签订国有土地的临时用地合同。</w:t>
      </w:r>
      <w:r>
        <w:rPr>
          <w:rFonts w:hint="eastAsia"/>
        </w:rPr>
        <w:t>并按照合同约定支付临时使用土地补偿费，临时用地使用期满后，由泽普县淼鑫水务有限责任公司进行复垦并交还原土地使用权人。复垦区土地权利人为泽普县阿依库勒乡，复垦区土地产权明晰，权属界址线清楚，无任何纠纷。土地补偿相关事宜正在办理。</w:t>
      </w:r>
    </w:p>
    <w:p>
      <w:pPr>
        <w:ind w:firstLine="480"/>
        <w:sectPr>
          <w:type w:val="continuous"/>
          <w:pgSz w:w="11906" w:h="16838"/>
          <w:pgMar w:top="1418" w:right="1247" w:bottom="1418" w:left="1247" w:header="851" w:footer="992" w:gutter="340"/>
          <w:cols w:space="720" w:num="1"/>
          <w:docGrid w:type="linesAndChars" w:linePitch="312" w:charSpace="0"/>
        </w:sectPr>
      </w:pPr>
      <w:r>
        <w:rPr>
          <w:rFonts w:hint="eastAsia"/>
        </w:rPr>
        <w:t>复垦责任范围土地权属现状见表</w:t>
      </w:r>
      <w:r>
        <w:t>4.6.2-1</w:t>
      </w:r>
      <w:r>
        <w:rPr>
          <w:rFonts w:hint="eastAsia"/>
        </w:rPr>
        <w:t>。</w:t>
      </w:r>
    </w:p>
    <w:p>
      <w:pPr>
        <w:ind w:firstLine="480"/>
        <w:jc w:val="right"/>
        <w:rPr>
          <w:vertAlign w:val="superscript"/>
        </w:rPr>
      </w:pPr>
      <w:r>
        <w:rPr>
          <w:rFonts w:hint="eastAsia"/>
        </w:rPr>
        <w:t>表</w:t>
      </w:r>
      <w:r>
        <w:t>4.6.2-1</w:t>
      </w:r>
      <w:r>
        <w:rPr>
          <w:rFonts w:hint="eastAsia"/>
        </w:rPr>
        <w:t>复垦责任范围土地权属表                                  单位：hm</w:t>
      </w:r>
      <w:r>
        <w:rPr>
          <w:rFonts w:hint="eastAsia"/>
          <w:vertAlign w:val="superscript"/>
        </w:rPr>
        <w:t>2</w:t>
      </w:r>
    </w:p>
    <w:tbl>
      <w:tblPr>
        <w:tblStyle w:val="88"/>
        <w:tblW w:w="14218" w:type="dxa"/>
        <w:tblInd w:w="0" w:type="dxa"/>
        <w:tblLayout w:type="fixed"/>
        <w:tblCellMar>
          <w:top w:w="0" w:type="dxa"/>
          <w:left w:w="108" w:type="dxa"/>
          <w:bottom w:w="0" w:type="dxa"/>
          <w:right w:w="108" w:type="dxa"/>
        </w:tblCellMar>
      </w:tblPr>
      <w:tblGrid>
        <w:gridCol w:w="374"/>
        <w:gridCol w:w="723"/>
        <w:gridCol w:w="692"/>
        <w:gridCol w:w="794"/>
        <w:gridCol w:w="862"/>
        <w:gridCol w:w="805"/>
        <w:gridCol w:w="967"/>
        <w:gridCol w:w="1009"/>
        <w:gridCol w:w="1007"/>
        <w:gridCol w:w="913"/>
        <w:gridCol w:w="1129"/>
        <w:gridCol w:w="981"/>
        <w:gridCol w:w="873"/>
        <w:gridCol w:w="953"/>
        <w:gridCol w:w="839"/>
        <w:gridCol w:w="1297"/>
      </w:tblGrid>
      <w:tr>
        <w:tblPrEx>
          <w:tblLayout w:type="fixed"/>
          <w:tblCellMar>
            <w:top w:w="0" w:type="dxa"/>
            <w:left w:w="108" w:type="dxa"/>
            <w:bottom w:w="0" w:type="dxa"/>
            <w:right w:w="108" w:type="dxa"/>
          </w:tblCellMar>
        </w:tblPrEx>
        <w:trPr>
          <w:trHeight w:val="285" w:hRule="atLeast"/>
        </w:trPr>
        <w:tc>
          <w:tcPr>
            <w:tcW w:w="3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序号</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项目</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权属单位</w:t>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权属性质</w:t>
            </w:r>
          </w:p>
        </w:tc>
        <w:tc>
          <w:tcPr>
            <w:tcW w:w="1033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用地类型</w:t>
            </w:r>
          </w:p>
        </w:tc>
        <w:tc>
          <w:tcPr>
            <w:tcW w:w="12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面积合计</w:t>
            </w:r>
          </w:p>
        </w:tc>
      </w:tr>
      <w:tr>
        <w:tblPrEx>
          <w:tblLayout w:type="fixed"/>
          <w:tblCellMar>
            <w:top w:w="0" w:type="dxa"/>
            <w:left w:w="108" w:type="dxa"/>
            <w:bottom w:w="0" w:type="dxa"/>
            <w:right w:w="108" w:type="dxa"/>
          </w:tblCellMar>
        </w:tblPrEx>
        <w:trPr>
          <w:trHeight w:val="495" w:hRule="atLeast"/>
        </w:trPr>
        <w:tc>
          <w:tcPr>
            <w:tcW w:w="3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耕地01</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园地02</w:t>
            </w:r>
          </w:p>
        </w:tc>
        <w:tc>
          <w:tcPr>
            <w:tcW w:w="19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林地03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草地04</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农业设施建设用地06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居住用地07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交通运输用地12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特殊用地15</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陆地水域17</w:t>
            </w:r>
          </w:p>
        </w:tc>
        <w:tc>
          <w:tcPr>
            <w:tcW w:w="12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495" w:hRule="atLeast"/>
        </w:trPr>
        <w:tc>
          <w:tcPr>
            <w:tcW w:w="3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水浇地0102</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果园0201</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乔木林地0301</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其他林地0304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其他草地0403</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农村道路0601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农村宅基地0703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采矿用地1002</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公路用地1202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其他特殊用地1507</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沟渠1705</w:t>
            </w:r>
          </w:p>
        </w:tc>
        <w:tc>
          <w:tcPr>
            <w:tcW w:w="12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507" w:hRule="atLeast"/>
        </w:trPr>
        <w:tc>
          <w:tcPr>
            <w:tcW w:w="3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1</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泽普县阿依库勒乡</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国有</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0.0669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0.0107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0.0222 </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0.0163 </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0.0132 </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0.5731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0.7024</w:t>
            </w:r>
          </w:p>
        </w:tc>
      </w:tr>
      <w:tr>
        <w:tblPrEx>
          <w:tblLayout w:type="fixed"/>
          <w:tblCellMar>
            <w:top w:w="0" w:type="dxa"/>
            <w:left w:w="108" w:type="dxa"/>
            <w:bottom w:w="0" w:type="dxa"/>
            <w:right w:w="108" w:type="dxa"/>
          </w:tblCellMar>
        </w:tblPrEx>
        <w:trPr>
          <w:trHeight w:val="285" w:hRule="atLeast"/>
        </w:trPr>
        <w:tc>
          <w:tcPr>
            <w:tcW w:w="3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集体</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0.3357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0.5998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0.2056 </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0.0001 </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0.0000 </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1.2099 </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0.0135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0.0094 </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0.0187 </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0.0476 </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1.2481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3.6884</w:t>
            </w:r>
          </w:p>
        </w:tc>
      </w:tr>
      <w:tr>
        <w:tblPrEx>
          <w:tblLayout w:type="fixed"/>
          <w:tblCellMar>
            <w:top w:w="0" w:type="dxa"/>
            <w:left w:w="108" w:type="dxa"/>
            <w:bottom w:w="0" w:type="dxa"/>
            <w:right w:w="108" w:type="dxa"/>
          </w:tblCellMar>
        </w:tblPrEx>
        <w:trPr>
          <w:trHeight w:val="462" w:hRule="atLeast"/>
        </w:trPr>
        <w:tc>
          <w:tcPr>
            <w:tcW w:w="25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合计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0.4026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0.6105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0.2056 </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0.0223 </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0.0163 </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1.2099 </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0.0135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0.0094 </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0.0319 </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0.0476 </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 xml:space="preserve">1.8212 </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r>
    </w:tbl>
    <w:p>
      <w:pPr>
        <w:widowControl/>
        <w:snapToGrid w:val="0"/>
        <w:spacing w:line="240" w:lineRule="auto"/>
        <w:ind w:firstLine="0" w:firstLineChars="0"/>
        <w:jc w:val="center"/>
        <w:rPr>
          <w:kern w:val="0"/>
          <w:sz w:val="21"/>
          <w:szCs w:val="21"/>
          <w:lang w:bidi="ar"/>
        </w:rPr>
      </w:pPr>
    </w:p>
    <w:p>
      <w:pPr>
        <w:ind w:firstLine="480"/>
      </w:pPr>
      <w:r>
        <w:rPr>
          <w:rFonts w:hint="eastAsia"/>
        </w:rPr>
        <w:br w:type="page"/>
      </w:r>
    </w:p>
    <w:p>
      <w:pPr>
        <w:pStyle w:val="5"/>
        <w:sectPr>
          <w:type w:val="continuous"/>
          <w:pgSz w:w="16838" w:h="11906" w:orient="landscape"/>
          <w:pgMar w:top="1247" w:right="1418" w:bottom="1247" w:left="1418" w:header="851" w:footer="992" w:gutter="340"/>
          <w:cols w:space="720" w:num="1"/>
          <w:docGrid w:type="linesAndChars" w:linePitch="312" w:charSpace="0"/>
        </w:sectPr>
      </w:pPr>
      <w:bookmarkStart w:id="591" w:name="_Toc116061635"/>
      <w:bookmarkStart w:id="592" w:name="_Toc18859"/>
      <w:bookmarkStart w:id="593" w:name="_Toc485310642"/>
      <w:bookmarkStart w:id="594" w:name="_Toc19787"/>
    </w:p>
    <w:p>
      <w:pPr>
        <w:pStyle w:val="5"/>
      </w:pPr>
      <w:bookmarkStart w:id="595" w:name="_Toc18138"/>
      <w:r>
        <w:t>5</w:t>
      </w:r>
      <w:r>
        <w:rPr>
          <w:rFonts w:hint="eastAsia"/>
        </w:rPr>
        <w:t>土地复垦方向可行性分析</w:t>
      </w:r>
      <w:bookmarkEnd w:id="591"/>
      <w:bookmarkEnd w:id="592"/>
      <w:bookmarkEnd w:id="593"/>
      <w:bookmarkEnd w:id="594"/>
      <w:bookmarkEnd w:id="595"/>
    </w:p>
    <w:p>
      <w:pPr>
        <w:pStyle w:val="6"/>
      </w:pPr>
      <w:bookmarkStart w:id="596" w:name="_Toc1492"/>
      <w:bookmarkStart w:id="597" w:name="_Toc25831"/>
      <w:bookmarkStart w:id="598" w:name="_Toc26577"/>
      <w:bookmarkStart w:id="599" w:name="_Toc485310643"/>
      <w:bookmarkStart w:id="600" w:name="_Toc116061636"/>
      <w:r>
        <w:t>5.1</w:t>
      </w:r>
      <w:r>
        <w:rPr>
          <w:rFonts w:hint="eastAsia"/>
        </w:rPr>
        <w:t>土地复垦适宜性评价</w:t>
      </w:r>
      <w:bookmarkEnd w:id="596"/>
      <w:bookmarkEnd w:id="597"/>
      <w:bookmarkEnd w:id="598"/>
      <w:bookmarkEnd w:id="599"/>
      <w:bookmarkEnd w:id="600"/>
    </w:p>
    <w:p>
      <w:pPr>
        <w:pStyle w:val="7"/>
      </w:pPr>
      <w:bookmarkStart w:id="601" w:name="_Toc16682"/>
      <w:bookmarkStart w:id="602" w:name="_Toc116061637"/>
      <w:bookmarkStart w:id="603" w:name="_Toc276674130"/>
      <w:r>
        <w:t>5.1.1</w:t>
      </w:r>
      <w:r>
        <w:rPr>
          <w:rFonts w:hint="eastAsia"/>
        </w:rPr>
        <w:t>评价原则</w:t>
      </w:r>
      <w:bookmarkEnd w:id="601"/>
      <w:bookmarkEnd w:id="602"/>
      <w:bookmarkEnd w:id="603"/>
    </w:p>
    <w:p>
      <w:pPr>
        <w:ind w:firstLine="480"/>
      </w:pPr>
      <w:r>
        <w:rPr>
          <w:rFonts w:hint="eastAsia"/>
        </w:rPr>
        <w:t>a）尽量与原（或周边）土地利用类型或国土空间规划相一致的原则。在确定土地复垦方向时应尽量与原（或周边）土地利用类型或国土空间规划保持一致，恢复土地的原利用功能，保持与国土空间规划相统一。</w:t>
      </w:r>
    </w:p>
    <w:p>
      <w:pPr>
        <w:ind w:firstLine="480"/>
      </w:pPr>
      <w:r>
        <w:rPr>
          <w:rFonts w:hint="eastAsia"/>
        </w:rPr>
        <w:t>b）简约的原则。遵循“与原（或周边）土地利用现状保持一致，节约有效利用资源”的原则，适当简化土地复垦适宜性评价过程、内容等。</w:t>
      </w:r>
    </w:p>
    <w:p>
      <w:pPr>
        <w:ind w:firstLine="480"/>
      </w:pPr>
      <w:r>
        <w:rPr>
          <w:rFonts w:hint="eastAsia"/>
        </w:rPr>
        <w:t>c）主导因素为主的原则。影响待复垦土地利用方向的因素很多，包括自然条件、土壤性质、原利用类型、损毁状况、灌排条件及社会需求等方面，但各种因素对土地复垦利用的影响程度不同，应选择其中的主导因素作为评价的主要依据。</w:t>
      </w:r>
    </w:p>
    <w:p>
      <w:pPr>
        <w:ind w:firstLine="480"/>
      </w:pPr>
      <w:r>
        <w:rPr>
          <w:rFonts w:hint="eastAsia"/>
        </w:rPr>
        <w:t>d）因地制宜，农用地优先原则。在评价被损毁土地复垦适宜性时，应当分别根据所评价土地的生态环境特征和配套设施等具体条件确定其利用方向，在尊重权利人意愿的基础上，宜农则农、宜林则林、宜牧则牧。在可能的情况下，一般原农业用地仍然优先考虑复垦为农业用地。</w:t>
      </w:r>
    </w:p>
    <w:p>
      <w:pPr>
        <w:ind w:firstLine="480"/>
      </w:pPr>
      <w:r>
        <w:rPr>
          <w:rFonts w:hint="eastAsia"/>
        </w:rPr>
        <w:t>e）符合土地总体规划，并与其他规划等相协调的原则。在确定待复垦土地适宜性时，不仅要考虑被评价土地的自然条件和损毁状况，还应考虑区域性的国土空间规划和农业规划等，统筹考虑本地区的社会经济和的生产建设发展。</w:t>
      </w:r>
    </w:p>
    <w:p>
      <w:pPr>
        <w:pStyle w:val="7"/>
      </w:pPr>
      <w:bookmarkStart w:id="604" w:name="_Toc116061638"/>
      <w:bookmarkStart w:id="605" w:name="_Toc4242"/>
      <w:r>
        <w:t>5.1.2</w:t>
      </w:r>
      <w:r>
        <w:rPr>
          <w:rFonts w:hint="eastAsia"/>
        </w:rPr>
        <w:t>评价依据</w:t>
      </w:r>
      <w:bookmarkEnd w:id="604"/>
      <w:bookmarkEnd w:id="605"/>
    </w:p>
    <w:p>
      <w:pPr>
        <w:ind w:firstLine="480"/>
      </w:pPr>
      <w:r>
        <w:rPr>
          <w:rFonts w:hint="eastAsia"/>
        </w:rPr>
        <w:t>本项目土地复垦适宜性评价是在详细调查喀什地区泽普县供水城乡一体化建设工程（泽普县农村规模化供水管道连通工程）临时用地土地损毁状况和损毁后土地的自然条件基础上，参考土地损毁程度分析结果，依据国家和地方的规划和行业标准，结合项目区所在地其他项目区的复垦经验，采取切实可行的方法，改善被损毁土地的生态环境，确定损毁土地复垦方向。其主要依据包括：</w:t>
      </w:r>
    </w:p>
    <w:p>
      <w:pPr>
        <w:ind w:firstLine="480"/>
      </w:pPr>
      <w:r>
        <w:rPr>
          <w:rFonts w:hint="eastAsia"/>
        </w:rPr>
        <w:t>a）土地复垦的相关规程和标准</w:t>
      </w:r>
    </w:p>
    <w:p>
      <w:pPr>
        <w:ind w:firstLine="480"/>
      </w:pPr>
      <w:r>
        <w:rPr>
          <w:rFonts w:hint="eastAsia"/>
        </w:rPr>
        <w:t>包括《土地复垦方案编制规程》（2011）、《土地复垦质量控制标准》（2013）、新疆维吾尔自治区土地复垦标准和实施办法等。</w:t>
      </w:r>
    </w:p>
    <w:p>
      <w:pPr>
        <w:ind w:firstLine="480"/>
      </w:pPr>
      <w:r>
        <w:rPr>
          <w:rFonts w:hint="eastAsia"/>
        </w:rPr>
        <w:t>b）土地利用的相关规划</w:t>
      </w:r>
    </w:p>
    <w:p>
      <w:pPr>
        <w:ind w:firstLine="480"/>
      </w:pPr>
      <w:r>
        <w:rPr>
          <w:rFonts w:hint="eastAsia"/>
        </w:rPr>
        <w:t>包括《新疆维吾尔自治区国土空间总体规划（2021-2035年）》、《喀什地区国土空间总体规划（2021-2035年）》及《新疆维吾尔自治区生态功能区划》等。</w:t>
      </w:r>
    </w:p>
    <w:p>
      <w:pPr>
        <w:ind w:firstLine="480"/>
      </w:pPr>
      <w:r>
        <w:rPr>
          <w:rFonts w:hint="eastAsia"/>
        </w:rPr>
        <w:t>c）其他</w:t>
      </w:r>
    </w:p>
    <w:p>
      <w:pPr>
        <w:ind w:firstLine="480"/>
      </w:pPr>
      <w:r>
        <w:rPr>
          <w:rFonts w:hint="eastAsia"/>
        </w:rPr>
        <w:t>包括复垦区土地损毁程度分析结果、项目区土地资源调查资料和项目周边水利项目复垦案例的调查资料等。</w:t>
      </w:r>
    </w:p>
    <w:p>
      <w:pPr>
        <w:pStyle w:val="7"/>
      </w:pPr>
      <w:bookmarkStart w:id="606" w:name="_Toc19826"/>
      <w:bookmarkStart w:id="607" w:name="_Toc116061639"/>
      <w:r>
        <w:t>5.1.3</w:t>
      </w:r>
      <w:r>
        <w:rPr>
          <w:rFonts w:hint="eastAsia"/>
        </w:rPr>
        <w:t>项目适宜性评价的特殊性</w:t>
      </w:r>
      <w:bookmarkEnd w:id="606"/>
      <w:bookmarkEnd w:id="607"/>
    </w:p>
    <w:p>
      <w:pPr>
        <w:ind w:firstLine="480"/>
      </w:pPr>
      <w:r>
        <w:rPr>
          <w:rFonts w:hint="eastAsia"/>
        </w:rPr>
        <w:t>项目范围较大，用地点多、面广，对土地损毁程度较小。因此，建设项目的适宜性评价与一般土地复垦适宜性评价存在差异性，具有特殊性。</w:t>
      </w:r>
    </w:p>
    <w:p>
      <w:pPr>
        <w:ind w:firstLine="480"/>
      </w:pPr>
      <w:r>
        <w:rPr>
          <w:rFonts w:hint="eastAsia"/>
        </w:rPr>
        <w:t>a）评价标准难以确定。由于建设项目的跨度较大，面广，很难确定一套或几套适合全部项目区的评价标准。</w:t>
      </w:r>
    </w:p>
    <w:p>
      <w:pPr>
        <w:ind w:firstLine="480"/>
      </w:pPr>
      <w:r>
        <w:rPr>
          <w:rFonts w:hint="eastAsia"/>
        </w:rPr>
        <w:t>b）评价指标难以选择。项目区范围较大，不同地区限制其土地利用的因素有所不同，很难选择恰当的主导因素。</w:t>
      </w:r>
    </w:p>
    <w:p>
      <w:pPr>
        <w:pStyle w:val="7"/>
      </w:pPr>
      <w:bookmarkStart w:id="608" w:name="_Toc20087"/>
      <w:bookmarkStart w:id="609" w:name="_Toc116061640"/>
      <w:r>
        <w:t>5.1.4</w:t>
      </w:r>
      <w:r>
        <w:rPr>
          <w:rFonts w:hint="eastAsia"/>
        </w:rPr>
        <w:t>评价范围</w:t>
      </w:r>
      <w:bookmarkEnd w:id="608"/>
      <w:bookmarkEnd w:id="609"/>
    </w:p>
    <w:p>
      <w:pPr>
        <w:ind w:firstLine="480"/>
      </w:pPr>
      <w:r>
        <w:rPr>
          <w:rFonts w:hint="eastAsia"/>
        </w:rPr>
        <w:t>本方案复垦适宜性评价范围为复垦责任范围，为项目临时用地构成的区域，总面积约4.3908hm</w:t>
      </w:r>
      <w:r>
        <w:rPr>
          <w:rFonts w:hint="eastAsia"/>
          <w:vertAlign w:val="superscript"/>
        </w:rPr>
        <w:t>2</w:t>
      </w:r>
      <w:r>
        <w:rPr>
          <w:rFonts w:hint="eastAsia"/>
        </w:rPr>
        <w:t>。土地损毁形式为挖损。损毁土地利用类型包括：水浇地，果园，乔木林地，其他林地，其他草地，农村道路，农村宅基地，采矿用地，公路用地，其他特殊用地，沟渠等共11种土地利用类型。</w:t>
      </w:r>
    </w:p>
    <w:p>
      <w:pPr>
        <w:pStyle w:val="7"/>
      </w:pPr>
      <w:bookmarkStart w:id="610" w:name="_Toc116061641"/>
      <w:bookmarkStart w:id="611" w:name="_Toc14766"/>
      <w:bookmarkStart w:id="612" w:name="_Toc306959664"/>
      <w:r>
        <w:t>5.1.5</w:t>
      </w:r>
      <w:r>
        <w:rPr>
          <w:rFonts w:hint="eastAsia"/>
        </w:rPr>
        <w:t>评价单元的划分</w:t>
      </w:r>
      <w:bookmarkEnd w:id="610"/>
      <w:bookmarkEnd w:id="611"/>
      <w:bookmarkEnd w:id="612"/>
    </w:p>
    <w:p>
      <w:pPr>
        <w:ind w:firstLine="480"/>
      </w:pPr>
      <w:r>
        <w:rPr>
          <w:rFonts w:hint="eastAsia"/>
        </w:rPr>
        <w:t>评价单元是进行土地适宜性评价的基本空间单位，同一评价单元内土地的基本属性、土地特征、土地复垦利用方向和改良途径应基本一致，同时评价单元之间具有一定差异性，能客观反映出土地在一定时期和空间上的差异。评价单元恰当与否直接关系到土地适宜性评价的质量、复垦工程量的大小和复垦效果的好坏。</w:t>
      </w:r>
    </w:p>
    <w:p>
      <w:pPr>
        <w:ind w:firstLine="480"/>
      </w:pPr>
      <w:r>
        <w:rPr>
          <w:rFonts w:hint="eastAsia"/>
        </w:rPr>
        <w:t>按照项目区设施的损毁类型和损毁程度，将项目区临时用地划分为1个一级评价单元，根据一级评价单元损毁的土地利用类型情况，划分为10个二级评价单元（表</w:t>
      </w:r>
      <w:r>
        <w:t>5.1.5-1</w:t>
      </w:r>
      <w:r>
        <w:rPr>
          <w:rFonts w:hint="eastAsia"/>
        </w:rPr>
        <w:t>）。</w:t>
      </w:r>
    </w:p>
    <w:p>
      <w:pPr>
        <w:pStyle w:val="291"/>
        <w:wordWrap w:val="0"/>
      </w:pPr>
    </w:p>
    <w:p>
      <w:pPr>
        <w:pStyle w:val="291"/>
        <w:wordWrap w:val="0"/>
      </w:pPr>
    </w:p>
    <w:p>
      <w:pPr>
        <w:pStyle w:val="291"/>
        <w:wordWrap w:val="0"/>
      </w:pPr>
    </w:p>
    <w:p>
      <w:pPr>
        <w:pStyle w:val="291"/>
        <w:wordWrap w:val="0"/>
      </w:pPr>
    </w:p>
    <w:p>
      <w:pPr>
        <w:pStyle w:val="291"/>
        <w:wordWrap w:val="0"/>
      </w:pPr>
      <w:r>
        <w:rPr>
          <w:rFonts w:hint="eastAsia"/>
        </w:rPr>
        <w:t>表</w:t>
      </w:r>
      <w:r>
        <w:t>5.1.5-1</w:t>
      </w:r>
      <w:r>
        <w:rPr>
          <w:rFonts w:hint="eastAsia"/>
        </w:rPr>
        <w:t>项目区临时用地土地复垦适宜性评价单元划分情况        单位：hm</w:t>
      </w:r>
      <w:r>
        <w:rPr>
          <w:rFonts w:hint="eastAsia"/>
          <w:vertAlign w:val="superscript"/>
        </w:rPr>
        <w:t>2</w:t>
      </w:r>
    </w:p>
    <w:tbl>
      <w:tblPr>
        <w:tblStyle w:val="88"/>
        <w:tblW w:w="907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746"/>
        <w:gridCol w:w="1978"/>
        <w:gridCol w:w="1294"/>
        <w:gridCol w:w="1185"/>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579" w:type="dxa"/>
            <w:shd w:val="clear" w:color="auto" w:fill="auto"/>
            <w:vAlign w:val="center"/>
          </w:tcPr>
          <w:p>
            <w:pPr>
              <w:widowControl/>
              <w:snapToGrid w:val="0"/>
              <w:spacing w:line="240" w:lineRule="auto"/>
              <w:ind w:firstLine="0" w:firstLineChars="0"/>
              <w:jc w:val="center"/>
              <w:rPr>
                <w:sz w:val="21"/>
                <w:szCs w:val="21"/>
              </w:rPr>
            </w:pPr>
            <w:bookmarkStart w:id="613" w:name="_Toc116061642"/>
            <w:bookmarkStart w:id="614" w:name="_Toc11688"/>
            <w:r>
              <w:rPr>
                <w:kern w:val="0"/>
                <w:sz w:val="21"/>
                <w:szCs w:val="21"/>
                <w:lang w:bidi="ar"/>
              </w:rPr>
              <w:t>一级评价单元</w:t>
            </w:r>
          </w:p>
        </w:tc>
        <w:tc>
          <w:tcPr>
            <w:tcW w:w="1746" w:type="dxa"/>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二级评价单元</w:t>
            </w:r>
          </w:p>
        </w:tc>
        <w:tc>
          <w:tcPr>
            <w:tcW w:w="1978"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原地类</w:t>
            </w:r>
          </w:p>
        </w:tc>
        <w:tc>
          <w:tcPr>
            <w:tcW w:w="1294"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损毁类型</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损毁程度</w:t>
            </w:r>
          </w:p>
        </w:tc>
        <w:tc>
          <w:tcPr>
            <w:tcW w:w="1292" w:type="dxa"/>
            <w:shd w:val="clear" w:color="auto" w:fill="auto"/>
            <w:noWrap/>
            <w:vAlign w:val="center"/>
          </w:tcPr>
          <w:p>
            <w:pPr>
              <w:widowControl/>
              <w:snapToGrid w:val="0"/>
              <w:spacing w:line="240" w:lineRule="auto"/>
              <w:ind w:firstLine="0" w:firstLineChars="0"/>
              <w:jc w:val="left"/>
              <w:rPr>
                <w:sz w:val="21"/>
                <w:szCs w:val="21"/>
              </w:rPr>
            </w:pPr>
            <w:r>
              <w:rPr>
                <w:kern w:val="0"/>
                <w:sz w:val="21"/>
                <w:szCs w:val="21"/>
                <w:lang w:bidi="ar"/>
              </w:rPr>
              <w:t>损毁面积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restart"/>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p>
            <w:pPr>
              <w:widowControl/>
              <w:snapToGrid w:val="0"/>
              <w:spacing w:line="240" w:lineRule="auto"/>
              <w:ind w:firstLine="0" w:firstLineChars="0"/>
              <w:jc w:val="center"/>
              <w:rPr>
                <w:kern w:val="0"/>
                <w:sz w:val="21"/>
                <w:szCs w:val="21"/>
                <w:lang w:bidi="ar"/>
              </w:rPr>
            </w:pPr>
          </w:p>
        </w:tc>
        <w:tc>
          <w:tcPr>
            <w:tcW w:w="1746"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r>
              <w:rPr>
                <w:kern w:val="0"/>
                <w:sz w:val="21"/>
                <w:szCs w:val="21"/>
                <w:lang w:bidi="ar"/>
              </w:rPr>
              <w:t>01</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r>
              <w:rPr>
                <w:kern w:val="0"/>
                <w:sz w:val="21"/>
                <w:szCs w:val="21"/>
                <w:lang w:bidi="ar"/>
              </w:rPr>
              <w:t>0102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r>
              <w:rPr>
                <w:kern w:val="0"/>
                <w:sz w:val="21"/>
                <w:szCs w:val="21"/>
                <w:lang w:bidi="ar"/>
              </w:rPr>
              <w:t>02</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r>
              <w:rPr>
                <w:kern w:val="0"/>
                <w:sz w:val="21"/>
                <w:szCs w:val="21"/>
                <w:lang w:bidi="ar"/>
              </w:rPr>
              <w:t>0201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vMerge w:val="restart"/>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林地03</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r>
              <w:rPr>
                <w:kern w:val="0"/>
                <w:sz w:val="21"/>
                <w:szCs w:val="21"/>
                <w:lang w:bidi="ar"/>
              </w:rPr>
              <w:t>0301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vMerge w:val="continue"/>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r>
              <w:rPr>
                <w:kern w:val="0"/>
                <w:sz w:val="21"/>
                <w:szCs w:val="21"/>
                <w:lang w:bidi="ar"/>
              </w:rPr>
              <w:t>0304</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r>
              <w:rPr>
                <w:kern w:val="0"/>
                <w:sz w:val="21"/>
                <w:szCs w:val="21"/>
                <w:lang w:bidi="ar"/>
              </w:rPr>
              <w:t>04</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r>
              <w:rPr>
                <w:kern w:val="0"/>
                <w:sz w:val="21"/>
                <w:szCs w:val="21"/>
                <w:lang w:bidi="ar"/>
              </w:rPr>
              <w:t>0403</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r>
              <w:rPr>
                <w:kern w:val="0"/>
                <w:sz w:val="21"/>
                <w:szCs w:val="21"/>
                <w:lang w:bidi="ar"/>
              </w:rPr>
              <w:t>06</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r>
              <w:rPr>
                <w:kern w:val="0"/>
                <w:sz w:val="21"/>
                <w:szCs w:val="21"/>
                <w:lang w:bidi="ar"/>
              </w:rPr>
              <w:t>0601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r>
              <w:rPr>
                <w:kern w:val="0"/>
                <w:sz w:val="21"/>
                <w:szCs w:val="21"/>
                <w:lang w:bidi="ar"/>
              </w:rPr>
              <w:t>07</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r>
              <w:rPr>
                <w:kern w:val="0"/>
                <w:sz w:val="21"/>
                <w:szCs w:val="21"/>
                <w:lang w:bidi="ar"/>
              </w:rPr>
              <w:t>0703</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r>
              <w:rPr>
                <w:kern w:val="0"/>
                <w:sz w:val="21"/>
                <w:szCs w:val="21"/>
                <w:lang w:bidi="ar"/>
              </w:rPr>
              <w:t>10</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r>
              <w:rPr>
                <w:kern w:val="0"/>
                <w:sz w:val="21"/>
                <w:szCs w:val="21"/>
                <w:lang w:bidi="ar"/>
              </w:rPr>
              <w:t>1002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r>
              <w:rPr>
                <w:kern w:val="0"/>
                <w:sz w:val="21"/>
                <w:szCs w:val="21"/>
                <w:lang w:bidi="ar"/>
              </w:rPr>
              <w:t>12</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r>
              <w:rPr>
                <w:kern w:val="0"/>
                <w:sz w:val="21"/>
                <w:szCs w:val="21"/>
                <w:lang w:bidi="ar"/>
              </w:rPr>
              <w:t>1202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r>
              <w:rPr>
                <w:kern w:val="0"/>
                <w:sz w:val="21"/>
                <w:szCs w:val="21"/>
                <w:lang w:bidi="ar"/>
              </w:rPr>
              <w:t>15</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r>
              <w:rPr>
                <w:kern w:val="0"/>
                <w:sz w:val="21"/>
                <w:szCs w:val="21"/>
                <w:lang w:bidi="ar"/>
              </w:rPr>
              <w:t>1507</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r>
              <w:rPr>
                <w:kern w:val="0"/>
                <w:sz w:val="21"/>
                <w:szCs w:val="21"/>
                <w:lang w:bidi="ar"/>
              </w:rPr>
              <w:t>17</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r>
              <w:rPr>
                <w:kern w:val="0"/>
                <w:sz w:val="21"/>
                <w:szCs w:val="21"/>
                <w:lang w:bidi="ar"/>
              </w:rPr>
              <w:t>1705</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r>
    </w:tbl>
    <w:p>
      <w:pPr>
        <w:pStyle w:val="7"/>
      </w:pPr>
      <w:r>
        <w:t>5.1.6</w:t>
      </w:r>
      <w:r>
        <w:rPr>
          <w:rFonts w:hint="eastAsia"/>
        </w:rPr>
        <w:t>评价方法</w:t>
      </w:r>
      <w:bookmarkEnd w:id="613"/>
      <w:bookmarkEnd w:id="614"/>
    </w:p>
    <w:p>
      <w:pPr>
        <w:ind w:firstLine="480"/>
      </w:pPr>
      <w:r>
        <w:rPr>
          <w:rFonts w:hint="eastAsia"/>
        </w:rPr>
        <w:t>根据《土地复垦方案编制规程第5部分：建设项目》（TD/T1031.5-2011）中对建设项目土地复垦适宜性评价的相关说明，建设项目土地复垦方案中的土地复垦适宜性评价在评价过程、内容及要求等方面可以适当简化。因此，本项目复垦适宜性评价采用综合定性分析方法，首先通过土地国家政策与地方规划、公众参与、当地社会经济条件、限制性因素等因子分析初步确定土地复垦方向，然后对待复垦土地适宜性评价单元的原地类或周边同类型地类的土地基本特征参数进行比较分析，综合分析复垦为原地类的可行性，因地制宜的确定其最终复垦方向。</w:t>
      </w:r>
    </w:p>
    <w:p>
      <w:pPr>
        <w:ind w:firstLine="480"/>
      </w:pPr>
      <w:r>
        <w:rPr>
          <w:rFonts w:hint="eastAsia"/>
        </w:rPr>
        <w:t>表</w:t>
      </w:r>
      <w:r>
        <w:t>5.1.6-1</w:t>
      </w:r>
      <w:r>
        <w:rPr>
          <w:rFonts w:hint="eastAsia"/>
        </w:rPr>
        <w:t>项目区土地适宜性评价单元原地类或周边同类型土地基本特征参数情况</w:t>
      </w:r>
    </w:p>
    <w:tbl>
      <w:tblPr>
        <w:tblStyle w:val="88"/>
        <w:tblW w:w="907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914"/>
        <w:gridCol w:w="1034"/>
        <w:gridCol w:w="1001"/>
        <w:gridCol w:w="1076"/>
        <w:gridCol w:w="915"/>
        <w:gridCol w:w="786"/>
        <w:gridCol w:w="977"/>
        <w:gridCol w:w="786"/>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blHeader/>
        </w:trPr>
        <w:tc>
          <w:tcPr>
            <w:tcW w:w="881" w:type="dxa"/>
            <w:vMerge w:val="restart"/>
            <w:shd w:val="clear" w:color="auto" w:fill="auto"/>
            <w:vAlign w:val="center"/>
          </w:tcPr>
          <w:p>
            <w:pPr>
              <w:widowControl/>
              <w:snapToGrid w:val="0"/>
              <w:spacing w:line="240" w:lineRule="auto"/>
              <w:ind w:firstLine="0" w:firstLineChars="0"/>
              <w:jc w:val="center"/>
              <w:rPr>
                <w:sz w:val="21"/>
                <w:szCs w:val="21"/>
              </w:rPr>
            </w:pPr>
            <w:bookmarkStart w:id="615" w:name="_Toc116061643"/>
            <w:bookmarkStart w:id="616" w:name="_Toc28553"/>
            <w:r>
              <w:rPr>
                <w:kern w:val="0"/>
                <w:sz w:val="21"/>
                <w:szCs w:val="21"/>
                <w:lang w:bidi="ar"/>
              </w:rPr>
              <w:t>一级评价单元</w:t>
            </w:r>
          </w:p>
        </w:tc>
        <w:tc>
          <w:tcPr>
            <w:tcW w:w="914" w:type="dxa"/>
            <w:vMerge w:val="restart"/>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二级评价单元</w:t>
            </w:r>
          </w:p>
        </w:tc>
        <w:tc>
          <w:tcPr>
            <w:tcW w:w="1034" w:type="dxa"/>
            <w:vMerge w:val="restart"/>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原地类</w:t>
            </w:r>
          </w:p>
        </w:tc>
        <w:tc>
          <w:tcPr>
            <w:tcW w:w="6247" w:type="dxa"/>
            <w:gridSpan w:val="7"/>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原地类的土地基本特征参数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blHeader/>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vMerge w:val="continue"/>
            <w:shd w:val="clear" w:color="auto" w:fill="auto"/>
            <w:vAlign w:val="center"/>
          </w:tcPr>
          <w:p>
            <w:pPr>
              <w:widowControl/>
              <w:snapToGrid w:val="0"/>
              <w:spacing w:line="240" w:lineRule="auto"/>
              <w:ind w:firstLine="0" w:firstLineChars="0"/>
              <w:jc w:val="center"/>
              <w:rPr>
                <w:sz w:val="21"/>
                <w:szCs w:val="21"/>
              </w:rPr>
            </w:pPr>
          </w:p>
        </w:tc>
        <w:tc>
          <w:tcPr>
            <w:tcW w:w="1034"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001"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有机质含量</w:t>
            </w:r>
          </w:p>
        </w:tc>
        <w:tc>
          <w:tcPr>
            <w:tcW w:w="1076"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砾石含量</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有效土层厚度</w:t>
            </w:r>
          </w:p>
        </w:tc>
        <w:tc>
          <w:tcPr>
            <w:tcW w:w="786" w:type="dxa"/>
            <w:vMerge w:val="restart"/>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土壤质地</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w:t>
            </w:r>
          </w:p>
          <w:p>
            <w:pPr>
              <w:widowControl/>
              <w:snapToGrid w:val="0"/>
              <w:spacing w:line="240" w:lineRule="auto"/>
              <w:ind w:firstLine="0" w:firstLineChars="0"/>
              <w:jc w:val="center"/>
              <w:rPr>
                <w:sz w:val="21"/>
                <w:szCs w:val="21"/>
              </w:rPr>
            </w:pPr>
            <w:r>
              <w:rPr>
                <w:kern w:val="0"/>
                <w:sz w:val="21"/>
                <w:szCs w:val="21"/>
                <w:lang w:bidi="ar"/>
              </w:rPr>
              <w:t>容重</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覆盖度</w:t>
            </w:r>
          </w:p>
        </w:tc>
        <w:tc>
          <w:tcPr>
            <w:tcW w:w="706" w:type="dxa"/>
            <w:vMerge w:val="restart"/>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郁闭度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blHeader/>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vMerge w:val="continue"/>
            <w:shd w:val="clear" w:color="auto" w:fill="auto"/>
            <w:vAlign w:val="center"/>
          </w:tcPr>
          <w:p>
            <w:pPr>
              <w:widowControl/>
              <w:snapToGrid w:val="0"/>
              <w:spacing w:line="240" w:lineRule="auto"/>
              <w:ind w:firstLine="0" w:firstLineChars="0"/>
              <w:jc w:val="center"/>
              <w:rPr>
                <w:sz w:val="21"/>
                <w:szCs w:val="21"/>
              </w:rPr>
            </w:pPr>
          </w:p>
        </w:tc>
        <w:tc>
          <w:tcPr>
            <w:tcW w:w="1034"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001"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g/kg</w:t>
            </w:r>
          </w:p>
        </w:tc>
        <w:tc>
          <w:tcPr>
            <w:tcW w:w="1076"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cm</w:t>
            </w:r>
          </w:p>
        </w:tc>
        <w:tc>
          <w:tcPr>
            <w:tcW w:w="786" w:type="dxa"/>
            <w:vMerge w:val="continue"/>
            <w:shd w:val="clear" w:color="auto" w:fill="auto"/>
            <w:vAlign w:val="center"/>
          </w:tcPr>
          <w:p>
            <w:pPr>
              <w:widowControl/>
              <w:snapToGrid w:val="0"/>
              <w:spacing w:line="240" w:lineRule="auto"/>
              <w:ind w:firstLine="0" w:firstLineChars="0"/>
              <w:jc w:val="center"/>
              <w:rPr>
                <w:sz w:val="21"/>
                <w:szCs w:val="21"/>
              </w:rPr>
            </w:pPr>
          </w:p>
        </w:tc>
        <w:tc>
          <w:tcPr>
            <w:tcW w:w="977"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g/cm</w:t>
            </w:r>
            <w:r>
              <w:rPr>
                <w:kern w:val="0"/>
                <w:sz w:val="21"/>
                <w:szCs w:val="21"/>
                <w:vertAlign w:val="superscript"/>
                <w:lang w:bidi="ar"/>
              </w:rPr>
              <w:t>3</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w:t>
            </w:r>
          </w:p>
        </w:tc>
        <w:tc>
          <w:tcPr>
            <w:tcW w:w="706" w:type="dxa"/>
            <w:vMerge w:val="continue"/>
            <w:shd w:val="clear" w:color="auto" w:fill="auto"/>
            <w:noWrap/>
            <w:vAlign w:val="center"/>
          </w:tcPr>
          <w:p>
            <w:pPr>
              <w:widowControl/>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81" w:type="dxa"/>
            <w:vMerge w:val="restart"/>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供水管线用地</w:t>
            </w:r>
          </w:p>
        </w:tc>
        <w:tc>
          <w:tcPr>
            <w:tcW w:w="91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耕地</w:t>
            </w:r>
            <w:r>
              <w:rPr>
                <w:kern w:val="0"/>
                <w:sz w:val="21"/>
                <w:szCs w:val="21"/>
                <w:lang w:bidi="ar"/>
              </w:rPr>
              <w:t>01</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水浇地</w:t>
            </w:r>
            <w:r>
              <w:rPr>
                <w:kern w:val="0"/>
                <w:sz w:val="21"/>
                <w:szCs w:val="21"/>
                <w:lang w:bidi="ar"/>
              </w:rPr>
              <w:t>0102</w:t>
            </w:r>
          </w:p>
        </w:tc>
        <w:tc>
          <w:tcPr>
            <w:tcW w:w="1001"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bidi="ar"/>
              </w:rPr>
              <w:t>10</w:t>
            </w:r>
          </w:p>
        </w:tc>
        <w:tc>
          <w:tcPr>
            <w:tcW w:w="107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≤20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≥50</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潮土</w:t>
            </w:r>
          </w:p>
        </w:tc>
        <w:tc>
          <w:tcPr>
            <w:tcW w:w="977"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≤1.45</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园地</w:t>
            </w:r>
            <w:r>
              <w:rPr>
                <w:kern w:val="0"/>
                <w:sz w:val="21"/>
                <w:szCs w:val="21"/>
                <w:lang w:bidi="ar"/>
              </w:rPr>
              <w:t>02</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果园</w:t>
            </w:r>
            <w:r>
              <w:rPr>
                <w:kern w:val="0"/>
                <w:sz w:val="21"/>
                <w:szCs w:val="21"/>
                <w:lang w:bidi="ar"/>
              </w:rPr>
              <w:t>0201</w:t>
            </w:r>
          </w:p>
        </w:tc>
        <w:tc>
          <w:tcPr>
            <w:tcW w:w="1001"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bidi="ar"/>
              </w:rPr>
              <w:t>10</w:t>
            </w:r>
          </w:p>
        </w:tc>
        <w:tc>
          <w:tcPr>
            <w:tcW w:w="107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≤20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val="en-US" w:eastAsia="zh-CN" w:bidi="ar"/>
              </w:rPr>
              <w:t>2</w:t>
            </w:r>
            <w:r>
              <w:rPr>
                <w:color w:val="000000"/>
                <w:kern w:val="0"/>
                <w:sz w:val="21"/>
                <w:szCs w:val="21"/>
                <w:lang w:bidi="ar"/>
              </w:rPr>
              <w:t>0</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潮土</w:t>
            </w:r>
          </w:p>
        </w:tc>
        <w:tc>
          <w:tcPr>
            <w:tcW w:w="977"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≤1.45</w:t>
            </w:r>
          </w:p>
        </w:tc>
        <w:tc>
          <w:tcPr>
            <w:tcW w:w="78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vMerge w:val="restart"/>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林地03</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乔木林地</w:t>
            </w:r>
            <w:r>
              <w:rPr>
                <w:kern w:val="0"/>
                <w:sz w:val="21"/>
                <w:szCs w:val="21"/>
                <w:lang w:bidi="ar"/>
              </w:rPr>
              <w:t>0301</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r>
              <w:rPr>
                <w:color w:val="000000"/>
                <w:kern w:val="0"/>
                <w:sz w:val="21"/>
                <w:szCs w:val="21"/>
                <w:lang w:bidi="ar"/>
              </w:rPr>
              <w:t>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bidi="ar"/>
              </w:rPr>
              <w:t>20</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30</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vMerge w:val="continue"/>
            <w:shd w:val="clear" w:color="auto" w:fill="auto"/>
            <w:noWrap/>
            <w:vAlign w:val="center"/>
          </w:tcPr>
          <w:p>
            <w:pPr>
              <w:widowControl/>
              <w:snapToGrid w:val="0"/>
              <w:spacing w:line="240" w:lineRule="auto"/>
              <w:ind w:firstLine="0" w:firstLineChars="0"/>
              <w:jc w:val="center"/>
              <w:rPr>
                <w:sz w:val="21"/>
                <w:szCs w:val="21"/>
              </w:rPr>
            </w:pP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其他林地</w:t>
            </w:r>
            <w:r>
              <w:rPr>
                <w:kern w:val="0"/>
                <w:sz w:val="21"/>
                <w:szCs w:val="21"/>
                <w:lang w:bidi="ar"/>
              </w:rPr>
              <w:t>0304</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r>
              <w:rPr>
                <w:color w:val="000000"/>
                <w:kern w:val="0"/>
                <w:sz w:val="21"/>
                <w:szCs w:val="21"/>
                <w:lang w:bidi="ar"/>
              </w:rPr>
              <w:t>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bidi="ar"/>
              </w:rPr>
              <w:t>20</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30</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草地</w:t>
            </w:r>
            <w:r>
              <w:rPr>
                <w:kern w:val="0"/>
                <w:sz w:val="21"/>
                <w:szCs w:val="21"/>
                <w:lang w:bidi="ar"/>
              </w:rPr>
              <w:t>04</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其他草地</w:t>
            </w:r>
            <w:r>
              <w:rPr>
                <w:kern w:val="0"/>
                <w:sz w:val="21"/>
                <w:szCs w:val="21"/>
                <w:lang w:bidi="ar"/>
              </w:rPr>
              <w:t>0403</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w:t>
            </w:r>
            <w:r>
              <w:rPr>
                <w:color w:val="000000"/>
                <w:kern w:val="0"/>
                <w:sz w:val="21"/>
                <w:szCs w:val="21"/>
                <w:lang w:bidi="ar"/>
              </w:rPr>
              <w:t>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r>
              <w:rPr>
                <w:rFonts w:hint="eastAsia"/>
                <w:color w:val="000000"/>
                <w:kern w:val="0"/>
                <w:sz w:val="21"/>
                <w:szCs w:val="21"/>
                <w:lang w:bidi="ar"/>
              </w:rPr>
              <w:t>20</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r>
              <w:rPr>
                <w:rFonts w:hint="eastAsia"/>
                <w:color w:val="000000"/>
                <w:kern w:val="0"/>
                <w:sz w:val="21"/>
                <w:szCs w:val="21"/>
                <w:lang w:bidi="ar"/>
              </w:rPr>
              <w:t>30</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农业设施建设用地</w:t>
            </w:r>
            <w:r>
              <w:rPr>
                <w:kern w:val="0"/>
                <w:sz w:val="21"/>
                <w:szCs w:val="21"/>
                <w:lang w:bidi="ar"/>
              </w:rPr>
              <w:t>06</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农村道路</w:t>
            </w:r>
            <w:r>
              <w:rPr>
                <w:kern w:val="0"/>
                <w:sz w:val="21"/>
                <w:szCs w:val="21"/>
                <w:lang w:bidi="ar"/>
              </w:rPr>
              <w:t>0601</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≤30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居住用地</w:t>
            </w:r>
            <w:r>
              <w:rPr>
                <w:kern w:val="0"/>
                <w:sz w:val="21"/>
                <w:szCs w:val="21"/>
                <w:lang w:bidi="ar"/>
              </w:rPr>
              <w:t>07</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农村宅基地</w:t>
            </w:r>
            <w:r>
              <w:rPr>
                <w:kern w:val="0"/>
                <w:sz w:val="21"/>
                <w:szCs w:val="21"/>
                <w:lang w:bidi="ar"/>
              </w:rPr>
              <w:t>0703</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≤30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工矿用地</w:t>
            </w:r>
            <w:r>
              <w:rPr>
                <w:kern w:val="0"/>
                <w:sz w:val="21"/>
                <w:szCs w:val="21"/>
                <w:lang w:bidi="ar"/>
              </w:rPr>
              <w:t>10</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采矿用地</w:t>
            </w:r>
            <w:r>
              <w:rPr>
                <w:kern w:val="0"/>
                <w:sz w:val="21"/>
                <w:szCs w:val="21"/>
                <w:lang w:bidi="ar"/>
              </w:rPr>
              <w:t>1002</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≤30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交通运输用地</w:t>
            </w:r>
            <w:r>
              <w:rPr>
                <w:kern w:val="0"/>
                <w:sz w:val="21"/>
                <w:szCs w:val="21"/>
                <w:lang w:bidi="ar"/>
              </w:rPr>
              <w:t>12</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公路用地</w:t>
            </w:r>
            <w:r>
              <w:rPr>
                <w:kern w:val="0"/>
                <w:sz w:val="21"/>
                <w:szCs w:val="21"/>
                <w:lang w:bidi="ar"/>
              </w:rPr>
              <w:t>1202</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特殊用地</w:t>
            </w:r>
            <w:r>
              <w:rPr>
                <w:kern w:val="0"/>
                <w:sz w:val="21"/>
                <w:szCs w:val="21"/>
                <w:lang w:bidi="ar"/>
              </w:rPr>
              <w:t>15</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其他特殊用地</w:t>
            </w:r>
            <w:r>
              <w:rPr>
                <w:kern w:val="0"/>
                <w:sz w:val="21"/>
                <w:szCs w:val="21"/>
                <w:lang w:bidi="ar"/>
              </w:rPr>
              <w:t>1507</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≤30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81" w:type="dxa"/>
            <w:vMerge w:val="continue"/>
            <w:shd w:val="clear" w:color="auto" w:fill="auto"/>
            <w:vAlign w:val="center"/>
          </w:tcPr>
          <w:p>
            <w:pPr>
              <w:widowControl/>
              <w:snapToGrid w:val="0"/>
              <w:spacing w:line="240" w:lineRule="auto"/>
              <w:ind w:firstLine="0" w:firstLineChars="0"/>
              <w:jc w:val="center"/>
              <w:rPr>
                <w:sz w:val="21"/>
                <w:szCs w:val="21"/>
              </w:rPr>
            </w:pPr>
          </w:p>
        </w:tc>
        <w:tc>
          <w:tcPr>
            <w:tcW w:w="914" w:type="dxa"/>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陆地水域</w:t>
            </w:r>
            <w:r>
              <w:rPr>
                <w:kern w:val="0"/>
                <w:sz w:val="21"/>
                <w:szCs w:val="21"/>
                <w:lang w:bidi="ar"/>
              </w:rPr>
              <w:t>17</w:t>
            </w:r>
          </w:p>
        </w:tc>
        <w:tc>
          <w:tcPr>
            <w:tcW w:w="1034" w:type="dxa"/>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沟渠</w:t>
            </w:r>
            <w:r>
              <w:rPr>
                <w:kern w:val="0"/>
                <w:sz w:val="21"/>
                <w:szCs w:val="21"/>
                <w:lang w:bidi="ar"/>
              </w:rPr>
              <w:t>1705</w:t>
            </w:r>
          </w:p>
        </w:tc>
        <w:tc>
          <w:tcPr>
            <w:tcW w:w="1001"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107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≤30</w:t>
            </w:r>
          </w:p>
        </w:tc>
        <w:tc>
          <w:tcPr>
            <w:tcW w:w="915" w:type="dxa"/>
            <w:shd w:val="clear" w:color="auto" w:fill="auto"/>
            <w:noWrap/>
            <w:vAlign w:val="center"/>
          </w:tcPr>
          <w:p>
            <w:pPr>
              <w:widowControl/>
              <w:snapToGrid w:val="0"/>
              <w:spacing w:line="240" w:lineRule="auto"/>
              <w:ind w:firstLine="0" w:firstLineChars="0"/>
              <w:jc w:val="center"/>
              <w:rPr>
                <w:sz w:val="21"/>
                <w:szCs w:val="21"/>
              </w:rPr>
            </w:pPr>
            <w:r>
              <w:rPr>
                <w:color w:val="000000"/>
                <w:kern w:val="0"/>
                <w:sz w:val="21"/>
                <w:szCs w:val="21"/>
                <w:lang w:bidi="ar"/>
              </w:rPr>
              <w:t>—</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棕漠土</w:t>
            </w:r>
          </w:p>
        </w:tc>
        <w:tc>
          <w:tcPr>
            <w:tcW w:w="977"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≤1.55</w:t>
            </w:r>
          </w:p>
        </w:tc>
        <w:tc>
          <w:tcPr>
            <w:tcW w:w="78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c>
          <w:tcPr>
            <w:tcW w:w="706" w:type="dxa"/>
            <w:shd w:val="clear" w:color="auto" w:fill="auto"/>
            <w:noWrap/>
            <w:vAlign w:val="center"/>
          </w:tcPr>
          <w:p>
            <w:pPr>
              <w:widowControl/>
              <w:snapToGrid w:val="0"/>
              <w:spacing w:line="240" w:lineRule="auto"/>
              <w:ind w:firstLine="0" w:firstLineChars="0"/>
              <w:jc w:val="center"/>
              <w:rPr>
                <w:kern w:val="0"/>
                <w:sz w:val="21"/>
                <w:szCs w:val="21"/>
                <w:lang w:bidi="ar"/>
              </w:rPr>
            </w:pPr>
            <w:r>
              <w:rPr>
                <w:color w:val="000000"/>
                <w:kern w:val="0"/>
                <w:sz w:val="21"/>
                <w:szCs w:val="21"/>
                <w:lang w:bidi="ar"/>
              </w:rPr>
              <w:t>—</w:t>
            </w:r>
          </w:p>
        </w:tc>
      </w:tr>
    </w:tbl>
    <w:p>
      <w:pPr>
        <w:pStyle w:val="7"/>
      </w:pPr>
      <w:r>
        <w:t>5.1.7</w:t>
      </w:r>
      <w:r>
        <w:rPr>
          <w:rFonts w:hint="eastAsia"/>
        </w:rPr>
        <w:t>本项目适宜性分析</w:t>
      </w:r>
      <w:bookmarkEnd w:id="615"/>
      <w:bookmarkEnd w:id="616"/>
    </w:p>
    <w:p>
      <w:pPr>
        <w:ind w:firstLine="480"/>
      </w:pPr>
      <w:r>
        <w:rPr>
          <w:rFonts w:hint="eastAsia"/>
        </w:rPr>
        <w:t>a）确定初步复垦方向</w:t>
      </w:r>
    </w:p>
    <w:p>
      <w:pPr>
        <w:ind w:firstLine="480"/>
      </w:pPr>
      <w:r>
        <w:rPr>
          <w:rFonts w:hint="eastAsia"/>
        </w:rPr>
        <w:t>1）国家政策及区域规划</w:t>
      </w:r>
    </w:p>
    <w:p>
      <w:pPr>
        <w:ind w:firstLine="480"/>
      </w:pPr>
      <w:r>
        <w:rPr>
          <w:rFonts w:hint="eastAsia"/>
        </w:rPr>
        <w:t>喀什地区泽普县供水城乡一体化建设工程（泽普县农村规模化供水管道连通工程）临时用地所在地泽普县地处我国西北地区，自然环境条件相对较差，用地方式较为单一。根据《新疆维吾尔自治区国土空间总体规划（2021-2035年）》，指出该区要加大土地整理复垦力度，禁止生态敏感区进行土地开发。主要保护目标为改善城市生产生活环境、保护荒漠植被，主要保护措施为加强污染治理、废弃物资源化利用、完善城市防护林体系、加强植被保护和管理，宜发展方向为建设现代化和良好的人居环境，实现经济、社会、环境和谐与健康发展。</w:t>
      </w:r>
    </w:p>
    <w:p>
      <w:pPr>
        <w:ind w:firstLine="480"/>
      </w:pPr>
      <w:r>
        <w:rPr>
          <w:rFonts w:hint="eastAsia"/>
        </w:rPr>
        <w:t>根据新疆维吾尔自治区国土空间总体规划和生态功能区划，项目区在复垦时应结合待复垦区周边土地利用方式和周围景观的一致性要求，以恢复原状为首选复垦方向，加强荒漠植被的保护和荒漠化控制。</w:t>
      </w:r>
    </w:p>
    <w:p>
      <w:pPr>
        <w:ind w:firstLine="480"/>
      </w:pPr>
      <w:r>
        <w:rPr>
          <w:rFonts w:hint="eastAsia"/>
        </w:rPr>
        <w:t>2）区域自然条件因素分析</w:t>
      </w:r>
    </w:p>
    <w:p>
      <w:pPr>
        <w:ind w:firstLine="480"/>
      </w:pPr>
      <w:r>
        <w:rPr>
          <w:rFonts w:hint="eastAsia"/>
        </w:rPr>
        <w:t>项目区域内地貌形态变化不大，区域地势平坦，土层较厚；属于大陆性暖温带干旱气候，降水较少，蒸发量大，气候干燥等特点；根据喀什地区近年气候数据统计显示，项目区年平均降水量61.5mm。自然条件给土地复垦造成一定限制，宜恢复原状为主。</w:t>
      </w:r>
    </w:p>
    <w:p>
      <w:pPr>
        <w:ind w:firstLine="480"/>
      </w:pPr>
      <w:r>
        <w:rPr>
          <w:rFonts w:hint="eastAsia"/>
        </w:rPr>
        <w:t>3）社会经济条件分析</w:t>
      </w:r>
    </w:p>
    <w:p>
      <w:pPr>
        <w:ind w:firstLine="480"/>
      </w:pPr>
      <w:r>
        <w:rPr>
          <w:rFonts w:hint="eastAsia"/>
        </w:rPr>
        <w:t>喀什地区地处塔里木盆地西部，大部分区域仍为荒漠区域。项目区总体社会经济水平一般，考虑项目具有点多、线长等特点。因此，本复垦方案设计复垦措施应注重生态恢复，同时注重社会经济效益的体现，以达到生态效益与社会经济效益综合最佳。</w:t>
      </w:r>
    </w:p>
    <w:p>
      <w:pPr>
        <w:ind w:firstLine="480"/>
      </w:pPr>
      <w:r>
        <w:rPr>
          <w:rFonts w:hint="eastAsia"/>
        </w:rPr>
        <w:t>4）公众意愿分析</w:t>
      </w:r>
    </w:p>
    <w:p>
      <w:pPr>
        <w:ind w:firstLine="480"/>
      </w:pPr>
      <w:r>
        <w:rPr>
          <w:rFonts w:hint="eastAsia"/>
        </w:rPr>
        <w:t>根据周边历史调查走访，项目区损毁土地的原土地使用者仍希望将损毁土地复垦为原土地利用类型。对损毁土地主要采取恢复整治措施，避免土地功能发生重大改变，恢复原有生态环境。</w:t>
      </w:r>
    </w:p>
    <w:p>
      <w:pPr>
        <w:ind w:firstLine="480"/>
      </w:pPr>
      <w:r>
        <w:rPr>
          <w:rFonts w:hint="eastAsia"/>
        </w:rPr>
        <w:t>综合以上国家政策和区域地方规划、区域自然环境条件、社会经济条件和土地权利人意愿分析，初步确定复垦区土地复垦以复垦为原土地利用类型为主，与周边土地利用类型或景观类型保持一致。</w:t>
      </w:r>
    </w:p>
    <w:p>
      <w:pPr>
        <w:ind w:firstLine="482"/>
        <w:rPr>
          <w:b/>
        </w:rPr>
      </w:pPr>
      <w:r>
        <w:rPr>
          <w:rFonts w:hint="eastAsia"/>
          <w:b/>
        </w:rPr>
        <w:t>b）评价单元限制因素分析</w:t>
      </w:r>
    </w:p>
    <w:p>
      <w:pPr>
        <w:ind w:firstLine="480"/>
      </w:pPr>
      <w:r>
        <w:rPr>
          <w:rFonts w:hint="eastAsia"/>
        </w:rPr>
        <w:t>1）项目用地限制因素分析</w:t>
      </w:r>
    </w:p>
    <w:p>
      <w:pPr>
        <w:ind w:firstLine="480"/>
      </w:pPr>
      <w:r>
        <w:rPr>
          <w:rFonts w:hint="eastAsia"/>
        </w:rPr>
        <w:t>由项目占地利用现状可知，项目占地主要以水浇地，果园，乔木林地，其他林地，其他草地，农村道路，农村宅基地，采矿用地，公路用地，其他特殊用地，沟渠为主，其复垦工程实施时应考虑以下基本特点：</w:t>
      </w:r>
    </w:p>
    <w:p>
      <w:pPr>
        <w:ind w:firstLine="480"/>
      </w:pPr>
      <w:r>
        <w:rPr>
          <w:rFonts w:hint="eastAsia"/>
        </w:rPr>
        <w:t>①建设及生产对地表产生压实，据实地调查理解，如压实后的土地直接进行植被种植，将很难保证重建植被的成活率。同时重建植被对土壤松软度有一定的要求，压实成为限制植被生长的主要因素，因此，需针对土壤压实采取松土等工程技术措施，增加土壤孔隙度，从而提高整地质量，保证植被成活率。</w:t>
      </w:r>
    </w:p>
    <w:p>
      <w:pPr>
        <w:ind w:firstLine="480"/>
      </w:pPr>
      <w:r>
        <w:rPr>
          <w:rFonts w:hint="eastAsia"/>
        </w:rPr>
        <w:t>②项目占用土地时间存在一定的差异。项目区气候属大陆性暖温带干旱气候，降水稀少，夏季炎热、冬季干冷，蒸发强烈，风沙活动频繁，生物多样性及生境敏感。因此，建设临时挖损土地使用完成后应及时采取复垦措施，尽快恢复地表植被，改善地表物质成分。</w:t>
      </w:r>
    </w:p>
    <w:p>
      <w:pPr>
        <w:ind w:firstLine="480"/>
      </w:pPr>
      <w:r>
        <w:rPr>
          <w:rFonts w:hint="eastAsia"/>
        </w:rPr>
        <w:t>③本项目为水利项目，建设期可能会存在生活废水等污染物质。喀什地区泽普县供水城乡一体化建设工程（泽普县农村规模化供水管道连通工程）临时用地在建设过程中，将产生的污染物通过罐车运至处理站，集中处理回收，不外排，故本复垦方案设计中不需设计单独的污染物治理措施。因此在建设过程中应做好充分的预防控制措施，将有害物质集中回收处理，复垦方案设计中不需设计单独的污染物治理措施。</w:t>
      </w:r>
    </w:p>
    <w:p>
      <w:pPr>
        <w:ind w:firstLine="482"/>
        <w:rPr>
          <w:b/>
        </w:rPr>
      </w:pPr>
      <w:r>
        <w:rPr>
          <w:rFonts w:hint="eastAsia"/>
          <w:b/>
        </w:rPr>
        <w:t>c）适宜性评价单元复垦为原地类的可行性分析</w:t>
      </w:r>
    </w:p>
    <w:p>
      <w:pPr>
        <w:ind w:firstLine="480"/>
      </w:pPr>
      <w:r>
        <w:rPr>
          <w:rFonts w:hint="eastAsia"/>
        </w:rPr>
        <w:t>根据上述复垦适宜性评价单元划分结果，各种损毁单元类型具备不同的特点，通过与表5.1.6-1中的各评价单元的原地类或周边同类型地类的土地基本特征参数的对比分析，确定各评价单元复垦为原地类的可行性。具体如下：</w:t>
      </w:r>
    </w:p>
    <w:p>
      <w:pPr>
        <w:ind w:firstLine="480"/>
      </w:pPr>
      <w:r>
        <w:rPr>
          <w:rFonts w:hint="eastAsia"/>
        </w:rPr>
        <w:t>1）耕地区：包括损毁前用地类型为水浇地。该评价单元内部为人工作物，基本情况较为相似，可作为同一区域进行分析，并可适用于相同的复垦设计，采取表土剥离、表土回覆、土地平整、松土、土壤培肥措施，恢复到原有耕作水平交还给权利人种植。</w:t>
      </w:r>
    </w:p>
    <w:p>
      <w:pPr>
        <w:ind w:firstLine="480"/>
      </w:pPr>
      <w:r>
        <w:rPr>
          <w:rFonts w:hint="eastAsia"/>
        </w:rPr>
        <w:t>2）园地区：包括损毁前用地类型为果园。该评价单元内部多为人工经济林，基本情况较为相似，可作为同一区域进行分析，并可适用于相同的复垦设计，采取表土剥离、表土回覆、土地平整、松土、土壤培肥措施，恢复到原有园地水平交还给权利人种植。</w:t>
      </w:r>
    </w:p>
    <w:p>
      <w:pPr>
        <w:ind w:firstLine="480"/>
      </w:pPr>
      <w:r>
        <w:rPr>
          <w:rFonts w:hint="eastAsia"/>
        </w:rPr>
        <w:t>3）</w:t>
      </w:r>
      <w:r>
        <w:rPr>
          <w:rFonts w:hint="eastAsia"/>
          <w:lang w:eastAsia="zh-CN"/>
        </w:rPr>
        <w:t>林地及草地区</w:t>
      </w:r>
      <w:r>
        <w:rPr>
          <w:rFonts w:hint="eastAsia"/>
        </w:rPr>
        <w:t>：包括损毁前用地类型为乔木林地、其他林地。该评价单元内部多为乔木、灌木植物。可作为同一区域进行分析，并可适用于相同的复垦设计，采取表土剥离、表土回覆、土地平整、松土、土壤培肥、修建挡水梗措施后，混播草籽，恢复原状。</w:t>
      </w:r>
    </w:p>
    <w:p>
      <w:pPr>
        <w:ind w:firstLine="480"/>
      </w:pPr>
      <w:r>
        <w:rPr>
          <w:rFonts w:hint="eastAsia"/>
        </w:rPr>
        <w:t>4）草地区：包括损毁前用地类型为其他草地。该评价单元内部多为草本植物，基本情况较为相似，可作为同一区域进行分析，并可适用于相同的复垦设计，采取表土剥离、表土回覆、土地平整、松土、土壤培肥措施后，直接混播草籽，恢复原状。</w:t>
      </w:r>
    </w:p>
    <w:p>
      <w:pPr>
        <w:ind w:firstLine="480"/>
      </w:pPr>
      <w:r>
        <w:rPr>
          <w:rFonts w:hint="eastAsia"/>
        </w:rPr>
        <w:t>5）农业设施建设用地区：包括损毁前用地类型为农村道路的用地。经实地调查分析农村道路地表基本无植被覆盖，土壤养分很低，土壤容重较大，根据与周边土地利用类型和景观保持一致性的原则。</w:t>
      </w:r>
      <w:r>
        <w:rPr>
          <w:rFonts w:hint="eastAsia"/>
          <w:lang w:val="en-US" w:eastAsia="zh-CN"/>
        </w:rPr>
        <w:t>农业设施建设用地区无地上建筑物。</w:t>
      </w:r>
      <w:r>
        <w:rPr>
          <w:rFonts w:hint="eastAsia"/>
        </w:rPr>
        <w:t>因此，只对此区域损毁土地设计场地平整措施，维持原土地利用方向。</w:t>
      </w:r>
    </w:p>
    <w:p>
      <w:pPr>
        <w:ind w:firstLine="480"/>
      </w:pPr>
      <w:r>
        <w:rPr>
          <w:rFonts w:hint="eastAsia"/>
        </w:rPr>
        <w:t>6）住宅用地区：包括损毁前用地类型为农村宅基地的用地。经实地调查分析，此区域地表基本无植被覆盖，土壤养分很低，土壤容重较大，根据与周边土地利用类型和景观保持一致性的原则。住宅用地区</w:t>
      </w:r>
      <w:r>
        <w:rPr>
          <w:rFonts w:hint="eastAsia"/>
          <w:lang w:val="en-US" w:eastAsia="zh-CN"/>
        </w:rPr>
        <w:t>无地上建筑物。</w:t>
      </w:r>
      <w:r>
        <w:rPr>
          <w:rFonts w:hint="eastAsia"/>
        </w:rPr>
        <w:t>因此，只对此区域损毁土地设计场地平整措施，维持原土地利用方向。</w:t>
      </w:r>
    </w:p>
    <w:p>
      <w:pPr>
        <w:ind w:firstLine="480"/>
      </w:pPr>
      <w:r>
        <w:rPr>
          <w:rFonts w:hint="eastAsia"/>
        </w:rPr>
        <w:t>7）工矿用地区：包括损毁前用地类型为采矿用地的用地。经实地调查分析，此区域地表基本无植被覆盖，土壤养分很低，土壤容重较大，根据与周边土地利用类型和景观保持一致性的原则。工矿用地区</w:t>
      </w:r>
      <w:r>
        <w:rPr>
          <w:rFonts w:hint="eastAsia"/>
          <w:lang w:val="en-US" w:eastAsia="zh-CN"/>
        </w:rPr>
        <w:t>无地上建筑物。</w:t>
      </w:r>
      <w:r>
        <w:rPr>
          <w:rFonts w:hint="eastAsia"/>
        </w:rPr>
        <w:t>因此，只对此区域损毁土地设计场地平整措施，维持原土地利用方向。</w:t>
      </w:r>
    </w:p>
    <w:p>
      <w:pPr>
        <w:ind w:firstLine="480"/>
      </w:pPr>
      <w:r>
        <w:rPr>
          <w:rFonts w:hint="eastAsia"/>
        </w:rPr>
        <w:t>8）交通运输用地区：包括损毁前用地类型为公路用地的用地。交通运输用地区</w:t>
      </w:r>
      <w:r>
        <w:rPr>
          <w:rFonts w:hint="eastAsia"/>
          <w:lang w:val="en-US" w:eastAsia="zh-CN"/>
        </w:rPr>
        <w:t>无地上建筑物。</w:t>
      </w:r>
      <w:r>
        <w:rPr>
          <w:rFonts w:hint="eastAsia"/>
        </w:rPr>
        <w:t>经实地调查分析公路用地未造成实质性损毁。</w:t>
      </w:r>
    </w:p>
    <w:p>
      <w:pPr>
        <w:ind w:firstLine="480"/>
      </w:pPr>
      <w:r>
        <w:rPr>
          <w:rFonts w:hint="eastAsia"/>
        </w:rPr>
        <w:t>9）特殊用地区：包括损毁前用地类型为其他特殊用地的用地。实地调查分析，此区域地表基本无植被覆盖，土壤养分很低，土壤容重较大，根据与周边土地利用类型和景观保持一致性的原则。因此，只对此区域损毁土地设计场地平整措施，维持原土地利用方向。</w:t>
      </w:r>
    </w:p>
    <w:p>
      <w:pPr>
        <w:ind w:firstLine="480"/>
      </w:pPr>
      <w:r>
        <w:rPr>
          <w:rFonts w:hint="eastAsia"/>
        </w:rPr>
        <w:t>10）陆地水域用地：包括损毁前用地类型为沟渠的用地。经实地调查分析，项目建设供水管线没有破坏到干渠主体；管道轴线就是在老渠道的轴线上，老渠道已经废弃不用。因此，只对此区域损毁土地设计场地平整措施，维持原土地利用方向。</w:t>
      </w:r>
    </w:p>
    <w:p>
      <w:pPr>
        <w:ind w:firstLine="482"/>
        <w:rPr>
          <w:b/>
        </w:rPr>
      </w:pPr>
      <w:r>
        <w:rPr>
          <w:rFonts w:hint="eastAsia"/>
          <w:b/>
        </w:rPr>
        <w:t>d）适宜性分析结果及最终复垦方向确定</w:t>
      </w:r>
    </w:p>
    <w:p>
      <w:pPr>
        <w:ind w:firstLine="480"/>
      </w:pPr>
      <w:r>
        <w:rPr>
          <w:rFonts w:hint="eastAsia"/>
        </w:rPr>
        <w:t>综合国家政策和区域地方规划、区域自然环境条件、社会经济条件和土地权利人意愿分析，初步确定复垦区各评价单元以复垦原地类为主，与周边土地利用类型或景观类型保持一致。同时结合各适宜性评价单元复垦为原地类的可行性分析结果，最终确定各评价单元最终复垦方向，</w:t>
      </w:r>
      <w:r>
        <w:rPr>
          <w:rFonts w:hint="eastAsia" w:ascii="仿宋_GB2312"/>
          <w:kern w:val="0"/>
        </w:rPr>
        <w:t>水浇地，果园，乔木林地，其他林地，其他草地，农村道路，农村宅基地，采矿用地，公路用地，其他特殊用地，沟渠</w:t>
      </w:r>
      <w:r>
        <w:rPr>
          <w:rFonts w:hint="eastAsia"/>
        </w:rPr>
        <w:t>的最终复垦方向为原土地利用类型。按照复垦方向、工程和技术措施一致进行归类，确定土地复垦基本单元。各评价单元的最终复垦方向和复垦单元划分情况详见表5.1.7-1。</w:t>
      </w:r>
    </w:p>
    <w:p>
      <w:pPr>
        <w:pStyle w:val="291"/>
      </w:pPr>
      <w:r>
        <w:rPr>
          <w:rFonts w:hint="eastAsia"/>
        </w:rPr>
        <w:t>表</w:t>
      </w:r>
      <w:r>
        <w:t>5.1.7-1</w:t>
      </w:r>
      <w:r>
        <w:rPr>
          <w:rFonts w:hint="eastAsia"/>
        </w:rPr>
        <w:t>项目区土地复垦适宜性评价结果表             单位：hm</w:t>
      </w:r>
      <w:r>
        <w:rPr>
          <w:rFonts w:hint="eastAsia"/>
          <w:vertAlign w:val="superscript"/>
        </w:rPr>
        <w:t>2</w:t>
      </w:r>
    </w:p>
    <w:tbl>
      <w:tblPr>
        <w:tblStyle w:val="88"/>
        <w:tblW w:w="9074" w:type="dxa"/>
        <w:jc w:val="center"/>
        <w:tblInd w:w="0" w:type="dxa"/>
        <w:tblLayout w:type="fixed"/>
        <w:tblCellMar>
          <w:top w:w="0" w:type="dxa"/>
          <w:left w:w="108" w:type="dxa"/>
          <w:bottom w:w="0" w:type="dxa"/>
          <w:right w:w="108" w:type="dxa"/>
        </w:tblCellMar>
      </w:tblPr>
      <w:tblGrid>
        <w:gridCol w:w="1177"/>
        <w:gridCol w:w="1472"/>
        <w:gridCol w:w="1390"/>
        <w:gridCol w:w="1091"/>
        <w:gridCol w:w="3069"/>
        <w:gridCol w:w="875"/>
      </w:tblGrid>
      <w:tr>
        <w:tblPrEx>
          <w:tblLayout w:type="fixed"/>
          <w:tblCellMar>
            <w:top w:w="0" w:type="dxa"/>
            <w:left w:w="108" w:type="dxa"/>
            <w:bottom w:w="0" w:type="dxa"/>
            <w:right w:w="108" w:type="dxa"/>
          </w:tblCellMar>
        </w:tblPrEx>
        <w:trPr>
          <w:trHeight w:val="576" w:hRule="atLeast"/>
          <w:tblHeader/>
          <w:jc w:val="center"/>
        </w:trPr>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bookmarkStart w:id="617" w:name="_Toc10719"/>
            <w:bookmarkStart w:id="618" w:name="_Toc21605"/>
            <w:bookmarkStart w:id="619" w:name="_Toc116061644"/>
            <w:r>
              <w:rPr>
                <w:kern w:val="0"/>
                <w:sz w:val="21"/>
                <w:szCs w:val="21"/>
                <w:lang w:bidi="ar"/>
              </w:rPr>
              <w:t>一级评价</w:t>
            </w:r>
          </w:p>
          <w:p>
            <w:pPr>
              <w:widowControl/>
              <w:snapToGrid w:val="0"/>
              <w:spacing w:line="240" w:lineRule="auto"/>
              <w:ind w:firstLine="0" w:firstLineChars="0"/>
              <w:jc w:val="center"/>
              <w:rPr>
                <w:sz w:val="21"/>
                <w:szCs w:val="21"/>
              </w:rPr>
            </w:pPr>
            <w:r>
              <w:rPr>
                <w:kern w:val="0"/>
                <w:sz w:val="21"/>
                <w:szCs w:val="21"/>
                <w:lang w:bidi="ar"/>
              </w:rPr>
              <w:t>单元</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二级评价</w:t>
            </w:r>
          </w:p>
          <w:p>
            <w:pPr>
              <w:widowControl/>
              <w:snapToGrid w:val="0"/>
              <w:spacing w:line="240" w:lineRule="auto"/>
              <w:ind w:firstLine="0" w:firstLineChars="0"/>
              <w:jc w:val="center"/>
              <w:rPr>
                <w:sz w:val="21"/>
                <w:szCs w:val="21"/>
              </w:rPr>
            </w:pPr>
            <w:r>
              <w:rPr>
                <w:kern w:val="0"/>
                <w:sz w:val="21"/>
                <w:szCs w:val="21"/>
                <w:lang w:bidi="ar"/>
              </w:rPr>
              <w:t>单元</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原地类</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损毁类型</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复垦措施</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损毁</w:t>
            </w:r>
          </w:p>
          <w:p>
            <w:pPr>
              <w:widowControl/>
              <w:snapToGrid w:val="0"/>
              <w:spacing w:line="240" w:lineRule="auto"/>
              <w:ind w:firstLine="0" w:firstLineChars="0"/>
              <w:jc w:val="center"/>
              <w:rPr>
                <w:sz w:val="21"/>
                <w:szCs w:val="21"/>
              </w:rPr>
            </w:pPr>
            <w:r>
              <w:rPr>
                <w:kern w:val="0"/>
                <w:sz w:val="21"/>
                <w:szCs w:val="21"/>
                <w:lang w:bidi="ar"/>
              </w:rPr>
              <w:t>面积</w:t>
            </w:r>
          </w:p>
        </w:tc>
      </w:tr>
      <w:tr>
        <w:tblPrEx>
          <w:tblLayout w:type="fixed"/>
          <w:tblCellMar>
            <w:top w:w="0" w:type="dxa"/>
            <w:left w:w="108" w:type="dxa"/>
            <w:bottom w:w="0" w:type="dxa"/>
            <w:right w:w="108" w:type="dxa"/>
          </w:tblCellMar>
        </w:tblPrEx>
        <w:trPr>
          <w:trHeight w:val="594" w:hRule="atLeast"/>
          <w:jc w:val="center"/>
        </w:trPr>
        <w:tc>
          <w:tcPr>
            <w:tcW w:w="1177" w:type="dxa"/>
            <w:vMerge w:val="restart"/>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rFonts w:hint="eastAsia"/>
                <w:kern w:val="0"/>
                <w:sz w:val="21"/>
                <w:szCs w:val="21"/>
                <w:lang w:bidi="ar"/>
              </w:rPr>
              <w:t>供水管线用地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r>
              <w:rPr>
                <w:kern w:val="0"/>
                <w:sz w:val="21"/>
                <w:szCs w:val="21"/>
                <w:lang w:bidi="ar"/>
              </w:rPr>
              <w:t>01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r>
              <w:rPr>
                <w:kern w:val="0"/>
                <w:sz w:val="21"/>
                <w:szCs w:val="21"/>
                <w:lang w:bidi="ar"/>
              </w:rPr>
              <w:t>0102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表土剥离及保存、土地平整、表土回覆、土壤培肥、土地翻耕</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0.4026</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r>
              <w:rPr>
                <w:kern w:val="0"/>
                <w:sz w:val="21"/>
                <w:szCs w:val="21"/>
                <w:lang w:bidi="ar"/>
              </w:rPr>
              <w:t>02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r>
              <w:rPr>
                <w:kern w:val="0"/>
                <w:sz w:val="21"/>
                <w:szCs w:val="21"/>
                <w:lang w:bidi="ar"/>
              </w:rPr>
              <w:t>0201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表土剥离及保存、土地平整、表土回覆、土壤培肥、土地翻耕</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0.6105</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w:t>
            </w:r>
            <w:r>
              <w:rPr>
                <w:kern w:val="0"/>
                <w:sz w:val="21"/>
                <w:szCs w:val="21"/>
                <w:lang w:bidi="ar"/>
              </w:rPr>
              <w:t>03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r>
              <w:rPr>
                <w:kern w:val="0"/>
                <w:sz w:val="21"/>
                <w:szCs w:val="21"/>
                <w:lang w:bidi="ar"/>
              </w:rPr>
              <w:t>0301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表土剥离及保存、土地平整、表土回覆、土壤培肥、土地翻耕、修建挡水梗、植被恢复、洒水灌溉、管护及监测</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0.2056</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r>
              <w:rPr>
                <w:kern w:val="0"/>
                <w:sz w:val="21"/>
                <w:szCs w:val="21"/>
                <w:lang w:bidi="ar"/>
              </w:rPr>
              <w:t>0304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表土剥离及保存、土地平整、表土回覆、土壤培肥、土地翻耕、修建挡水梗、植被恢复、洒水灌溉、管护及监测</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0.0223</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r>
              <w:rPr>
                <w:kern w:val="0"/>
                <w:sz w:val="21"/>
                <w:szCs w:val="21"/>
                <w:lang w:bidi="ar"/>
              </w:rPr>
              <w:t>04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r>
              <w:rPr>
                <w:kern w:val="0"/>
                <w:sz w:val="21"/>
                <w:szCs w:val="21"/>
                <w:lang w:bidi="ar"/>
              </w:rPr>
              <w:t>0403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表土剥离及保存、土地平整、表土回覆、土壤培肥、土地翻耕、修建挡水梗、植被恢复、洒水灌溉、管护及监测</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0.0163</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r>
              <w:rPr>
                <w:kern w:val="0"/>
                <w:sz w:val="21"/>
                <w:szCs w:val="21"/>
                <w:lang w:bidi="ar"/>
              </w:rPr>
              <w:t>06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r>
              <w:rPr>
                <w:kern w:val="0"/>
                <w:sz w:val="21"/>
                <w:szCs w:val="21"/>
                <w:lang w:bidi="ar"/>
              </w:rPr>
              <w:t>0601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土地平整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1.2099</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r>
              <w:rPr>
                <w:kern w:val="0"/>
                <w:sz w:val="21"/>
                <w:szCs w:val="21"/>
                <w:lang w:bidi="ar"/>
              </w:rPr>
              <w:t>07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r>
              <w:rPr>
                <w:kern w:val="0"/>
                <w:sz w:val="21"/>
                <w:szCs w:val="21"/>
                <w:lang w:bidi="ar"/>
              </w:rPr>
              <w:t>0703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土地平整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0.0135</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r>
              <w:rPr>
                <w:kern w:val="0"/>
                <w:sz w:val="21"/>
                <w:szCs w:val="21"/>
                <w:lang w:bidi="ar"/>
              </w:rPr>
              <w:t>10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r>
              <w:rPr>
                <w:kern w:val="0"/>
                <w:sz w:val="21"/>
                <w:szCs w:val="21"/>
                <w:lang w:bidi="ar"/>
              </w:rPr>
              <w:t>1002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土地平整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0.0094</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r>
              <w:rPr>
                <w:kern w:val="0"/>
                <w:sz w:val="21"/>
                <w:szCs w:val="21"/>
                <w:lang w:bidi="ar"/>
              </w:rPr>
              <w:t>12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r>
              <w:rPr>
                <w:kern w:val="0"/>
                <w:sz w:val="21"/>
                <w:szCs w:val="21"/>
                <w:lang w:bidi="ar"/>
              </w:rPr>
              <w:t>1202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恢复原土地使用功能</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0.0319</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r>
              <w:rPr>
                <w:kern w:val="0"/>
                <w:sz w:val="21"/>
                <w:szCs w:val="21"/>
                <w:lang w:bidi="ar"/>
              </w:rPr>
              <w:t>15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r>
              <w:rPr>
                <w:kern w:val="0"/>
                <w:sz w:val="21"/>
                <w:szCs w:val="21"/>
                <w:lang w:bidi="ar"/>
              </w:rPr>
              <w:t>1507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土地平整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0.0476</w:t>
            </w:r>
          </w:p>
        </w:tc>
      </w:tr>
      <w:tr>
        <w:tblPrEx>
          <w:tblLayout w:type="fixed"/>
          <w:tblCellMar>
            <w:top w:w="0" w:type="dxa"/>
            <w:left w:w="108" w:type="dxa"/>
            <w:bottom w:w="0" w:type="dxa"/>
            <w:right w:w="108" w:type="dxa"/>
          </w:tblCellMar>
        </w:tblPrEx>
        <w:trPr>
          <w:trHeight w:val="576" w:hRule="atLeast"/>
          <w:jc w:val="center"/>
        </w:trPr>
        <w:tc>
          <w:tcPr>
            <w:tcW w:w="1177" w:type="dxa"/>
            <w:vMerge w:val="continue"/>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r>
              <w:rPr>
                <w:kern w:val="0"/>
                <w:sz w:val="21"/>
                <w:szCs w:val="21"/>
                <w:lang w:bidi="ar"/>
              </w:rPr>
              <w:t>17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r>
              <w:rPr>
                <w:kern w:val="0"/>
                <w:sz w:val="21"/>
                <w:szCs w:val="21"/>
                <w:lang w:bidi="ar"/>
              </w:rPr>
              <w:t>1705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土地平整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1.8212</w:t>
            </w:r>
          </w:p>
        </w:tc>
      </w:tr>
    </w:tbl>
    <w:p>
      <w:pPr>
        <w:pStyle w:val="6"/>
      </w:pPr>
      <w:bookmarkStart w:id="620" w:name="_Toc21604"/>
      <w:r>
        <w:t>5.2</w:t>
      </w:r>
      <w:r>
        <w:rPr>
          <w:rFonts w:hint="eastAsia"/>
        </w:rPr>
        <w:t>复垦的目标任务</w:t>
      </w:r>
      <w:bookmarkEnd w:id="617"/>
      <w:bookmarkEnd w:id="618"/>
      <w:bookmarkEnd w:id="619"/>
      <w:bookmarkEnd w:id="620"/>
    </w:p>
    <w:p>
      <w:pPr>
        <w:ind w:firstLine="480"/>
      </w:pPr>
      <w:r>
        <w:rPr>
          <w:rFonts w:hint="eastAsia"/>
          <w:kern w:val="0"/>
        </w:rPr>
        <w:t>在尽量确保复垦方向与国土空间规划、周边景观保持一致的情况下，根据土地复垦适宜性评价结果，结合项目区自然环境特征，确定项目区最终的土地复垦方向、复垦面积及土地复垦率。</w:t>
      </w:r>
      <w:r>
        <w:rPr>
          <w:rFonts w:hint="eastAsia"/>
        </w:rPr>
        <w:t>本方案复垦责任范围面积4.3908hm</w:t>
      </w:r>
      <w:r>
        <w:rPr>
          <w:rFonts w:hint="eastAsia"/>
          <w:vertAlign w:val="superscript"/>
        </w:rPr>
        <w:t>2</w:t>
      </w:r>
      <w:r>
        <w:rPr>
          <w:rFonts w:hint="eastAsia"/>
        </w:rPr>
        <w:t>，实际复垦土地面积4.3908hm</w:t>
      </w:r>
      <w:r>
        <w:rPr>
          <w:rFonts w:hint="eastAsia"/>
          <w:vertAlign w:val="superscript"/>
        </w:rPr>
        <w:t>2</w:t>
      </w:r>
      <w:r>
        <w:rPr>
          <w:rFonts w:hint="eastAsia"/>
        </w:rPr>
        <w:t>，土地复垦率为</w:t>
      </w:r>
      <w:r>
        <w:t>100%</w:t>
      </w:r>
      <w:r>
        <w:rPr>
          <w:rFonts w:hint="eastAsia"/>
        </w:rPr>
        <w:t>。本方案复垦前后土地利用结构调整表见</w:t>
      </w:r>
      <w:r>
        <w:t>5.2-1</w:t>
      </w:r>
      <w:r>
        <w:rPr>
          <w:rFonts w:hint="eastAsia"/>
        </w:rPr>
        <w:t>。</w:t>
      </w:r>
    </w:p>
    <w:p>
      <w:pPr>
        <w:pStyle w:val="291"/>
      </w:pPr>
      <w:r>
        <w:rPr>
          <w:rFonts w:hint="eastAsia"/>
        </w:rPr>
        <w:t>表</w:t>
      </w:r>
      <w:r>
        <w:t>5.2-1</w:t>
      </w:r>
      <w:r>
        <w:rPr>
          <w:rFonts w:hint="eastAsia"/>
        </w:rPr>
        <w:t>复垦前后土地利用结构调整表              单位：hm</w:t>
      </w:r>
      <w:r>
        <w:rPr>
          <w:rFonts w:hint="eastAsia"/>
          <w:vertAlign w:val="superscript"/>
        </w:rPr>
        <w:t>2</w:t>
      </w:r>
    </w:p>
    <w:tbl>
      <w:tblPr>
        <w:tblStyle w:val="88"/>
        <w:tblW w:w="8993" w:type="dxa"/>
        <w:tblInd w:w="125" w:type="dxa"/>
        <w:tblLayout w:type="fixed"/>
        <w:tblCellMar>
          <w:top w:w="0" w:type="dxa"/>
          <w:left w:w="108" w:type="dxa"/>
          <w:bottom w:w="0" w:type="dxa"/>
          <w:right w:w="108" w:type="dxa"/>
        </w:tblCellMar>
      </w:tblPr>
      <w:tblGrid>
        <w:gridCol w:w="2317"/>
        <w:gridCol w:w="2103"/>
        <w:gridCol w:w="1580"/>
        <w:gridCol w:w="1449"/>
        <w:gridCol w:w="1544"/>
      </w:tblGrid>
      <w:tr>
        <w:tblPrEx>
          <w:tblLayout w:type="fixed"/>
          <w:tblCellMar>
            <w:top w:w="0" w:type="dxa"/>
            <w:left w:w="108" w:type="dxa"/>
            <w:bottom w:w="0" w:type="dxa"/>
            <w:right w:w="108" w:type="dxa"/>
          </w:tblCellMar>
        </w:tblPrEx>
        <w:trPr>
          <w:trHeight w:val="340" w:hRule="atLeast"/>
          <w:tblHeader/>
        </w:trPr>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一级地类</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二级地类</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复垦区前</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复垦区后</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变幅</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r>
              <w:rPr>
                <w:kern w:val="0"/>
                <w:sz w:val="21"/>
                <w:szCs w:val="21"/>
                <w:lang w:bidi="ar"/>
              </w:rPr>
              <w:t>01</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r>
              <w:rPr>
                <w:kern w:val="0"/>
                <w:sz w:val="21"/>
                <w:szCs w:val="21"/>
                <w:lang w:bidi="ar"/>
              </w:rPr>
              <w:t>0102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0.4026</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r>
              <w:rPr>
                <w:kern w:val="0"/>
                <w:sz w:val="21"/>
                <w:szCs w:val="21"/>
                <w:lang w:bidi="ar"/>
              </w:rPr>
              <w:t>02</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r>
              <w:rPr>
                <w:kern w:val="0"/>
                <w:sz w:val="21"/>
                <w:szCs w:val="21"/>
                <w:lang w:bidi="ar"/>
              </w:rPr>
              <w:t>0201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0.6105</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vMerge w:val="restart"/>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w:t>
            </w:r>
            <w:r>
              <w:rPr>
                <w:kern w:val="0"/>
                <w:sz w:val="21"/>
                <w:szCs w:val="21"/>
                <w:lang w:bidi="ar"/>
              </w:rPr>
              <w:t>03</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r>
              <w:rPr>
                <w:kern w:val="0"/>
                <w:sz w:val="21"/>
                <w:szCs w:val="21"/>
                <w:lang w:bidi="ar"/>
              </w:rPr>
              <w:t>0301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0.2056</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vMerge w:val="continue"/>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r>
              <w:rPr>
                <w:kern w:val="0"/>
                <w:sz w:val="21"/>
                <w:szCs w:val="21"/>
                <w:lang w:bidi="ar"/>
              </w:rPr>
              <w:t>0304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0.0223</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r>
              <w:rPr>
                <w:kern w:val="0"/>
                <w:sz w:val="21"/>
                <w:szCs w:val="21"/>
                <w:lang w:bidi="ar"/>
              </w:rPr>
              <w:t>04</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r>
              <w:rPr>
                <w:kern w:val="0"/>
                <w:sz w:val="21"/>
                <w:szCs w:val="21"/>
                <w:lang w:bidi="ar"/>
              </w:rPr>
              <w:t>0403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0.0163</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r>
              <w:rPr>
                <w:kern w:val="0"/>
                <w:sz w:val="21"/>
                <w:szCs w:val="21"/>
                <w:lang w:bidi="ar"/>
              </w:rPr>
              <w:t>06</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r>
              <w:rPr>
                <w:kern w:val="0"/>
                <w:sz w:val="21"/>
                <w:szCs w:val="21"/>
                <w:lang w:bidi="ar"/>
              </w:rPr>
              <w:t>0601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1.2099</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r>
              <w:rPr>
                <w:kern w:val="0"/>
                <w:sz w:val="21"/>
                <w:szCs w:val="21"/>
                <w:lang w:bidi="ar"/>
              </w:rPr>
              <w:t>07</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r>
              <w:rPr>
                <w:kern w:val="0"/>
                <w:sz w:val="21"/>
                <w:szCs w:val="21"/>
                <w:lang w:bidi="ar"/>
              </w:rPr>
              <w:t>0703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0.0135</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r>
              <w:rPr>
                <w:kern w:val="0"/>
                <w:sz w:val="21"/>
                <w:szCs w:val="21"/>
                <w:lang w:bidi="ar"/>
              </w:rPr>
              <w:t>10</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r>
              <w:rPr>
                <w:kern w:val="0"/>
                <w:sz w:val="21"/>
                <w:szCs w:val="21"/>
                <w:lang w:bidi="ar"/>
              </w:rPr>
              <w:t>1002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0.0094</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r>
              <w:rPr>
                <w:kern w:val="0"/>
                <w:sz w:val="21"/>
                <w:szCs w:val="21"/>
                <w:lang w:bidi="ar"/>
              </w:rPr>
              <w:t>12</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r>
              <w:rPr>
                <w:kern w:val="0"/>
                <w:sz w:val="21"/>
                <w:szCs w:val="21"/>
                <w:lang w:bidi="ar"/>
              </w:rPr>
              <w:t>1202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0.0319</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r>
              <w:rPr>
                <w:kern w:val="0"/>
                <w:sz w:val="21"/>
                <w:szCs w:val="21"/>
                <w:lang w:bidi="ar"/>
              </w:rPr>
              <w:t>15</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r>
              <w:rPr>
                <w:kern w:val="0"/>
                <w:sz w:val="21"/>
                <w:szCs w:val="21"/>
                <w:lang w:bidi="ar"/>
              </w:rPr>
              <w:t>1507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0.0476</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r>
              <w:rPr>
                <w:kern w:val="0"/>
                <w:sz w:val="21"/>
                <w:szCs w:val="21"/>
                <w:lang w:bidi="ar"/>
              </w:rPr>
              <w:t>17</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r>
              <w:rPr>
                <w:kern w:val="0"/>
                <w:sz w:val="21"/>
                <w:szCs w:val="21"/>
                <w:lang w:bidi="ar"/>
              </w:rPr>
              <w:t>1705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1.8212</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40" w:hRule="atLeast"/>
        </w:trPr>
        <w:tc>
          <w:tcPr>
            <w:tcW w:w="4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合计</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rFonts w:hint="eastAsia"/>
                <w:kern w:val="0"/>
                <w:sz w:val="21"/>
                <w:szCs w:val="21"/>
                <w:lang w:bidi="ar"/>
              </w:rPr>
              <w:t>4.3908</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bl>
    <w:p>
      <w:pPr>
        <w:pStyle w:val="6"/>
      </w:pPr>
      <w:bookmarkStart w:id="621" w:name="_Toc22896"/>
      <w:bookmarkStart w:id="622" w:name="_Toc21899"/>
      <w:bookmarkStart w:id="623" w:name="_Toc22632"/>
      <w:bookmarkStart w:id="624" w:name="_Toc19842"/>
      <w:bookmarkStart w:id="625" w:name="_Toc116061646"/>
      <w:r>
        <w:rPr>
          <w:rFonts w:hint="eastAsia"/>
        </w:rPr>
        <w:t>5.</w:t>
      </w:r>
      <w:bookmarkEnd w:id="621"/>
      <w:r>
        <w:rPr>
          <w:rFonts w:hint="eastAsia"/>
        </w:rPr>
        <w:t>3水土资源平衡分析</w:t>
      </w:r>
      <w:bookmarkEnd w:id="622"/>
      <w:bookmarkEnd w:id="623"/>
    </w:p>
    <w:p>
      <w:pPr>
        <w:ind w:firstLine="0" w:firstLineChars="0"/>
        <w:outlineLvl w:val="2"/>
        <w:rPr>
          <w:rFonts w:eastAsia="黑体" w:cs="方正仿宋简体"/>
          <w:sz w:val="28"/>
        </w:rPr>
      </w:pPr>
      <w:r>
        <w:rPr>
          <w:rFonts w:hint="eastAsia" w:eastAsia="黑体" w:cs="方正仿宋简体"/>
          <w:sz w:val="28"/>
        </w:rPr>
        <w:t>5.3.1水资源平衡分析</w:t>
      </w:r>
    </w:p>
    <w:p>
      <w:pPr>
        <w:ind w:firstLine="482"/>
        <w:rPr>
          <w:b/>
        </w:rPr>
      </w:pPr>
      <w:r>
        <w:rPr>
          <w:rFonts w:hint="eastAsia"/>
          <w:b/>
        </w:rPr>
        <w:t>a）水资源需求分析</w:t>
      </w:r>
    </w:p>
    <w:p>
      <w:pPr>
        <w:ind w:firstLine="480"/>
        <w:rPr>
          <w:rFonts w:hint="default" w:eastAsia="仿宋_GB2312"/>
          <w:color w:val="000000"/>
          <w:lang w:val="en-US" w:eastAsia="zh-CN"/>
        </w:rPr>
      </w:pPr>
      <w:r>
        <w:t>项目区降水稀少，夏季炎热，冬季寒冷，年温差和日温差大，光照充足，热量丰富，蒸发强烈，风沙活动频繁。由于植物生长初期根系未发育完全，管护期需对复垦植被进行人工灌溉，促进植被根系生长。待复垦植被根系发育完全后项目区降水量可满足植被正常生长条件。新疆维吾尔自治区水利厅2023年3月印发《新疆维吾尔自治区农业用水定额》（新水厅（2023）67号），参照该规范常规灌溉中林地和苜蓿灌水定额，结合项目区实际，确定本项目</w:t>
      </w:r>
      <w:r>
        <w:rPr>
          <w:rFonts w:hint="eastAsia"/>
          <w:lang w:eastAsia="zh-CN"/>
        </w:rPr>
        <w:t>林地及草地区</w:t>
      </w:r>
      <w:r>
        <w:t>全年灌溉水量</w:t>
      </w:r>
      <w:r>
        <w:rPr>
          <w:rFonts w:hint="eastAsia"/>
        </w:rPr>
        <w:t>3300</w:t>
      </w:r>
      <w:r>
        <w:t>m</w:t>
      </w:r>
      <w:r>
        <w:rPr>
          <w:vertAlign w:val="superscript"/>
        </w:rPr>
        <w:t>3</w:t>
      </w:r>
      <w:r>
        <w:t>/hm</w:t>
      </w:r>
      <w:r>
        <w:rPr>
          <w:vertAlign w:val="superscript"/>
        </w:rPr>
        <w:t>2</w:t>
      </w:r>
      <w:r>
        <w:t>，</w:t>
      </w:r>
      <w:r>
        <w:rPr>
          <w:rFonts w:hint="eastAsia"/>
          <w:lang w:eastAsia="zh-CN"/>
        </w:rPr>
        <w:t>林地及草地区</w:t>
      </w:r>
      <w:r>
        <w:rPr>
          <w:rFonts w:hint="eastAsia"/>
        </w:rPr>
        <w:t>和草地区灌溉面积为0.2442</w:t>
      </w:r>
      <w:r>
        <w:t>hm</w:t>
      </w:r>
      <w:r>
        <w:rPr>
          <w:vertAlign w:val="superscript"/>
        </w:rPr>
        <w:t>2</w:t>
      </w:r>
      <w:r>
        <w:rPr>
          <w:rFonts w:hint="eastAsia"/>
        </w:rPr>
        <w:t>，</w:t>
      </w:r>
      <w:r>
        <w:t>一年灌溉4次，管护期3年均人工灌溉，灌水量</w:t>
      </w:r>
      <w:r>
        <w:rPr>
          <w:rFonts w:hint="eastAsia"/>
        </w:rPr>
        <w:t>805.86</w:t>
      </w:r>
      <w:r>
        <w:t>m</w:t>
      </w:r>
      <w:r>
        <w:rPr>
          <w:vertAlign w:val="superscript"/>
        </w:rPr>
        <w:t>3</w:t>
      </w:r>
      <w:r>
        <w:rPr>
          <w:rFonts w:hint="eastAsia"/>
          <w:lang w:eastAsia="zh-CN"/>
        </w:rPr>
        <w:t>；</w:t>
      </w:r>
      <w:r>
        <w:rPr>
          <w:rFonts w:hint="eastAsia"/>
          <w:b/>
          <w:bCs/>
        </w:rPr>
        <w:t>本项目水浇地</w:t>
      </w:r>
      <w:r>
        <w:rPr>
          <w:rFonts w:hint="eastAsia"/>
          <w:b/>
          <w:bCs/>
          <w:lang w:val="en-US" w:eastAsia="zh-CN"/>
        </w:rPr>
        <w:t>及果园</w:t>
      </w:r>
      <w:r>
        <w:rPr>
          <w:rFonts w:hint="eastAsia"/>
          <w:b/>
          <w:bCs/>
        </w:rPr>
        <w:t>使用完毕后交由农民自行耕种</w:t>
      </w:r>
      <w:r>
        <w:rPr>
          <w:rFonts w:hint="eastAsia"/>
          <w:b/>
          <w:bCs/>
          <w:lang w:val="en-US" w:eastAsia="zh-CN"/>
        </w:rPr>
        <w:t>。</w:t>
      </w:r>
      <w:r>
        <w:rPr>
          <w:rFonts w:hint="eastAsia"/>
          <w:b/>
          <w:bCs/>
          <w:lang w:eastAsia="zh-CN"/>
        </w:rPr>
        <w:t>复垦完成后不新增</w:t>
      </w:r>
      <w:r>
        <w:rPr>
          <w:rFonts w:hint="eastAsia"/>
          <w:b/>
          <w:bCs/>
          <w:lang w:val="en-US" w:eastAsia="zh-CN"/>
        </w:rPr>
        <w:t>水浇地及果园。本项目水浇地及果园复垦不需求水源，水资源平衡。</w:t>
      </w:r>
    </w:p>
    <w:p>
      <w:pPr>
        <w:ind w:firstLine="482"/>
        <w:rPr>
          <w:b/>
          <w:color w:val="000000"/>
        </w:rPr>
      </w:pPr>
      <w:r>
        <w:rPr>
          <w:rFonts w:hint="eastAsia"/>
          <w:b/>
        </w:rPr>
        <w:t>b）水资源供给分析</w:t>
      </w:r>
    </w:p>
    <w:p>
      <w:pPr>
        <w:ind w:firstLine="480"/>
      </w:pPr>
      <w:r>
        <w:t>项目区</w:t>
      </w:r>
      <w:r>
        <w:rPr>
          <w:rFonts w:hint="eastAsia"/>
          <w:lang w:eastAsia="zh-CN"/>
        </w:rPr>
        <w:t>林地及草地区</w:t>
      </w:r>
      <w:r>
        <w:rPr>
          <w:rFonts w:hint="eastAsia"/>
        </w:rPr>
        <w:t>灌溉面积0.2442hm</w:t>
      </w:r>
      <w:r>
        <w:rPr>
          <w:rFonts w:hint="eastAsia"/>
          <w:vertAlign w:val="superscript"/>
        </w:rPr>
        <w:t>2</w:t>
      </w:r>
      <w:r>
        <w:rPr>
          <w:rFonts w:hint="eastAsia"/>
        </w:rPr>
        <w:t>，总灌溉水量805.86m</w:t>
      </w:r>
      <w:r>
        <w:rPr>
          <w:rFonts w:hint="eastAsia"/>
          <w:vertAlign w:val="superscript"/>
        </w:rPr>
        <w:t>3</w:t>
      </w:r>
      <w:r>
        <w:rPr>
          <w:rFonts w:hint="eastAsia"/>
        </w:rPr>
        <w:t>。灌溉用水取自阿依库勒支渠，灌溉水类型为地表水</w:t>
      </w:r>
      <w:r>
        <w:t>。</w:t>
      </w:r>
      <w:r>
        <w:rPr>
          <w:rFonts w:hint="eastAsia"/>
        </w:rPr>
        <w:t>本项目属于新疆叶尔羌河喀群引水枢纽控制灌溉区，工程年引水约25亿m</w:t>
      </w:r>
      <w:r>
        <w:rPr>
          <w:rFonts w:hint="eastAsia"/>
          <w:vertAlign w:val="superscript"/>
        </w:rPr>
        <w:t>3</w:t>
      </w:r>
      <w:r>
        <w:rPr>
          <w:rFonts w:hint="eastAsia"/>
        </w:rPr>
        <w:t>，该工程引水量远大于项目区用水量，可满足复垦需求。</w:t>
      </w:r>
    </w:p>
    <w:p>
      <w:pPr>
        <w:ind w:firstLine="0" w:firstLineChars="0"/>
        <w:outlineLvl w:val="2"/>
        <w:rPr>
          <w:rFonts w:eastAsia="黑体" w:cs="方正仿宋简体"/>
          <w:sz w:val="28"/>
        </w:rPr>
      </w:pPr>
      <w:r>
        <w:rPr>
          <w:rFonts w:hint="eastAsia" w:eastAsia="黑体" w:cs="方正仿宋简体"/>
          <w:sz w:val="28"/>
        </w:rPr>
        <w:t>5.3.2土资源平衡分析</w:t>
      </w:r>
    </w:p>
    <w:p>
      <w:pPr>
        <w:ind w:firstLine="482"/>
        <w:rPr>
          <w:b/>
        </w:rPr>
      </w:pPr>
      <w:r>
        <w:rPr>
          <w:rFonts w:hint="eastAsia"/>
          <w:b/>
        </w:rPr>
        <w:t>a）表土供求分析</w:t>
      </w:r>
    </w:p>
    <w:p>
      <w:pPr>
        <w:ind w:firstLine="480"/>
      </w:pPr>
      <w:r>
        <w:rPr>
          <w:rFonts w:hint="eastAsia"/>
        </w:rPr>
        <w:t>供</w:t>
      </w:r>
      <w:r>
        <w:t>求分析：项目区土壤类型主要以</w:t>
      </w:r>
      <w:r>
        <w:rPr>
          <w:rFonts w:hint="eastAsia"/>
        </w:rPr>
        <w:t>棕</w:t>
      </w:r>
      <w:r>
        <w:t>漠土</w:t>
      </w:r>
      <w:r>
        <w:rPr>
          <w:rFonts w:hint="eastAsia"/>
        </w:rPr>
        <w:t>及潮土</w:t>
      </w:r>
      <w:r>
        <w:t>为主，损毁的土地利用类型主要是</w:t>
      </w:r>
      <w:r>
        <w:rPr>
          <w:rFonts w:hint="eastAsia"/>
        </w:rPr>
        <w:t>水浇地，果园，乔木林地，其他林地，其他草地，农村道路，农村宅基地，采矿用地，公路用地，其他特殊用地，沟渠</w:t>
      </w:r>
      <w:r>
        <w:t>。根据现场调查，本项目在建设工程时，从损毁土地区域的土壤理化性质及表土剥离措施可行性和经济可行性来讲，回覆原有表土资源，更利于土地资源的恢复与利用，</w:t>
      </w:r>
      <w:r>
        <w:rPr>
          <w:rFonts w:hint="eastAsia"/>
        </w:rPr>
        <w:t>耕地剥离厚度50cm，园地、林地、草地剥离厚度20cm</w:t>
      </w:r>
      <w:r>
        <w:t>，</w:t>
      </w:r>
      <w:r>
        <w:rPr>
          <w:rFonts w:hint="eastAsia"/>
        </w:rPr>
        <w:t>项目采用分层开挖，分层回填，无需外购表土</w:t>
      </w:r>
      <w:r>
        <w:t>。</w:t>
      </w:r>
    </w:p>
    <w:p>
      <w:pPr>
        <w:snapToGrid w:val="0"/>
        <w:ind w:firstLine="0" w:firstLineChars="0"/>
        <w:jc w:val="center"/>
        <w:rPr>
          <w:rFonts w:eastAsia="黑体"/>
          <w:sz w:val="21"/>
        </w:rPr>
      </w:pPr>
      <w:r>
        <w:rPr>
          <w:rFonts w:eastAsia="黑体"/>
          <w:sz w:val="21"/>
        </w:rPr>
        <w:t>表</w:t>
      </w:r>
      <w:r>
        <w:rPr>
          <w:rFonts w:hint="eastAsia" w:eastAsia="黑体"/>
          <w:sz w:val="21"/>
        </w:rPr>
        <w:t>5</w:t>
      </w:r>
      <w:r>
        <w:rPr>
          <w:rFonts w:eastAsia="黑体"/>
          <w:sz w:val="21"/>
        </w:rPr>
        <w:t>.</w:t>
      </w:r>
      <w:r>
        <w:rPr>
          <w:rFonts w:hint="eastAsia" w:eastAsia="黑体"/>
          <w:sz w:val="21"/>
        </w:rPr>
        <w:t>3</w:t>
      </w:r>
      <w:r>
        <w:rPr>
          <w:rFonts w:eastAsia="黑体"/>
          <w:sz w:val="21"/>
        </w:rPr>
        <w:t>.2-1表土资源平衡分析表</w:t>
      </w:r>
    </w:p>
    <w:tbl>
      <w:tblPr>
        <w:tblStyle w:val="88"/>
        <w:tblW w:w="9099" w:type="dxa"/>
        <w:tblInd w:w="88" w:type="dxa"/>
        <w:tblLayout w:type="fixed"/>
        <w:tblCellMar>
          <w:top w:w="0" w:type="dxa"/>
          <w:left w:w="108" w:type="dxa"/>
          <w:bottom w:w="0" w:type="dxa"/>
          <w:right w:w="108" w:type="dxa"/>
        </w:tblCellMar>
      </w:tblPr>
      <w:tblGrid>
        <w:gridCol w:w="1216"/>
        <w:gridCol w:w="883"/>
        <w:gridCol w:w="1101"/>
        <w:gridCol w:w="1299"/>
        <w:gridCol w:w="1165"/>
        <w:gridCol w:w="1085"/>
        <w:gridCol w:w="1116"/>
        <w:gridCol w:w="1234"/>
      </w:tblGrid>
      <w:tr>
        <w:tblPrEx>
          <w:tblLayout w:type="fixed"/>
          <w:tblCellMar>
            <w:top w:w="0" w:type="dxa"/>
            <w:left w:w="108" w:type="dxa"/>
            <w:bottom w:w="0" w:type="dxa"/>
            <w:right w:w="108" w:type="dxa"/>
          </w:tblCellMar>
        </w:tblPrEx>
        <w:trPr>
          <w:trHeight w:val="300" w:hRule="atLeast"/>
        </w:trPr>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损毁单元</w:t>
            </w:r>
          </w:p>
        </w:tc>
        <w:tc>
          <w:tcPr>
            <w:tcW w:w="32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损毁地类</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表土供给量</w:t>
            </w:r>
          </w:p>
        </w:tc>
        <w:tc>
          <w:tcPr>
            <w:tcW w:w="23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表土需求量</w:t>
            </w:r>
          </w:p>
        </w:tc>
      </w:tr>
      <w:tr>
        <w:tblPrEx>
          <w:tblLayout w:type="fixed"/>
          <w:tblCellMar>
            <w:top w:w="0" w:type="dxa"/>
            <w:left w:w="108" w:type="dxa"/>
            <w:bottom w:w="0" w:type="dxa"/>
            <w:right w:w="108" w:type="dxa"/>
          </w:tblCellMar>
        </w:tblPrEx>
        <w:trPr>
          <w:trHeight w:val="300" w:hRule="atLeast"/>
        </w:trPr>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地类编码</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w:t>
            </w:r>
          </w:p>
          <w:p>
            <w:pPr>
              <w:widowControl/>
              <w:snapToGrid w:val="0"/>
              <w:spacing w:line="240" w:lineRule="auto"/>
              <w:ind w:firstLine="0" w:firstLineChars="0"/>
              <w:jc w:val="center"/>
              <w:rPr>
                <w:kern w:val="0"/>
                <w:sz w:val="21"/>
                <w:szCs w:val="21"/>
                <w:lang w:bidi="ar"/>
              </w:rPr>
            </w:pPr>
            <w:r>
              <w:rPr>
                <w:rFonts w:hint="eastAsia"/>
                <w:kern w:val="0"/>
                <w:sz w:val="21"/>
                <w:szCs w:val="21"/>
                <w:lang w:bidi="ar"/>
              </w:rPr>
              <w:t>名称</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地类面积（</w:t>
            </w:r>
            <w:r>
              <w:rPr>
                <w:kern w:val="0"/>
                <w:sz w:val="21"/>
                <w:szCs w:val="21"/>
                <w:lang w:bidi="ar"/>
              </w:rPr>
              <w:t>hm</w:t>
            </w:r>
            <w:r>
              <w:rPr>
                <w:kern w:val="0"/>
                <w:sz w:val="21"/>
                <w:szCs w:val="21"/>
                <w:vertAlign w:val="superscript"/>
                <w:lang w:bidi="ar"/>
              </w:rPr>
              <w:t>2</w:t>
            </w:r>
            <w:r>
              <w:rPr>
                <w:rFonts w:hint="eastAsia"/>
                <w:kern w:val="0"/>
                <w:sz w:val="21"/>
                <w:szCs w:val="21"/>
                <w:lang w:bidi="ar"/>
              </w:rPr>
              <w:t>）</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剥离厚度（</w:t>
            </w:r>
            <w:r>
              <w:rPr>
                <w:kern w:val="0"/>
                <w:sz w:val="21"/>
                <w:szCs w:val="21"/>
                <w:lang w:bidi="ar"/>
              </w:rPr>
              <w:t>m</w:t>
            </w:r>
            <w:r>
              <w:rPr>
                <w:rFonts w:hint="eastAsia"/>
                <w:kern w:val="0"/>
                <w:sz w:val="21"/>
                <w:szCs w:val="21"/>
                <w:lang w:bidi="ar"/>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剥离量（</w:t>
            </w:r>
            <w:r>
              <w:rPr>
                <w:kern w:val="0"/>
                <w:sz w:val="21"/>
                <w:szCs w:val="21"/>
                <w:lang w:bidi="ar"/>
              </w:rPr>
              <w:t>m</w:t>
            </w:r>
            <w:r>
              <w:rPr>
                <w:kern w:val="0"/>
                <w:sz w:val="21"/>
                <w:szCs w:val="21"/>
                <w:vertAlign w:val="superscript"/>
                <w:lang w:bidi="ar"/>
              </w:rPr>
              <w:t>3</w:t>
            </w:r>
            <w:r>
              <w:rPr>
                <w:rFonts w:hint="eastAsia"/>
                <w:kern w:val="0"/>
                <w:sz w:val="21"/>
                <w:szCs w:val="21"/>
                <w:lang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覆土厚度（</w:t>
            </w:r>
            <w:r>
              <w:rPr>
                <w:kern w:val="0"/>
                <w:sz w:val="21"/>
                <w:szCs w:val="21"/>
                <w:lang w:bidi="ar"/>
              </w:rPr>
              <w:t>m</w:t>
            </w:r>
            <w:r>
              <w:rPr>
                <w:rFonts w:hint="eastAsia"/>
                <w:kern w:val="0"/>
                <w:sz w:val="21"/>
                <w:szCs w:val="21"/>
                <w:lang w:bidi="ar"/>
              </w:rPr>
              <w:t>）</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覆土量（</w:t>
            </w:r>
            <w:r>
              <w:rPr>
                <w:kern w:val="0"/>
                <w:sz w:val="21"/>
                <w:szCs w:val="21"/>
                <w:lang w:bidi="ar"/>
              </w:rPr>
              <w:t>m</w:t>
            </w:r>
            <w:r>
              <w:rPr>
                <w:kern w:val="0"/>
                <w:sz w:val="21"/>
                <w:szCs w:val="21"/>
                <w:vertAlign w:val="superscript"/>
                <w:lang w:bidi="ar"/>
              </w:rPr>
              <w:t>3</w:t>
            </w:r>
            <w:r>
              <w:rPr>
                <w:rFonts w:hint="eastAsia"/>
                <w:kern w:val="0"/>
                <w:sz w:val="21"/>
                <w:szCs w:val="21"/>
                <w:lang w:bidi="ar"/>
              </w:rPr>
              <w:t>）</w:t>
            </w:r>
          </w:p>
        </w:tc>
      </w:tr>
      <w:tr>
        <w:tblPrEx>
          <w:tblLayout w:type="fixed"/>
          <w:tblCellMar>
            <w:top w:w="0" w:type="dxa"/>
            <w:left w:w="108" w:type="dxa"/>
            <w:bottom w:w="0" w:type="dxa"/>
            <w:right w:w="108" w:type="dxa"/>
          </w:tblCellMar>
        </w:tblPrEx>
        <w:trPr>
          <w:trHeight w:val="270" w:hRule="atLeast"/>
        </w:trPr>
        <w:tc>
          <w:tcPr>
            <w:tcW w:w="1216"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0102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2013</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0.5</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2013</w:t>
            </w:r>
          </w:p>
        </w:tc>
      </w:tr>
      <w:tr>
        <w:tblPrEx>
          <w:tblLayout w:type="fixed"/>
          <w:tblCellMar>
            <w:top w:w="0" w:type="dxa"/>
            <w:left w:w="108" w:type="dxa"/>
            <w:bottom w:w="0" w:type="dxa"/>
            <w:right w:w="108" w:type="dxa"/>
          </w:tblCellMar>
        </w:tblPrEx>
        <w:trPr>
          <w:trHeight w:val="300" w:hRule="atLeast"/>
        </w:trPr>
        <w:tc>
          <w:tcPr>
            <w:tcW w:w="1216" w:type="dxa"/>
            <w:vMerge w:val="continue"/>
            <w:tcBorders>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1221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1221</w:t>
            </w:r>
          </w:p>
        </w:tc>
      </w:tr>
      <w:tr>
        <w:tblPrEx>
          <w:tblLayout w:type="fixed"/>
          <w:tblCellMar>
            <w:top w:w="0" w:type="dxa"/>
            <w:left w:w="108" w:type="dxa"/>
            <w:bottom w:w="0" w:type="dxa"/>
            <w:right w:w="108" w:type="dxa"/>
          </w:tblCellMar>
        </w:tblPrEx>
        <w:trPr>
          <w:trHeight w:val="300" w:hRule="atLeast"/>
        </w:trPr>
        <w:tc>
          <w:tcPr>
            <w:tcW w:w="1216" w:type="dxa"/>
            <w:vMerge w:val="continue"/>
            <w:tcBorders>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411.2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411.2</w:t>
            </w:r>
          </w:p>
        </w:tc>
      </w:tr>
      <w:tr>
        <w:tblPrEx>
          <w:tblLayout w:type="fixed"/>
          <w:tblCellMar>
            <w:top w:w="0" w:type="dxa"/>
            <w:left w:w="108" w:type="dxa"/>
            <w:bottom w:w="0" w:type="dxa"/>
            <w:right w:w="108" w:type="dxa"/>
          </w:tblCellMar>
        </w:tblPrEx>
        <w:trPr>
          <w:trHeight w:val="300" w:hRule="atLeast"/>
        </w:trPr>
        <w:tc>
          <w:tcPr>
            <w:tcW w:w="1216" w:type="dxa"/>
            <w:vMerge w:val="continue"/>
            <w:tcBorders>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44.6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44.6</w:t>
            </w:r>
          </w:p>
        </w:tc>
      </w:tr>
      <w:tr>
        <w:tblPrEx>
          <w:tblLayout w:type="fixed"/>
          <w:tblCellMar>
            <w:top w:w="0" w:type="dxa"/>
            <w:left w:w="108" w:type="dxa"/>
            <w:bottom w:w="0" w:type="dxa"/>
            <w:right w:w="108" w:type="dxa"/>
          </w:tblCellMar>
        </w:tblPrEx>
        <w:trPr>
          <w:trHeight w:val="300" w:hRule="atLeast"/>
        </w:trPr>
        <w:tc>
          <w:tcPr>
            <w:tcW w:w="1216"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32.6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32.6</w:t>
            </w:r>
          </w:p>
        </w:tc>
      </w:tr>
      <w:tr>
        <w:tblPrEx>
          <w:tblLayout w:type="fixed"/>
          <w:tblCellMar>
            <w:top w:w="0" w:type="dxa"/>
            <w:left w:w="108" w:type="dxa"/>
            <w:bottom w:w="0" w:type="dxa"/>
            <w:right w:w="108" w:type="dxa"/>
          </w:tblCellMar>
        </w:tblPrEx>
        <w:trPr>
          <w:trHeight w:val="270" w:hRule="atLeast"/>
        </w:trPr>
        <w:tc>
          <w:tcPr>
            <w:tcW w:w="32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合计</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0.2442</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3722.4</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3722.4</w:t>
            </w:r>
          </w:p>
        </w:tc>
      </w:tr>
    </w:tbl>
    <w:p>
      <w:pPr>
        <w:ind w:firstLine="480"/>
      </w:pP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624"/>
    <w:bookmarkEnd w:id="625"/>
    <w:p>
      <w:pPr>
        <w:ind w:firstLine="640"/>
        <w:rPr>
          <w:rFonts w:eastAsia="黑体"/>
          <w:bCs/>
          <w:kern w:val="44"/>
          <w:sz w:val="32"/>
          <w:szCs w:val="44"/>
        </w:rPr>
      </w:pPr>
      <w:r>
        <w:rPr>
          <w:rFonts w:hint="eastAsia" w:eastAsia="黑体"/>
          <w:bCs/>
          <w:kern w:val="44"/>
          <w:sz w:val="32"/>
          <w:szCs w:val="44"/>
        </w:rPr>
        <w:br w:type="page"/>
      </w:r>
    </w:p>
    <w:p>
      <w:pPr>
        <w:keepNext/>
        <w:keepLines/>
        <w:ind w:firstLine="0" w:firstLineChars="0"/>
        <w:jc w:val="center"/>
        <w:outlineLvl w:val="0"/>
        <w:rPr>
          <w:rFonts w:eastAsia="黑体"/>
          <w:bCs/>
          <w:kern w:val="44"/>
          <w:sz w:val="32"/>
          <w:szCs w:val="44"/>
        </w:rPr>
        <w:sectPr>
          <w:type w:val="nextColumn"/>
          <w:pgSz w:w="11906" w:h="16838"/>
          <w:pgMar w:top="1418" w:right="1247" w:bottom="1418" w:left="1247" w:header="851" w:footer="992" w:gutter="340"/>
          <w:cols w:space="720" w:num="1"/>
          <w:docGrid w:type="linesAndChars" w:linePitch="312" w:charSpace="0"/>
        </w:sectPr>
      </w:pPr>
    </w:p>
    <w:p>
      <w:pPr>
        <w:keepNext/>
        <w:keepLines/>
        <w:ind w:firstLine="0" w:firstLineChars="0"/>
        <w:jc w:val="center"/>
        <w:outlineLvl w:val="0"/>
        <w:rPr>
          <w:rFonts w:eastAsia="黑体"/>
          <w:bCs/>
          <w:kern w:val="44"/>
          <w:sz w:val="32"/>
          <w:szCs w:val="44"/>
        </w:rPr>
      </w:pPr>
      <w:bookmarkStart w:id="626" w:name="_Toc1713"/>
      <w:r>
        <w:rPr>
          <w:rFonts w:hint="eastAsia" w:eastAsia="黑体"/>
          <w:bCs/>
          <w:kern w:val="44"/>
          <w:sz w:val="32"/>
          <w:szCs w:val="44"/>
        </w:rPr>
        <w:t>6</w:t>
      </w:r>
      <w:r>
        <w:rPr>
          <w:rFonts w:eastAsia="黑体"/>
          <w:bCs/>
          <w:kern w:val="44"/>
          <w:sz w:val="32"/>
          <w:szCs w:val="44"/>
        </w:rPr>
        <w:t>土地复垦质量要求与复垦措施</w:t>
      </w:r>
      <w:bookmarkEnd w:id="626"/>
    </w:p>
    <w:p>
      <w:pPr>
        <w:ind w:firstLine="0" w:firstLineChars="0"/>
        <w:outlineLvl w:val="1"/>
        <w:rPr>
          <w:rFonts w:eastAsia="黑体"/>
          <w:bCs/>
          <w:sz w:val="30"/>
          <w:szCs w:val="32"/>
        </w:rPr>
      </w:pPr>
      <w:bookmarkStart w:id="627" w:name="_Toc331979983"/>
      <w:bookmarkStart w:id="628" w:name="_Toc28809"/>
      <w:bookmarkStart w:id="629" w:name="_Toc8581560"/>
      <w:bookmarkStart w:id="630" w:name="_Toc331979772"/>
      <w:bookmarkStart w:id="631" w:name="_Toc331979457"/>
      <w:bookmarkStart w:id="632" w:name="_Toc374433433"/>
      <w:bookmarkStart w:id="633" w:name="_Toc93403617"/>
      <w:bookmarkStart w:id="634" w:name="_Toc116061647"/>
      <w:bookmarkStart w:id="635" w:name="_Toc332054211"/>
      <w:bookmarkStart w:id="636" w:name="_Toc14889"/>
      <w:bookmarkStart w:id="637" w:name="_Toc331979562"/>
      <w:bookmarkStart w:id="638" w:name="_Toc341866403"/>
      <w:bookmarkStart w:id="639" w:name="_Toc25043"/>
      <w:bookmarkStart w:id="640" w:name="_Toc326857800"/>
      <w:r>
        <w:rPr>
          <w:rFonts w:hint="eastAsia" w:eastAsia="黑体"/>
          <w:bCs/>
          <w:sz w:val="30"/>
          <w:szCs w:val="32"/>
        </w:rPr>
        <w:t>6</w:t>
      </w:r>
      <w:r>
        <w:rPr>
          <w:rFonts w:eastAsia="黑体"/>
          <w:bCs/>
          <w:sz w:val="30"/>
          <w:szCs w:val="32"/>
        </w:rPr>
        <w:t>.1土地复垦质量要求</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ind w:firstLine="0" w:firstLineChars="0"/>
        <w:outlineLvl w:val="2"/>
        <w:rPr>
          <w:rFonts w:eastAsia="黑体" w:cs="方正仿宋简体"/>
          <w:sz w:val="28"/>
        </w:rPr>
      </w:pPr>
      <w:bookmarkStart w:id="641" w:name="_Toc215548372"/>
      <w:bookmarkStart w:id="642" w:name="_Toc247700656"/>
      <w:bookmarkStart w:id="643" w:name="_Toc215496727"/>
      <w:bookmarkStart w:id="644" w:name="_Toc25148"/>
      <w:bookmarkStart w:id="645" w:name="_Toc215496801"/>
      <w:bookmarkStart w:id="646" w:name="_Toc272330970"/>
      <w:bookmarkStart w:id="647" w:name="_Toc116061648"/>
      <w:bookmarkStart w:id="648" w:name="_Toc246680916"/>
      <w:bookmarkStart w:id="649" w:name="_Toc215548447"/>
      <w:bookmarkStart w:id="650" w:name="_Toc260918489"/>
      <w:bookmarkStart w:id="651" w:name="_Toc290889825"/>
      <w:bookmarkStart w:id="652" w:name="_Toc332054213"/>
      <w:bookmarkStart w:id="653" w:name="_Toc331979774"/>
      <w:bookmarkStart w:id="654" w:name="_Toc331979985"/>
      <w:bookmarkStart w:id="655" w:name="_Toc374433436"/>
      <w:bookmarkStart w:id="656" w:name="_Toc331979564"/>
      <w:bookmarkStart w:id="657" w:name="_Toc341866406"/>
      <w:bookmarkStart w:id="658" w:name="_Toc8581563"/>
      <w:bookmarkStart w:id="659" w:name="_Toc331979459"/>
      <w:bookmarkStart w:id="660" w:name="_Toc6856124"/>
      <w:bookmarkStart w:id="661" w:name="_Toc8385960"/>
      <w:bookmarkStart w:id="662" w:name="_Toc6873202"/>
      <w:r>
        <w:rPr>
          <w:rFonts w:eastAsia="黑体" w:cs="方正仿宋简体"/>
          <w:sz w:val="28"/>
        </w:rPr>
        <w:t>6.1.1</w:t>
      </w:r>
      <w:r>
        <w:rPr>
          <w:rFonts w:hint="eastAsia" w:eastAsia="黑体" w:cs="方正仿宋简体"/>
          <w:sz w:val="28"/>
        </w:rPr>
        <w:t>土地复垦质量要求制定依据</w:t>
      </w:r>
      <w:bookmarkEnd w:id="641"/>
      <w:bookmarkEnd w:id="642"/>
      <w:bookmarkEnd w:id="643"/>
      <w:bookmarkEnd w:id="644"/>
      <w:bookmarkEnd w:id="645"/>
      <w:bookmarkEnd w:id="646"/>
      <w:bookmarkEnd w:id="647"/>
      <w:bookmarkEnd w:id="648"/>
      <w:bookmarkEnd w:id="649"/>
      <w:bookmarkEnd w:id="650"/>
    </w:p>
    <w:p>
      <w:pPr>
        <w:ind w:firstLine="480"/>
      </w:pPr>
      <w:r>
        <w:rPr>
          <w:rFonts w:hint="eastAsia"/>
        </w:rPr>
        <w:t>a）国家及行业的技术标准</w:t>
      </w:r>
    </w:p>
    <w:p>
      <w:pPr>
        <w:ind w:firstLine="480"/>
      </w:pPr>
      <w:r>
        <w:rPr>
          <w:rFonts w:hint="eastAsia"/>
        </w:rPr>
        <w:t>《国土空间调查、规划、用途管制用地用海分类指南》(自然资发〔2023〕234号)；</w:t>
      </w:r>
    </w:p>
    <w:p>
      <w:pPr>
        <w:ind w:firstLine="480"/>
      </w:pPr>
      <w:r>
        <w:rPr>
          <w:rFonts w:hint="eastAsia"/>
        </w:rPr>
        <w:t>《土地复垦质量控制标准》（TD/T1036-2013）；</w:t>
      </w:r>
    </w:p>
    <w:p>
      <w:pPr>
        <w:ind w:firstLine="480"/>
      </w:pPr>
      <w:r>
        <w:rPr>
          <w:rFonts w:hint="eastAsia"/>
        </w:rPr>
        <w:t>b）行政法规</w:t>
      </w:r>
    </w:p>
    <w:p>
      <w:pPr>
        <w:ind w:firstLine="480"/>
      </w:pPr>
      <w:r>
        <w:rPr>
          <w:rFonts w:hint="eastAsia"/>
        </w:rPr>
        <w:t>《土地复垦条例》（2011年）。</w:t>
      </w:r>
    </w:p>
    <w:p>
      <w:pPr>
        <w:ind w:firstLine="480"/>
      </w:pPr>
      <w:r>
        <w:rPr>
          <w:rFonts w:hint="eastAsia"/>
        </w:rPr>
        <w:t>c）项目区土地利用水平</w:t>
      </w:r>
    </w:p>
    <w:p>
      <w:pPr>
        <w:ind w:firstLine="480"/>
      </w:pPr>
      <w:r>
        <w:rPr>
          <w:rFonts w:hint="eastAsia"/>
        </w:rPr>
        <w:t>土地复垦工作应依据项目区自身特征，遵循因地制宜的原则，复垦方向与原（或周边）土地利用类型尽可能保持一致，采取合适的预防控制和工程措施，使损毁的土地恢复生产力和生态系统功能，制定的复垦标准原则上不能低于原（或周边）土地利用类型的土壤质量和生产水平。</w:t>
      </w:r>
    </w:p>
    <w:p>
      <w:pPr>
        <w:ind w:firstLine="480"/>
      </w:pPr>
      <w:r>
        <w:rPr>
          <w:rFonts w:hint="eastAsia"/>
        </w:rPr>
        <w:t>d）土地复垦适宜性分析的结果</w:t>
      </w:r>
    </w:p>
    <w:p>
      <w:pPr>
        <w:ind w:firstLine="480"/>
      </w:pPr>
      <w:r>
        <w:rPr>
          <w:rFonts w:hint="eastAsia"/>
        </w:rPr>
        <w:t>根据国家及行业标准、项目区自然和社会经济条件，结合土地复垦适宜性分析结果，针对临时用地制定适宜的复垦标准，选择适宜的复垦措施。</w:t>
      </w:r>
    </w:p>
    <w:p>
      <w:pPr>
        <w:ind w:firstLine="480"/>
      </w:pPr>
      <w:r>
        <w:rPr>
          <w:rFonts w:hint="eastAsia"/>
        </w:rPr>
        <w:t>e）项目所在地相关权利人的调查意见</w:t>
      </w:r>
    </w:p>
    <w:p>
      <w:pPr>
        <w:ind w:firstLine="480"/>
      </w:pPr>
      <w:r>
        <w:rPr>
          <w:rFonts w:hint="eastAsia"/>
        </w:rPr>
        <w:t>喀什地区泽普县供水城乡一体化建设工程（泽普县农村规模化供水管道连通工程）临时用地位于塔里木盆地西部，自然生态环境脆弱。针对在开展土地复垦工作中复垦标准的制定，积极调查了解相关权利人的意见。项目组在泽普县淼鑫水务有限责任公司工作人员的陪同下与喀什地区自然资源局、泽普县自然资源局等部门进行意见交流及对当地群众进行走访咨询。</w:t>
      </w:r>
    </w:p>
    <w:p>
      <w:pPr>
        <w:ind w:firstLine="0" w:firstLineChars="0"/>
        <w:outlineLvl w:val="2"/>
        <w:rPr>
          <w:rFonts w:eastAsia="黑体" w:cs="方正仿宋简体"/>
          <w:sz w:val="28"/>
        </w:rPr>
      </w:pPr>
      <w:bookmarkStart w:id="663" w:name="_Toc8991"/>
      <w:bookmarkStart w:id="664" w:name="_Toc116061649"/>
      <w:r>
        <w:rPr>
          <w:rFonts w:hint="eastAsia" w:eastAsia="黑体" w:cs="方正仿宋简体"/>
          <w:sz w:val="28"/>
        </w:rPr>
        <w:t>6</w:t>
      </w:r>
      <w:r>
        <w:rPr>
          <w:rFonts w:eastAsia="黑体" w:cs="方正仿宋简体"/>
          <w:sz w:val="28"/>
        </w:rPr>
        <w:t>.1.</w:t>
      </w:r>
      <w:bookmarkEnd w:id="651"/>
      <w:r>
        <w:rPr>
          <w:rFonts w:hint="eastAsia" w:eastAsia="黑体" w:cs="方正仿宋简体"/>
          <w:sz w:val="28"/>
        </w:rPr>
        <w:t>2</w:t>
      </w:r>
      <w:r>
        <w:rPr>
          <w:rFonts w:eastAsia="黑体" w:cs="方正仿宋简体"/>
          <w:sz w:val="28"/>
        </w:rPr>
        <w:t>土地复垦质量标准</w:t>
      </w:r>
      <w:bookmarkEnd w:id="652"/>
      <w:bookmarkEnd w:id="653"/>
      <w:bookmarkEnd w:id="654"/>
      <w:bookmarkEnd w:id="655"/>
      <w:bookmarkEnd w:id="656"/>
      <w:bookmarkEnd w:id="657"/>
      <w:bookmarkEnd w:id="658"/>
      <w:bookmarkEnd w:id="659"/>
      <w:bookmarkEnd w:id="660"/>
      <w:bookmarkEnd w:id="661"/>
      <w:bookmarkEnd w:id="662"/>
      <w:bookmarkEnd w:id="663"/>
      <w:bookmarkEnd w:id="664"/>
    </w:p>
    <w:p>
      <w:pPr>
        <w:ind w:firstLine="480"/>
      </w:pPr>
      <w:r>
        <w:rPr>
          <w:rFonts w:hint="eastAsia"/>
        </w:rPr>
        <w:t>本次项目土地复垦质量标准参考</w:t>
      </w:r>
      <w:r>
        <w:t>《土地质量控制标准》（TD/T1036—2013）</w:t>
      </w:r>
      <w:r>
        <w:rPr>
          <w:rFonts w:hint="eastAsia"/>
        </w:rPr>
        <w:t>，结合项目区实际情况及野外调查成果综合制定。项目区损毁土地类型包括水浇地，果园，乔木林地，其他林地，其他草地，农村道路，农村宅基地，采矿用地，公路用地，其他特殊用地，沟渠，本方案考虑项目的自然条件因素以及其他限制因素，在制定具体复垦质量标准时以可行性为主，其他区域土地复垦后应与周围地形相适应，保证复垦场地稳定，减少风沙侵蚀造成二次损毁，具体指标见表6.1.2-1。</w:t>
      </w:r>
    </w:p>
    <w:p>
      <w:pPr>
        <w:wordWrap w:val="0"/>
        <w:snapToGrid w:val="0"/>
        <w:spacing w:line="240" w:lineRule="auto"/>
        <w:ind w:firstLine="0" w:firstLineChars="0"/>
        <w:jc w:val="center"/>
        <w:rPr>
          <w:rFonts w:eastAsia="黑体"/>
          <w:sz w:val="21"/>
        </w:rPr>
      </w:pPr>
      <w:r>
        <w:rPr>
          <w:rFonts w:hint="eastAsia" w:eastAsia="黑体"/>
          <w:sz w:val="21"/>
        </w:rPr>
        <w:t>表6.1.2-1复垦质量控制指标一览表</w:t>
      </w:r>
    </w:p>
    <w:tbl>
      <w:tblPr>
        <w:tblStyle w:val="88"/>
        <w:tblW w:w="9100"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242"/>
        <w:gridCol w:w="1279"/>
        <w:gridCol w:w="1507"/>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5"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复垦方向</w:t>
            </w: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指标类型</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基本指标</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耕地</w:t>
            </w:r>
          </w:p>
        </w:tc>
        <w:tc>
          <w:tcPr>
            <w:tcW w:w="1242"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水浇地</w:t>
            </w:r>
          </w:p>
        </w:tc>
        <w:tc>
          <w:tcPr>
            <w:tcW w:w="1279"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土壤质量</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有效土层厚度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r>
              <w:rPr>
                <w:rFonts w:hint="eastAsia"/>
                <w:color w:val="000000"/>
                <w:kern w:val="0"/>
                <w:sz w:val="21"/>
                <w:szCs w:val="21"/>
                <w:lang w:bidi="ar"/>
              </w:rPr>
              <w:t>5</w:t>
            </w:r>
            <w:r>
              <w:rPr>
                <w:color w:val="000000"/>
                <w:kern w:val="0"/>
                <w:sz w:val="21"/>
                <w:szCs w:val="21"/>
                <w:lang w:bidi="ar"/>
              </w:rPr>
              <w:t>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土壤容重</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≤1.45g/cm</w:t>
            </w:r>
            <w:r>
              <w:rPr>
                <w:color w:val="000000"/>
                <w:kern w:val="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土壤质地</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潮土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砾石含量</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PH值</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bidi="ar"/>
              </w:rPr>
              <w:t>7.0</w:t>
            </w:r>
            <w:r>
              <w:rPr>
                <w:color w:val="000000"/>
                <w:kern w:val="0"/>
                <w:sz w:val="21"/>
                <w:szCs w:val="21"/>
                <w:lang w:bidi="ar"/>
              </w:rPr>
              <w:t>～8</w:t>
            </w:r>
            <w:r>
              <w:rPr>
                <w:rFonts w:hint="eastAsia"/>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有机质</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r>
              <w:rPr>
                <w:rFonts w:hint="eastAsia"/>
                <w:color w:val="000000"/>
                <w:kern w:val="0"/>
                <w:sz w:val="21"/>
                <w:szCs w:val="21"/>
                <w:lang w:bidi="ar"/>
              </w:rPr>
              <w:t>1.0</w:t>
            </w: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生产力水平</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产量</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sz w:val="21"/>
                <w:szCs w:val="21"/>
              </w:rPr>
              <w:t>恢复原有种植条件，五年后达到周边地区同等土地利用类型水平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restart"/>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园地</w:t>
            </w:r>
          </w:p>
        </w:tc>
        <w:tc>
          <w:tcPr>
            <w:tcW w:w="1242" w:type="dxa"/>
            <w:vMerge w:val="restart"/>
            <w:shd w:val="clear" w:color="auto" w:fill="auto"/>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果园</w:t>
            </w:r>
          </w:p>
        </w:tc>
        <w:tc>
          <w:tcPr>
            <w:tcW w:w="1279" w:type="dxa"/>
            <w:vMerge w:val="restart"/>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土壤质量</w:t>
            </w: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有效土层厚度</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土壤容重</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≤1.45g/cm</w:t>
            </w:r>
            <w:r>
              <w:rPr>
                <w:color w:val="000000"/>
                <w:kern w:val="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土壤质地</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潮土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砾石含量</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PH值</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7.0</w:t>
            </w:r>
            <w:r>
              <w:rPr>
                <w:color w:val="000000"/>
                <w:kern w:val="0"/>
                <w:sz w:val="21"/>
                <w:szCs w:val="21"/>
                <w:lang w:bidi="ar"/>
              </w:rPr>
              <w:t>～8</w:t>
            </w:r>
            <w:r>
              <w:rPr>
                <w:rFonts w:hint="eastAsia"/>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有机质</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w:t>
            </w:r>
            <w:r>
              <w:rPr>
                <w:rFonts w:hint="eastAsia"/>
                <w:color w:val="000000"/>
                <w:kern w:val="0"/>
                <w:sz w:val="21"/>
                <w:szCs w:val="21"/>
                <w:lang w:bidi="ar"/>
              </w:rPr>
              <w:t>1.0</w:t>
            </w: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kern w:val="0"/>
                <w:sz w:val="21"/>
                <w:szCs w:val="21"/>
                <w:lang w:bidi="ar"/>
              </w:rPr>
            </w:pPr>
          </w:p>
        </w:tc>
        <w:tc>
          <w:tcPr>
            <w:tcW w:w="1242" w:type="dxa"/>
            <w:vMerge w:val="continue"/>
            <w:shd w:val="clear" w:color="auto" w:fill="auto"/>
            <w:vAlign w:val="center"/>
          </w:tcPr>
          <w:p>
            <w:pPr>
              <w:widowControl/>
              <w:snapToGrid w:val="0"/>
              <w:spacing w:line="240" w:lineRule="auto"/>
              <w:ind w:firstLine="0" w:firstLineChars="0"/>
              <w:jc w:val="center"/>
              <w:rPr>
                <w:color w:val="000000"/>
                <w:kern w:val="0"/>
                <w:sz w:val="21"/>
                <w:szCs w:val="21"/>
                <w:lang w:bidi="ar"/>
              </w:rPr>
            </w:pPr>
          </w:p>
        </w:tc>
        <w:tc>
          <w:tcPr>
            <w:tcW w:w="127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生产力水平</w:t>
            </w: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sz w:val="21"/>
                <w:szCs w:val="21"/>
              </w:rPr>
              <w:t>产量</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恢复原有种植条件，五年后达到周边地区同等土地利用类型水平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林地</w:t>
            </w:r>
          </w:p>
        </w:tc>
        <w:tc>
          <w:tcPr>
            <w:tcW w:w="1242" w:type="dxa"/>
            <w:vMerge w:val="restart"/>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乔木林地其他林地</w:t>
            </w:r>
          </w:p>
        </w:tc>
        <w:tc>
          <w:tcPr>
            <w:tcW w:w="1279"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土壤质量</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有效土层厚度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土壤容重</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r>
              <w:rPr>
                <w:rFonts w:hint="eastAsia"/>
                <w:color w:val="000000"/>
                <w:kern w:val="0"/>
                <w:sz w:val="21"/>
                <w:szCs w:val="21"/>
                <w:lang w:bidi="ar"/>
              </w:rPr>
              <w:t>5</w:t>
            </w:r>
            <w:r>
              <w:rPr>
                <w:color w:val="000000"/>
                <w:kern w:val="0"/>
                <w:sz w:val="21"/>
                <w:szCs w:val="21"/>
                <w:lang w:bidi="ar"/>
              </w:rPr>
              <w:t>5g/cm</w:t>
            </w:r>
            <w:r>
              <w:rPr>
                <w:color w:val="000000"/>
                <w:kern w:val="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土壤质地</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val="en-US" w:eastAsia="zh-CN" w:bidi="ar"/>
              </w:rPr>
              <w:t>棕漠土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砾石含量</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PH值</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bidi="ar"/>
              </w:rPr>
              <w:t>7.0</w:t>
            </w:r>
            <w:r>
              <w:rPr>
                <w:color w:val="000000"/>
                <w:kern w:val="0"/>
                <w:sz w:val="21"/>
                <w:szCs w:val="21"/>
                <w:lang w:bidi="ar"/>
              </w:rPr>
              <w:t>～8</w:t>
            </w:r>
            <w:r>
              <w:rPr>
                <w:rFonts w:hint="eastAsia"/>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有机质</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w:t>
            </w:r>
            <w:r>
              <w:rPr>
                <w:rFonts w:hint="eastAsia"/>
                <w:color w:val="000000"/>
                <w:kern w:val="0"/>
                <w:sz w:val="21"/>
                <w:szCs w:val="21"/>
                <w:lang w:bidi="ar"/>
              </w:rPr>
              <w:t>3</w:t>
            </w: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vAlign w:val="center"/>
          </w:tcPr>
          <w:p>
            <w:pPr>
              <w:widowControl/>
              <w:snapToGrid w:val="0"/>
              <w:spacing w:line="240" w:lineRule="auto"/>
              <w:ind w:firstLine="0" w:firstLineChars="0"/>
              <w:jc w:val="center"/>
              <w:rPr>
                <w:color w:val="000000"/>
                <w:sz w:val="21"/>
                <w:szCs w:val="21"/>
              </w:rPr>
            </w:pP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生产力水平</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sz w:val="21"/>
                <w:szCs w:val="21"/>
              </w:rPr>
              <w:t>产量、覆盖度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五年后生产力水平达到周边地区同等土地利用类型水平，覆盖度≥</w:t>
            </w:r>
            <w:r>
              <w:rPr>
                <w:rFonts w:hint="eastAsia"/>
                <w:color w:val="000000"/>
                <w:kern w:val="0"/>
                <w:sz w:val="21"/>
                <w:szCs w:val="21"/>
                <w:lang w:bidi="ar"/>
              </w:rPr>
              <w:t>3</w:t>
            </w:r>
            <w:r>
              <w:rPr>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草地</w:t>
            </w:r>
          </w:p>
        </w:tc>
        <w:tc>
          <w:tcPr>
            <w:tcW w:w="1242"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其他草地</w:t>
            </w:r>
          </w:p>
        </w:tc>
        <w:tc>
          <w:tcPr>
            <w:tcW w:w="1279" w:type="dxa"/>
            <w:vMerge w:val="restart"/>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土壤质量</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有效土层厚度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土壤容重</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r>
              <w:rPr>
                <w:rFonts w:hint="eastAsia"/>
                <w:color w:val="000000"/>
                <w:kern w:val="0"/>
                <w:sz w:val="21"/>
                <w:szCs w:val="21"/>
                <w:lang w:bidi="ar"/>
              </w:rPr>
              <w:t>5</w:t>
            </w:r>
            <w:r>
              <w:rPr>
                <w:color w:val="000000"/>
                <w:kern w:val="0"/>
                <w:sz w:val="21"/>
                <w:szCs w:val="21"/>
                <w:lang w:bidi="ar"/>
              </w:rPr>
              <w:t>5g/cm</w:t>
            </w:r>
            <w:r>
              <w:rPr>
                <w:color w:val="000000"/>
                <w:kern w:val="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土壤质地</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val="en-US" w:eastAsia="zh-CN" w:bidi="ar"/>
              </w:rPr>
              <w:t>棕漠土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砾石含量</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PH值</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bidi="ar"/>
              </w:rPr>
              <w:t>7.0</w:t>
            </w:r>
            <w:r>
              <w:rPr>
                <w:color w:val="000000"/>
                <w:kern w:val="0"/>
                <w:sz w:val="21"/>
                <w:szCs w:val="21"/>
                <w:lang w:bidi="ar"/>
              </w:rPr>
              <w:t>～8</w:t>
            </w:r>
            <w:r>
              <w:rPr>
                <w:rFonts w:hint="eastAsia"/>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有机质</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w:t>
            </w:r>
            <w:r>
              <w:rPr>
                <w:rFonts w:hint="eastAsia"/>
                <w:color w:val="000000"/>
                <w:kern w:val="0"/>
                <w:sz w:val="21"/>
                <w:szCs w:val="21"/>
                <w:lang w:bidi="ar"/>
              </w:rPr>
              <w:t>3</w:t>
            </w: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42" w:type="dxa"/>
            <w:vMerge w:val="continue"/>
            <w:shd w:val="clear" w:color="auto" w:fill="auto"/>
            <w:noWrap/>
            <w:vAlign w:val="center"/>
          </w:tcPr>
          <w:p>
            <w:pPr>
              <w:widowControl/>
              <w:snapToGrid w:val="0"/>
              <w:spacing w:line="240" w:lineRule="auto"/>
              <w:ind w:firstLine="0" w:firstLineChars="0"/>
              <w:jc w:val="center"/>
              <w:rPr>
                <w:color w:val="000000"/>
                <w:sz w:val="21"/>
                <w:szCs w:val="21"/>
              </w:rPr>
            </w:pP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生产力水平</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产量、覆盖度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五年后生产力水平达到周边地区同等土地利用类型水平，覆盖度≥</w:t>
            </w:r>
            <w:r>
              <w:rPr>
                <w:rFonts w:hint="eastAsia"/>
                <w:color w:val="000000"/>
                <w:kern w:val="0"/>
                <w:sz w:val="21"/>
                <w:szCs w:val="21"/>
                <w:lang w:bidi="ar"/>
              </w:rPr>
              <w:t>3</w:t>
            </w:r>
            <w:r>
              <w:rPr>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农业设施建设用地</w:t>
            </w:r>
          </w:p>
        </w:tc>
        <w:tc>
          <w:tcPr>
            <w:tcW w:w="1242"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农村道路</w:t>
            </w:r>
          </w:p>
        </w:tc>
        <w:tc>
          <w:tcPr>
            <w:tcW w:w="127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地形</w:t>
            </w: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平整度</w:t>
            </w:r>
          </w:p>
        </w:tc>
        <w:tc>
          <w:tcPr>
            <w:tcW w:w="3209" w:type="dxa"/>
            <w:shd w:val="clear" w:color="auto" w:fill="auto"/>
            <w:noWrap/>
            <w:vAlign w:val="center"/>
          </w:tcPr>
          <w:p>
            <w:pPr>
              <w:widowControl/>
              <w:snapToGrid w:val="0"/>
              <w:spacing w:line="240" w:lineRule="auto"/>
              <w:ind w:firstLine="420"/>
              <w:jc w:val="center"/>
              <w:rPr>
                <w:color w:val="000000"/>
                <w:kern w:val="0"/>
                <w:sz w:val="21"/>
                <w:szCs w:val="21"/>
                <w:lang w:bidi="ar"/>
              </w:rPr>
            </w:pPr>
            <w:r>
              <w:rPr>
                <w:sz w:val="21"/>
                <w:szCs w:val="21"/>
              </w:rPr>
              <w:t>土地平整、恢复原地貌，保持与周围景观相协调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bidi="ar"/>
              </w:rPr>
              <w:t>居住用地</w:t>
            </w:r>
          </w:p>
        </w:tc>
        <w:tc>
          <w:tcPr>
            <w:tcW w:w="124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农村宅基地</w:t>
            </w: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地形</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平整度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土地平整、恢复原地貌，保持与周围景观相协调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工矿用地</w:t>
            </w:r>
          </w:p>
        </w:tc>
        <w:tc>
          <w:tcPr>
            <w:tcW w:w="1242"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采矿用地</w:t>
            </w:r>
          </w:p>
        </w:tc>
        <w:tc>
          <w:tcPr>
            <w:tcW w:w="127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地形</w:t>
            </w: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平整度</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土地平整、恢复原地貌，保持与周围景观相协调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交通运输用地</w:t>
            </w:r>
          </w:p>
        </w:tc>
        <w:tc>
          <w:tcPr>
            <w:tcW w:w="124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公路用地</w:t>
            </w: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特殊用地</w:t>
            </w:r>
          </w:p>
        </w:tc>
        <w:tc>
          <w:tcPr>
            <w:tcW w:w="1242"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rFonts w:hint="eastAsia"/>
                <w:color w:val="000000"/>
                <w:kern w:val="0"/>
                <w:sz w:val="21"/>
                <w:szCs w:val="21"/>
                <w:lang w:bidi="ar"/>
              </w:rPr>
              <w:t>其他特殊用地</w:t>
            </w:r>
          </w:p>
        </w:tc>
        <w:tc>
          <w:tcPr>
            <w:tcW w:w="127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地形</w:t>
            </w:r>
          </w:p>
        </w:tc>
        <w:tc>
          <w:tcPr>
            <w:tcW w:w="150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平整度</w:t>
            </w:r>
          </w:p>
        </w:tc>
        <w:tc>
          <w:tcPr>
            <w:tcW w:w="3209"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土地平整、恢复原地貌，保持与周围景观相协调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3" w:type="dxa"/>
            <w:shd w:val="clear" w:color="auto" w:fill="auto"/>
            <w:noWrap/>
            <w:vAlign w:val="center"/>
          </w:tcPr>
          <w:p>
            <w:pPr>
              <w:widowControl/>
              <w:snapToGrid w:val="0"/>
              <w:spacing w:line="240" w:lineRule="auto"/>
              <w:ind w:firstLine="0" w:firstLineChars="0"/>
              <w:jc w:val="center"/>
              <w:rPr>
                <w:color w:val="000000"/>
                <w:sz w:val="21"/>
                <w:szCs w:val="21"/>
              </w:rPr>
            </w:pPr>
            <w:r>
              <w:rPr>
                <w:rFonts w:hint="eastAsia"/>
                <w:color w:val="000000"/>
                <w:kern w:val="0"/>
                <w:sz w:val="21"/>
                <w:szCs w:val="21"/>
                <w:lang w:bidi="ar"/>
              </w:rPr>
              <w:t>陆地水域</w:t>
            </w:r>
          </w:p>
        </w:tc>
        <w:tc>
          <w:tcPr>
            <w:tcW w:w="124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沟渠</w:t>
            </w:r>
          </w:p>
        </w:tc>
        <w:tc>
          <w:tcPr>
            <w:tcW w:w="127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地形</w:t>
            </w:r>
          </w:p>
        </w:tc>
        <w:tc>
          <w:tcPr>
            <w:tcW w:w="150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平整度</w:t>
            </w:r>
          </w:p>
        </w:tc>
        <w:tc>
          <w:tcPr>
            <w:tcW w:w="32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土地平整、恢复原地貌，保持与周围景观相协调</w:t>
            </w:r>
          </w:p>
        </w:tc>
      </w:tr>
    </w:tbl>
    <w:p>
      <w:pPr>
        <w:ind w:firstLine="0" w:firstLineChars="0"/>
        <w:outlineLvl w:val="1"/>
        <w:rPr>
          <w:rFonts w:eastAsia="黑体"/>
          <w:bCs/>
          <w:sz w:val="32"/>
          <w:szCs w:val="32"/>
        </w:rPr>
      </w:pPr>
      <w:bookmarkStart w:id="665" w:name="_Toc27540"/>
      <w:bookmarkStart w:id="666" w:name="_Toc23153"/>
      <w:bookmarkStart w:id="667" w:name="_Toc116061650"/>
      <w:r>
        <w:rPr>
          <w:rFonts w:eastAsia="黑体"/>
          <w:bCs/>
          <w:sz w:val="30"/>
          <w:szCs w:val="32"/>
        </w:rPr>
        <w:t>6.2</w:t>
      </w:r>
      <w:r>
        <w:rPr>
          <w:rFonts w:hint="eastAsia" w:eastAsia="黑体"/>
          <w:bCs/>
          <w:sz w:val="30"/>
          <w:szCs w:val="32"/>
        </w:rPr>
        <w:t>复垦措施</w:t>
      </w:r>
      <w:bookmarkEnd w:id="665"/>
      <w:bookmarkEnd w:id="666"/>
      <w:bookmarkEnd w:id="667"/>
    </w:p>
    <w:p>
      <w:pPr>
        <w:ind w:firstLine="0" w:firstLineChars="0"/>
        <w:outlineLvl w:val="2"/>
        <w:rPr>
          <w:rFonts w:eastAsia="黑体" w:cs="方正仿宋简体"/>
          <w:sz w:val="28"/>
        </w:rPr>
      </w:pPr>
      <w:bookmarkStart w:id="668" w:name="_Toc3463"/>
      <w:bookmarkStart w:id="669" w:name="_Toc116061651"/>
      <w:r>
        <w:rPr>
          <w:rFonts w:eastAsia="黑体" w:cs="方正仿宋简体"/>
          <w:sz w:val="28"/>
        </w:rPr>
        <w:t>6.2.1</w:t>
      </w:r>
      <w:r>
        <w:rPr>
          <w:rFonts w:hint="eastAsia" w:eastAsia="黑体" w:cs="方正仿宋简体"/>
          <w:sz w:val="28"/>
        </w:rPr>
        <w:t>工程技术措施</w:t>
      </w:r>
      <w:bookmarkEnd w:id="668"/>
      <w:bookmarkEnd w:id="669"/>
    </w:p>
    <w:p>
      <w:pPr>
        <w:ind w:firstLine="480"/>
      </w:pPr>
      <w:r>
        <w:rPr>
          <w:rFonts w:hint="eastAsia"/>
        </w:rPr>
        <w:t>工程技术措施是指工程复垦中，按照所在地区自然环境条件和复垦土地利用方向要求，对受影响的土地采取各种工程手段，恢复受损土地的生态系统。项目采用顶管穿越的方式通过公路用地，未造成实质性损毁。本方案根据项目所在区域的自然生态环境特征和复垦目标，结合项目的施工建设工艺，参照周边类似复垦项目生态重建技术的工作原理、复垦工艺、适用条件等，采取适用于本项目的复垦工程技术措施。</w:t>
      </w:r>
    </w:p>
    <w:p>
      <w:pPr>
        <w:ind w:firstLine="480"/>
        <w:rPr>
          <w:bCs/>
        </w:rPr>
      </w:pPr>
      <w:r>
        <w:rPr>
          <w:rFonts w:hint="eastAsia"/>
          <w:bCs/>
        </w:rPr>
        <w:t>1</w:t>
      </w:r>
      <w:r>
        <w:rPr>
          <w:bCs/>
        </w:rPr>
        <w:t>）</w:t>
      </w:r>
      <w:r>
        <w:rPr>
          <w:rFonts w:hint="eastAsia"/>
          <w:bCs/>
          <w:kern w:val="0"/>
        </w:rPr>
        <w:t>农用地（耕地、园地、林地、草地）</w:t>
      </w:r>
      <w:r>
        <w:rPr>
          <w:rFonts w:hint="eastAsia"/>
          <w:bCs/>
        </w:rPr>
        <w:t>主要复垦措施有以下几种：</w:t>
      </w:r>
    </w:p>
    <w:p>
      <w:pPr>
        <w:snapToGrid w:val="0"/>
        <w:ind w:firstLine="480"/>
        <w:jc w:val="left"/>
        <w:rPr>
          <w:bCs/>
        </w:rPr>
      </w:pPr>
      <w:r>
        <w:rPr>
          <w:rFonts w:hint="eastAsia"/>
          <w:bCs/>
        </w:rPr>
        <w:t>①</w:t>
      </w:r>
      <w:r>
        <w:rPr>
          <w:bCs/>
        </w:rPr>
        <w:t>表土剥离及保存</w:t>
      </w:r>
    </w:p>
    <w:p>
      <w:pPr>
        <w:snapToGrid w:val="0"/>
        <w:ind w:firstLine="480"/>
        <w:jc w:val="left"/>
      </w:pPr>
      <w:r>
        <w:t>根据《土地复垦条例》第十六条“土地复垦义务人应当首先对拟损毁的耕地、林地、牧草地进行表土剥离，剥离的表土用于被损毁土地的复垦”。</w:t>
      </w:r>
    </w:p>
    <w:p>
      <w:pPr>
        <w:snapToGrid w:val="0"/>
        <w:ind w:firstLine="480"/>
        <w:jc w:val="left"/>
      </w:pPr>
      <w:r>
        <w:t>根据《土地复垦条例实施办法》第二十四条 预防控制措施：“（一）对可能被损毁的耕地、</w:t>
      </w:r>
      <w:r>
        <w:rPr>
          <w:rFonts w:hint="eastAsia"/>
        </w:rPr>
        <w:t>园地、</w:t>
      </w:r>
      <w:r>
        <w:t>林地、草地等，应当进行表土剥离，分层存放，分层回填，优先用于复垦土地的土壤改良。表土剥离厚度应当依据相关技术标准，根据实际情况确定。表土剥离应当在生产工艺和施工建设前进行或者同步进行”。</w:t>
      </w:r>
    </w:p>
    <w:p>
      <w:pPr>
        <w:tabs>
          <w:tab w:val="left" w:pos="5640"/>
        </w:tabs>
        <w:ind w:firstLine="480"/>
      </w:pPr>
      <w:r>
        <w:t>根据勘界资料及现场调查，</w:t>
      </w:r>
      <w:r>
        <w:rPr>
          <w:rFonts w:hint="eastAsia"/>
        </w:rPr>
        <w:t>供水管线</w:t>
      </w:r>
      <w:r>
        <w:t>临时用地占</w:t>
      </w:r>
      <w:r>
        <w:rPr>
          <w:rFonts w:hint="eastAsia"/>
        </w:rPr>
        <w:t xml:space="preserve">耕地、园地、林地、草地总面积1.2573 </w:t>
      </w:r>
      <w:r>
        <w:t>hm</w:t>
      </w:r>
      <w:r>
        <w:rPr>
          <w:vertAlign w:val="superscript"/>
        </w:rPr>
        <w:t>2</w:t>
      </w:r>
      <w:r>
        <w:t>。</w:t>
      </w:r>
      <w:r>
        <w:rPr>
          <w:rFonts w:hint="eastAsia"/>
        </w:rPr>
        <w:t>应</w:t>
      </w:r>
      <w:r>
        <w:t>对项目占用上述用地区域采取表土剥离措施，</w:t>
      </w:r>
      <w:r>
        <w:rPr>
          <w:rFonts w:hint="eastAsia"/>
        </w:rPr>
        <w:t>耕地</w:t>
      </w:r>
      <w:r>
        <w:t>剥离厚度</w:t>
      </w:r>
      <w:r>
        <w:rPr>
          <w:rFonts w:hint="eastAsia"/>
        </w:rPr>
        <w:t>5</w:t>
      </w:r>
      <w:r>
        <w:t>0cm，</w:t>
      </w:r>
      <w:r>
        <w:rPr>
          <w:rFonts w:hint="eastAsia"/>
        </w:rPr>
        <w:t>园地、林地、草地</w:t>
      </w:r>
      <w:r>
        <w:t>剥离厚度20cm，剥离的表土堆放至</w:t>
      </w:r>
      <w:r>
        <w:rPr>
          <w:rFonts w:hint="eastAsia"/>
        </w:rPr>
        <w:t>管沟一侧</w:t>
      </w:r>
      <w:r>
        <w:t>，</w:t>
      </w:r>
      <w:r>
        <w:rPr>
          <w:rFonts w:hint="eastAsia"/>
        </w:rPr>
        <w:t>堆土高度不超过1.5m，</w:t>
      </w:r>
      <w:r>
        <w:t>采用防尘网苫盖进行保存，用于后期进行表土回覆，减少土壤熟化周期，为恢复植被生长创造土壤条件。</w:t>
      </w:r>
      <w:r>
        <w:rPr>
          <w:rFonts w:hint="eastAsia"/>
        </w:rPr>
        <w:t>根据建设方案，该工程由施工单位施工时实施，本方案不再重复计算工程量。</w:t>
      </w:r>
    </w:p>
    <w:p>
      <w:pPr>
        <w:tabs>
          <w:tab w:val="left" w:pos="5640"/>
        </w:tabs>
        <w:ind w:firstLine="480"/>
        <w:rPr>
          <w:bCs/>
        </w:rPr>
      </w:pPr>
      <w:r>
        <w:rPr>
          <w:rFonts w:hint="eastAsia"/>
          <w:bCs/>
        </w:rPr>
        <w:t>②土地平整措施</w:t>
      </w:r>
    </w:p>
    <w:p>
      <w:pPr>
        <w:ind w:firstLine="480"/>
      </w:pPr>
      <w:r>
        <w:t>项目</w:t>
      </w:r>
      <w:r>
        <w:rPr>
          <w:rFonts w:hint="eastAsia"/>
        </w:rPr>
        <w:t>区损毁</w:t>
      </w:r>
      <w:r>
        <w:t>土地后，使原有的土地形态发生改变，</w:t>
      </w:r>
      <w:r>
        <w:rPr>
          <w:rFonts w:hint="eastAsia"/>
        </w:rPr>
        <w:t>损毁</w:t>
      </w:r>
      <w:r>
        <w:t>土地的表层起伏不平。为保证复垦措施的及时实施，需采取74KW推土机</w:t>
      </w:r>
      <w:r>
        <w:rPr>
          <w:rFonts w:hint="eastAsia"/>
        </w:rPr>
        <w:t>进行整平</w:t>
      </w:r>
      <w:r>
        <w:t>，</w:t>
      </w:r>
      <w:r>
        <w:rPr>
          <w:rFonts w:hint="eastAsia"/>
        </w:rPr>
        <w:t>推距10m</w:t>
      </w:r>
      <w:r>
        <w:t>，使作业面保持平整</w:t>
      </w:r>
      <w:r>
        <w:rPr>
          <w:rFonts w:hint="eastAsia"/>
        </w:rPr>
        <w:t>，项目</w:t>
      </w:r>
      <w:r>
        <w:t>平整填挖深度平均为</w:t>
      </w:r>
      <w:r>
        <w:rPr>
          <w:rFonts w:hint="eastAsia"/>
        </w:rPr>
        <w:t>10c</w:t>
      </w:r>
      <w:r>
        <w:t>m。</w:t>
      </w:r>
    </w:p>
    <w:p>
      <w:pPr>
        <w:snapToGrid w:val="0"/>
        <w:ind w:firstLine="480"/>
        <w:jc w:val="left"/>
        <w:rPr>
          <w:b/>
        </w:rPr>
      </w:pPr>
      <w:r>
        <w:rPr>
          <w:rFonts w:hint="eastAsia"/>
          <w:bCs/>
        </w:rPr>
        <w:t>③</w:t>
      </w:r>
      <w:r>
        <w:rPr>
          <w:bCs/>
        </w:rPr>
        <w:t>表土回覆</w:t>
      </w:r>
    </w:p>
    <w:p>
      <w:pPr>
        <w:tabs>
          <w:tab w:val="left" w:pos="5640"/>
        </w:tabs>
        <w:ind w:firstLine="480"/>
      </w:pPr>
      <w:r>
        <w:t>对恢复为</w:t>
      </w:r>
      <w:r>
        <w:rPr>
          <w:rFonts w:hint="eastAsia"/>
        </w:rPr>
        <w:t>耕地、园地、林地、草地</w:t>
      </w:r>
      <w:r>
        <w:t>的用地，</w:t>
      </w:r>
      <w:r>
        <w:rPr>
          <w:rFonts w:hint="eastAsia"/>
        </w:rPr>
        <w:t>管线埋设完毕后</w:t>
      </w:r>
      <w:r>
        <w:t>进行表土回覆，覆土来源来自项目建设先期剥离的表土，</w:t>
      </w:r>
      <w:r>
        <w:rPr>
          <w:rFonts w:hint="eastAsia"/>
        </w:rPr>
        <w:t>耕地覆土</w:t>
      </w:r>
      <w:r>
        <w:t>厚度</w:t>
      </w:r>
      <w:r>
        <w:rPr>
          <w:rFonts w:hint="eastAsia"/>
        </w:rPr>
        <w:t>5</w:t>
      </w:r>
      <w:r>
        <w:t>0cm</w:t>
      </w:r>
      <w:r>
        <w:rPr>
          <w:rFonts w:hint="eastAsia"/>
        </w:rPr>
        <w:t xml:space="preserve">，覆土面积为0.4026 </w:t>
      </w:r>
      <w:r>
        <w:t>hm</w:t>
      </w:r>
      <w:r>
        <w:rPr>
          <w:vertAlign w:val="superscript"/>
        </w:rPr>
        <w:t>2</w:t>
      </w:r>
      <w:r>
        <w:t>，</w:t>
      </w:r>
      <w:r>
        <w:rPr>
          <w:rFonts w:hint="eastAsia"/>
        </w:rPr>
        <w:t>园地、林地、草地覆土</w:t>
      </w:r>
      <w:r>
        <w:t>厚度20cm</w:t>
      </w:r>
      <w:r>
        <w:rPr>
          <w:rFonts w:hint="eastAsia"/>
        </w:rPr>
        <w:t>，覆土面积为0.8547</w:t>
      </w:r>
      <w:r>
        <w:t>hm</w:t>
      </w:r>
      <w:r>
        <w:rPr>
          <w:vertAlign w:val="superscript"/>
        </w:rPr>
        <w:t>2</w:t>
      </w:r>
      <w:r>
        <w:t>。</w:t>
      </w:r>
      <w:r>
        <w:rPr>
          <w:rFonts w:hint="eastAsia"/>
        </w:rPr>
        <w:t>根据建设方案，该工程由施工单位施工时实施，本方案不再重复计算工程量。</w:t>
      </w:r>
    </w:p>
    <w:p>
      <w:pPr>
        <w:tabs>
          <w:tab w:val="left" w:pos="5640"/>
        </w:tabs>
        <w:ind w:firstLine="480"/>
        <w:rPr>
          <w:bCs/>
        </w:rPr>
      </w:pPr>
      <w:r>
        <w:rPr>
          <w:rFonts w:hint="eastAsia"/>
          <w:bCs/>
        </w:rPr>
        <w:t>④土地翻耕措施</w:t>
      </w:r>
    </w:p>
    <w:p>
      <w:pPr>
        <w:tabs>
          <w:tab w:val="left" w:pos="5640"/>
        </w:tabs>
        <w:ind w:firstLine="480"/>
      </w:pPr>
      <w:r>
        <w:rPr>
          <w:rFonts w:hint="eastAsia"/>
        </w:rPr>
        <w:t>建设过程中施工车辆、工程材料及人员活动会对扰动区域的土壤造成一定程度的压实，使土壤对降水入渗能力降低，土壤容重增加。针</w:t>
      </w:r>
      <w:r>
        <w:t>对恢复为</w:t>
      </w:r>
      <w:r>
        <w:rPr>
          <w:rFonts w:hint="eastAsia"/>
        </w:rPr>
        <w:t>耕地、园地、林地、草地</w:t>
      </w:r>
      <w:r>
        <w:t>的用地，</w:t>
      </w:r>
      <w:r>
        <w:rPr>
          <w:rFonts w:hint="eastAsia"/>
        </w:rPr>
        <w:t>为了恢复土地的使用功能，需对地表及时进行清理、翻松地表土层，打破紧实层，疏松土壤，满足植被生长土壤有效土层厚度要求。同时，培肥工程可与松土工程进行配合，在机械翻耕松土时进行肥料撒播。土地翻耕采用拖拉机-三铧犁进行施工，</w:t>
      </w:r>
      <w:r>
        <w:rPr>
          <w:rFonts w:hint="eastAsia"/>
          <w:bCs/>
        </w:rPr>
        <w:t>翻耕面积1.2573hm</w:t>
      </w:r>
      <w:r>
        <w:rPr>
          <w:rFonts w:hint="eastAsia"/>
          <w:bCs/>
          <w:vertAlign w:val="superscript"/>
        </w:rPr>
        <w:t>2</w:t>
      </w:r>
      <w:r>
        <w:rPr>
          <w:rFonts w:hint="eastAsia"/>
          <w:bCs/>
        </w:rPr>
        <w:t>，</w:t>
      </w:r>
      <w:r>
        <w:rPr>
          <w:rFonts w:hint="eastAsia"/>
        </w:rPr>
        <w:t>翻耕深度为15-30cm。</w:t>
      </w:r>
    </w:p>
    <w:p>
      <w:pPr>
        <w:ind w:firstLine="480"/>
        <w:rPr>
          <w:bCs/>
        </w:rPr>
      </w:pPr>
      <w:r>
        <w:rPr>
          <w:rFonts w:hint="eastAsia"/>
          <w:bCs/>
        </w:rPr>
        <w:t>⑤修建挡水梗</w:t>
      </w:r>
    </w:p>
    <w:p>
      <w:pPr>
        <w:ind w:firstLine="480"/>
        <w:rPr>
          <w:bCs/>
        </w:rPr>
      </w:pPr>
      <w:r>
        <w:rPr>
          <w:rFonts w:hint="eastAsia"/>
          <w:bCs/>
        </w:rPr>
        <w:t>对恢复为林地、草地的用地，垂直西北风向每间隔1.0m设置0.3m高0.3m宽的挡水梗，便于雨水聚集，有利于植被恢复。</w:t>
      </w:r>
    </w:p>
    <w:p>
      <w:pPr>
        <w:ind w:firstLine="480"/>
        <w:rPr>
          <w:bCs/>
        </w:rPr>
      </w:pPr>
      <w:r>
        <w:rPr>
          <w:rFonts w:hint="eastAsia"/>
          <w:bCs/>
        </w:rPr>
        <w:t>2</w:t>
      </w:r>
      <w:r>
        <w:rPr>
          <w:bCs/>
        </w:rPr>
        <w:t>）</w:t>
      </w:r>
      <w:r>
        <w:rPr>
          <w:rFonts w:hint="eastAsia"/>
          <w:bCs/>
        </w:rPr>
        <w:t>农村道路，农村宅基地，采矿用地，公路用地，其他特殊用地，沟渠主要复垦措施有以下几种：</w:t>
      </w:r>
    </w:p>
    <w:p>
      <w:pPr>
        <w:tabs>
          <w:tab w:val="left" w:pos="5640"/>
        </w:tabs>
        <w:ind w:firstLine="480"/>
        <w:rPr>
          <w:bCs/>
        </w:rPr>
      </w:pPr>
      <w:r>
        <w:rPr>
          <w:rFonts w:hint="eastAsia"/>
          <w:bCs/>
        </w:rPr>
        <w:t>土地平整措施</w:t>
      </w:r>
    </w:p>
    <w:p>
      <w:pPr>
        <w:ind w:firstLine="480"/>
        <w:rPr>
          <w:b/>
        </w:rPr>
      </w:pPr>
      <w:r>
        <w:rPr>
          <w:szCs w:val="20"/>
        </w:rPr>
        <w:t>项目区损毁土地后，使原有的土地形态发生改变，损毁土地的表层起伏不平。为保证复垦措施的及时实施，需采取74KW推土机进行整平，推距10m，使作业面保持平整，项目平整填挖深度平均为</w:t>
      </w:r>
      <w:r>
        <w:rPr>
          <w:rFonts w:hint="eastAsia"/>
          <w:szCs w:val="20"/>
        </w:rPr>
        <w:t>1</w:t>
      </w:r>
      <w:r>
        <w:rPr>
          <w:szCs w:val="20"/>
        </w:rPr>
        <w:t>0cm。</w:t>
      </w:r>
    </w:p>
    <w:p>
      <w:pPr>
        <w:ind w:firstLine="0" w:firstLineChars="0"/>
        <w:outlineLvl w:val="2"/>
        <w:rPr>
          <w:rFonts w:eastAsia="黑体" w:cs="方正仿宋简体"/>
          <w:sz w:val="28"/>
        </w:rPr>
      </w:pPr>
      <w:bookmarkStart w:id="670" w:name="_Toc8104"/>
      <w:bookmarkStart w:id="671" w:name="_Toc116061652"/>
      <w:r>
        <w:rPr>
          <w:rFonts w:eastAsia="黑体" w:cs="方正仿宋简体"/>
          <w:sz w:val="28"/>
        </w:rPr>
        <w:t>6.2.2生物化学措施</w:t>
      </w:r>
      <w:bookmarkEnd w:id="670"/>
      <w:bookmarkEnd w:id="671"/>
    </w:p>
    <w:p>
      <w:pPr>
        <w:ind w:firstLine="480"/>
        <w:rPr>
          <w:rFonts w:ascii="方正仿宋简体" w:hAnsi="方正仿宋简体" w:eastAsia="方正仿宋简体"/>
          <w:szCs w:val="20"/>
        </w:rPr>
      </w:pPr>
      <w:r>
        <w:rPr>
          <w:rFonts w:ascii="方正仿宋简体" w:hAnsi="方正仿宋简体"/>
          <w:szCs w:val="20"/>
        </w:rPr>
        <w:t>生物复垦的基本原则是通过生物改良技术，改善土壤环境，培肥地力。利用生物措施恢复土壤有机肥力及生物生产能力的技术措施，</w:t>
      </w:r>
      <w:r>
        <w:rPr>
          <w:rFonts w:hint="eastAsia" w:ascii="方正仿宋简体" w:hAnsi="方正仿宋简体"/>
          <w:szCs w:val="20"/>
        </w:rPr>
        <w:t>是实现损毁土地农业复垦的关键环节，主要内容为土壤改良。</w:t>
      </w:r>
    </w:p>
    <w:p>
      <w:pPr>
        <w:ind w:firstLine="482"/>
        <w:rPr>
          <w:b/>
        </w:rPr>
      </w:pPr>
      <w:bookmarkStart w:id="672" w:name="_Toc285629010"/>
      <w:r>
        <w:rPr>
          <w:rFonts w:hint="eastAsia"/>
          <w:b/>
        </w:rPr>
        <w:t>a</w:t>
      </w:r>
      <w:r>
        <w:rPr>
          <w:b/>
        </w:rPr>
        <w:t>）土壤改良与培肥措施</w:t>
      </w:r>
      <w:bookmarkEnd w:id="672"/>
    </w:p>
    <w:p>
      <w:pPr>
        <w:ind w:firstLine="480"/>
      </w:pPr>
      <w:r>
        <w:t>由于项目区临时用地受到人工扰动比较大，</w:t>
      </w:r>
      <w:r>
        <w:rPr>
          <w:rFonts w:hint="eastAsia"/>
        </w:rPr>
        <w:t>造成了土壤肥力的降低</w:t>
      </w:r>
      <w:r>
        <w:t>。为了提高土壤肥力，本方案针对拟复垦的</w:t>
      </w:r>
      <w:r>
        <w:rPr>
          <w:rFonts w:hint="eastAsia"/>
        </w:rPr>
        <w:t>耕地、园地、林地、草地</w:t>
      </w:r>
      <w:r>
        <w:t>采取培肥措施，根据植物生长的需要，施用有机-无机复混肥，</w:t>
      </w:r>
      <w:r>
        <w:rPr>
          <w:rFonts w:hint="eastAsia"/>
        </w:rPr>
        <w:t>耕地、园地施肥面积1.0131hm</w:t>
      </w:r>
      <w:r>
        <w:rPr>
          <w:rFonts w:hint="eastAsia"/>
          <w:vertAlign w:val="superscript"/>
        </w:rPr>
        <w:t>2</w:t>
      </w:r>
      <w:r>
        <w:rPr>
          <w:rFonts w:hint="eastAsia"/>
        </w:rPr>
        <w:t>，</w:t>
      </w:r>
      <w:r>
        <w:t>施用量为</w:t>
      </w:r>
      <w:r>
        <w:rPr>
          <w:rFonts w:hint="eastAsia"/>
        </w:rPr>
        <w:t>1500</w:t>
      </w:r>
      <w:r>
        <w:t>.00kg/hm</w:t>
      </w:r>
      <w:r>
        <w:rPr>
          <w:vertAlign w:val="superscript"/>
        </w:rPr>
        <w:t>2</w:t>
      </w:r>
      <w:r>
        <w:t>。</w:t>
      </w:r>
      <w:r>
        <w:rPr>
          <w:rFonts w:hint="eastAsia"/>
        </w:rPr>
        <w:t>林地、草地施肥面积</w:t>
      </w:r>
      <w:r>
        <w:rPr>
          <w:rFonts w:hint="eastAsia" w:eastAsia="宋体"/>
        </w:rPr>
        <w:t>0.2442</w:t>
      </w:r>
      <w:r>
        <w:rPr>
          <w:rFonts w:hint="eastAsia"/>
        </w:rPr>
        <w:t>hm</w:t>
      </w:r>
      <w:r>
        <w:rPr>
          <w:rFonts w:hint="eastAsia"/>
          <w:vertAlign w:val="superscript"/>
        </w:rPr>
        <w:t>2</w:t>
      </w:r>
      <w:r>
        <w:rPr>
          <w:rFonts w:hint="eastAsia"/>
        </w:rPr>
        <w:t>，</w:t>
      </w:r>
      <w:r>
        <w:t>施用量为</w:t>
      </w:r>
      <w:r>
        <w:rPr>
          <w:rFonts w:hint="eastAsia" w:eastAsia="宋体"/>
        </w:rPr>
        <w:t>4</w:t>
      </w:r>
      <w:r>
        <w:rPr>
          <w:rFonts w:hint="eastAsia"/>
        </w:rPr>
        <w:t>50</w:t>
      </w:r>
      <w:r>
        <w:t>.00kg/hm</w:t>
      </w:r>
      <w:r>
        <w:rPr>
          <w:vertAlign w:val="superscript"/>
        </w:rPr>
        <w:t>2</w:t>
      </w:r>
      <w:r>
        <w:t>。施肥方法为</w:t>
      </w:r>
      <w:r>
        <w:rPr>
          <w:rFonts w:hint="eastAsia"/>
        </w:rPr>
        <w:t>撒施</w:t>
      </w:r>
      <w:r>
        <w:t>，经过后期松土措施将有机-无机复混肥</w:t>
      </w:r>
      <w:r>
        <w:rPr>
          <w:rFonts w:hint="eastAsia"/>
        </w:rPr>
        <w:t>翻入表土中</w:t>
      </w:r>
      <w:r>
        <w:t>。</w:t>
      </w:r>
    </w:p>
    <w:p>
      <w:pPr>
        <w:ind w:firstLine="482"/>
        <w:rPr>
          <w:b/>
        </w:rPr>
      </w:pPr>
      <w:r>
        <w:rPr>
          <w:rFonts w:hint="eastAsia"/>
          <w:b/>
        </w:rPr>
        <w:t>b）植被的筛选与种植</w:t>
      </w:r>
    </w:p>
    <w:p>
      <w:pPr>
        <w:ind w:firstLine="480"/>
      </w:pPr>
      <w:r>
        <w:t>项目区地表原植被遭到破坏后，应当筛选适当的先锋植物对复垦土地进行改良，同时要筛选适宜的适生植物作为土地复垦重建植被的对象。</w:t>
      </w:r>
      <w:r>
        <w:rPr>
          <w:rFonts w:hint="eastAsia"/>
          <w:lang w:val="en-US" w:eastAsia="zh-CN"/>
        </w:rPr>
        <w:t>水浇地、果园复垦完成后交还权利人，由权利人自行耕种。</w:t>
      </w:r>
      <w:r>
        <w:rPr>
          <w:rFonts w:hint="eastAsia"/>
        </w:rPr>
        <w:t>乔木及灌木根系较长，根系生长影响管线使用安全，</w:t>
      </w:r>
      <w:r>
        <w:rPr>
          <w:rFonts w:hint="eastAsia"/>
          <w:lang w:eastAsia="zh-CN"/>
        </w:rPr>
        <w:t>林地及草地区</w:t>
      </w:r>
      <w:r>
        <w:rPr>
          <w:rFonts w:hint="eastAsia"/>
        </w:rPr>
        <w:t>域采用撒播草籽措施恢复植被。</w:t>
      </w:r>
      <w:r>
        <w:t>种子选择的依据如下：</w:t>
      </w:r>
    </w:p>
    <w:p>
      <w:pPr>
        <w:ind w:firstLine="480"/>
      </w:pPr>
      <w:r>
        <w:t>1）对土壤质地要求不高，对气候适应性强，耐瘠薄，耐旱，生存能力强；</w:t>
      </w:r>
    </w:p>
    <w:p>
      <w:pPr>
        <w:ind w:firstLine="480"/>
      </w:pPr>
      <w:r>
        <w:rPr>
          <w:rFonts w:hint="eastAsia"/>
        </w:rPr>
        <w:t>2</w:t>
      </w:r>
      <w:r>
        <w:t>）当地适生草种，无需养护或便于养护；</w:t>
      </w:r>
    </w:p>
    <w:p>
      <w:pPr>
        <w:ind w:firstLine="480"/>
        <w:rPr>
          <w:szCs w:val="21"/>
        </w:rPr>
      </w:pPr>
      <w:r>
        <w:rPr>
          <w:rFonts w:hint="eastAsia"/>
        </w:rPr>
        <w:t>3</w:t>
      </w:r>
      <w:r>
        <w:t>）抗逆性强。</w:t>
      </w:r>
    </w:p>
    <w:p>
      <w:pPr>
        <w:ind w:firstLine="480"/>
        <w:rPr>
          <w:rFonts w:eastAsia="黑体"/>
          <w:sz w:val="32"/>
          <w:szCs w:val="32"/>
        </w:rPr>
      </w:pPr>
      <w:r>
        <w:t>根据以上原则，结合项目区立地条件分析，可选取的植物种有</w:t>
      </w:r>
      <w:r>
        <w:rPr>
          <w:rFonts w:hint="eastAsia"/>
        </w:rPr>
        <w:t>灰绿藜、芨芨草、碱蒿</w:t>
      </w:r>
      <w:r>
        <w:t>等，本方案确定选择</w:t>
      </w:r>
      <w:r>
        <w:rPr>
          <w:rFonts w:hint="eastAsia"/>
        </w:rPr>
        <w:t>灰绿藜、芨芨草、碱蒿</w:t>
      </w:r>
      <w:r>
        <w:t>作为复垦植被。</w:t>
      </w:r>
      <w:r>
        <w:rPr>
          <w:rFonts w:hint="eastAsia"/>
        </w:rPr>
        <w:t>项目区可选择适生物种及其生态学特性见表5.2.2-1。</w:t>
      </w:r>
    </w:p>
    <w:p>
      <w:pPr>
        <w:snapToGrid w:val="0"/>
        <w:ind w:firstLine="0" w:firstLineChars="0"/>
        <w:jc w:val="center"/>
        <w:rPr>
          <w:rFonts w:eastAsia="黑体"/>
          <w:sz w:val="32"/>
          <w:szCs w:val="32"/>
        </w:rPr>
      </w:pPr>
      <w:r>
        <w:rPr>
          <w:rFonts w:eastAsia="黑体"/>
          <w:sz w:val="21"/>
        </w:rPr>
        <w:t>表</w:t>
      </w:r>
      <w:r>
        <w:rPr>
          <w:rFonts w:hint="eastAsia" w:eastAsia="黑体"/>
          <w:sz w:val="21"/>
        </w:rPr>
        <w:t>5.2.2</w:t>
      </w:r>
      <w:r>
        <w:rPr>
          <w:rFonts w:eastAsia="黑体"/>
          <w:sz w:val="21"/>
        </w:rPr>
        <w:t>-1 项目区适生物种及其生态学特性</w:t>
      </w:r>
    </w:p>
    <w:tbl>
      <w:tblPr>
        <w:tblStyle w:val="88"/>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75"/>
        <w:gridCol w:w="1064"/>
        <w:gridCol w:w="6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7" w:type="dxa"/>
            <w:vAlign w:val="center"/>
          </w:tcPr>
          <w:p>
            <w:pPr>
              <w:snapToGrid w:val="0"/>
              <w:spacing w:line="240" w:lineRule="auto"/>
              <w:ind w:firstLine="0" w:firstLineChars="0"/>
              <w:jc w:val="center"/>
              <w:rPr>
                <w:sz w:val="21"/>
                <w:szCs w:val="20"/>
              </w:rPr>
            </w:pPr>
            <w:r>
              <w:rPr>
                <w:sz w:val="21"/>
                <w:szCs w:val="20"/>
              </w:rPr>
              <w:t>种类</w:t>
            </w:r>
          </w:p>
        </w:tc>
        <w:tc>
          <w:tcPr>
            <w:tcW w:w="975" w:type="dxa"/>
            <w:vAlign w:val="center"/>
          </w:tcPr>
          <w:p>
            <w:pPr>
              <w:snapToGrid w:val="0"/>
              <w:spacing w:line="240" w:lineRule="auto"/>
              <w:ind w:firstLine="0" w:firstLineChars="0"/>
              <w:jc w:val="center"/>
              <w:rPr>
                <w:sz w:val="21"/>
                <w:szCs w:val="20"/>
              </w:rPr>
            </w:pPr>
            <w:r>
              <w:rPr>
                <w:sz w:val="21"/>
                <w:szCs w:val="20"/>
              </w:rPr>
              <w:t>植物</w:t>
            </w:r>
          </w:p>
        </w:tc>
        <w:tc>
          <w:tcPr>
            <w:tcW w:w="1064" w:type="dxa"/>
            <w:vAlign w:val="center"/>
          </w:tcPr>
          <w:p>
            <w:pPr>
              <w:snapToGrid w:val="0"/>
              <w:spacing w:line="240" w:lineRule="auto"/>
              <w:ind w:firstLine="0" w:firstLineChars="0"/>
              <w:jc w:val="center"/>
              <w:rPr>
                <w:sz w:val="21"/>
                <w:szCs w:val="20"/>
              </w:rPr>
            </w:pPr>
            <w:r>
              <w:rPr>
                <w:sz w:val="21"/>
                <w:szCs w:val="20"/>
              </w:rPr>
              <w:t>科、属</w:t>
            </w:r>
          </w:p>
        </w:tc>
        <w:tc>
          <w:tcPr>
            <w:tcW w:w="6340" w:type="dxa"/>
            <w:vAlign w:val="center"/>
          </w:tcPr>
          <w:p>
            <w:pPr>
              <w:snapToGrid w:val="0"/>
              <w:spacing w:line="240" w:lineRule="auto"/>
              <w:ind w:firstLine="0" w:firstLineChars="0"/>
              <w:jc w:val="center"/>
              <w:rPr>
                <w:sz w:val="21"/>
                <w:szCs w:val="20"/>
              </w:rPr>
            </w:pPr>
            <w:r>
              <w:rPr>
                <w:sz w:val="21"/>
                <w:szCs w:val="20"/>
              </w:rPr>
              <w:t>生物学特性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vAlign w:val="center"/>
          </w:tcPr>
          <w:p>
            <w:pPr>
              <w:snapToGrid w:val="0"/>
              <w:spacing w:line="240" w:lineRule="auto"/>
              <w:ind w:firstLine="0" w:firstLineChars="0"/>
              <w:jc w:val="center"/>
              <w:rPr>
                <w:sz w:val="21"/>
                <w:szCs w:val="20"/>
              </w:rPr>
            </w:pPr>
            <w:r>
              <w:rPr>
                <w:sz w:val="21"/>
                <w:szCs w:val="20"/>
              </w:rPr>
              <w:t>草本</w:t>
            </w:r>
          </w:p>
        </w:tc>
        <w:tc>
          <w:tcPr>
            <w:tcW w:w="975" w:type="dxa"/>
            <w:vAlign w:val="center"/>
          </w:tcPr>
          <w:p>
            <w:pPr>
              <w:snapToGrid w:val="0"/>
              <w:spacing w:line="240" w:lineRule="auto"/>
              <w:ind w:firstLine="0" w:firstLineChars="0"/>
              <w:jc w:val="center"/>
              <w:rPr>
                <w:sz w:val="21"/>
              </w:rPr>
            </w:pPr>
            <w:r>
              <w:rPr>
                <w:rFonts w:hint="eastAsia"/>
                <w:sz w:val="21"/>
              </w:rPr>
              <w:t>灰绿藜</w:t>
            </w:r>
          </w:p>
        </w:tc>
        <w:tc>
          <w:tcPr>
            <w:tcW w:w="1064" w:type="dxa"/>
            <w:vAlign w:val="center"/>
          </w:tcPr>
          <w:p>
            <w:pPr>
              <w:snapToGrid w:val="0"/>
              <w:spacing w:line="240" w:lineRule="auto"/>
              <w:ind w:firstLine="0" w:firstLineChars="0"/>
              <w:jc w:val="center"/>
              <w:rPr>
                <w:sz w:val="21"/>
              </w:rPr>
            </w:pPr>
            <w:r>
              <w:rPr>
                <w:rFonts w:hint="eastAsia"/>
                <w:sz w:val="21"/>
              </w:rPr>
              <w:t>苋科、市藜属</w:t>
            </w:r>
          </w:p>
        </w:tc>
        <w:tc>
          <w:tcPr>
            <w:tcW w:w="6340" w:type="dxa"/>
          </w:tcPr>
          <w:p>
            <w:pPr>
              <w:snapToGrid w:val="0"/>
              <w:spacing w:line="240" w:lineRule="auto"/>
              <w:ind w:firstLine="0" w:firstLineChars="0"/>
              <w:jc w:val="left"/>
              <w:rPr>
                <w:sz w:val="21"/>
              </w:rPr>
            </w:pPr>
            <w:r>
              <w:rPr>
                <w:sz w:val="21"/>
              </w:rPr>
              <w:t>一年生</w:t>
            </w:r>
            <w:r>
              <w:fldChar w:fldCharType="begin"/>
            </w:r>
            <w:r>
              <w:instrText xml:space="preserve"> HYPERLINK "https://baike.baidu.com/item/%E8%8D%89%E6%9C%AC/541696?fromModule=lemma_inlink" \t "https://baike.baidu.com/item/%E7%81%B0%E7%BB%BF%E8%97%9C/_blank" </w:instrText>
            </w:r>
            <w:r>
              <w:fldChar w:fldCharType="separate"/>
            </w:r>
            <w:r>
              <w:rPr>
                <w:sz w:val="21"/>
              </w:rPr>
              <w:t>草本</w:t>
            </w:r>
            <w:r>
              <w:rPr>
                <w:sz w:val="21"/>
              </w:rPr>
              <w:fldChar w:fldCharType="end"/>
            </w:r>
            <w:r>
              <w:rPr>
                <w:sz w:val="21"/>
              </w:rPr>
              <w:t>植物，高可达40厘米。茎平卧或外倾，具条棱及绿色或紫红色色条。</w:t>
            </w:r>
            <w:r>
              <w:fldChar w:fldCharType="begin"/>
            </w:r>
            <w:r>
              <w:instrText xml:space="preserve"> HYPERLINK "https://baike.baidu.com/item/%E5%8F%B6%E7%89%87/6728903?fromModule=lemma_inlink" \t "https://baike.baidu.com/item/%E7%81%B0%E7%BB%BF%E8%97%9C/_blank" </w:instrText>
            </w:r>
            <w:r>
              <w:fldChar w:fldCharType="separate"/>
            </w:r>
            <w:r>
              <w:rPr>
                <w:sz w:val="21"/>
              </w:rPr>
              <w:t>叶片</w:t>
            </w:r>
            <w:r>
              <w:rPr>
                <w:sz w:val="21"/>
              </w:rPr>
              <w:fldChar w:fldCharType="end"/>
            </w:r>
            <w:r>
              <w:rPr>
                <w:sz w:val="21"/>
              </w:rPr>
              <w:t>矩圆状卵形至披针形，肥厚，先端急尖或钝，基部渐狭，边缘具缺刻状牙齿，上面无粉，平滑，下面有粉而呈灰白色，有稍带紫红色；中脉明显，黄绿色；花两性兼有雌性，通常数花聚成团伞花序，再于分枝上排列成有间断而通常短于叶的穗状或圆锥状花序；花被</w:t>
            </w:r>
            <w:r>
              <w:fldChar w:fldCharType="begin"/>
            </w:r>
            <w:r>
              <w:instrText xml:space="preserve"> HYPERLINK "https://baike.baidu.com/item/%E8%A3%82%E7%89%87/1893009?fromModule=lemma_inlink" \t "https://baike.baidu.com/item/%E7%81%B0%E7%BB%BF%E8%97%9C/_blank" </w:instrText>
            </w:r>
            <w:r>
              <w:fldChar w:fldCharType="separate"/>
            </w:r>
            <w:r>
              <w:rPr>
                <w:sz w:val="21"/>
              </w:rPr>
              <w:t>裂片</w:t>
            </w:r>
            <w:r>
              <w:rPr>
                <w:sz w:val="21"/>
              </w:rPr>
              <w:fldChar w:fldCharType="end"/>
            </w:r>
            <w:r>
              <w:rPr>
                <w:sz w:val="21"/>
              </w:rPr>
              <w:t>浅绿色，稍肥厚，通常无粉，狭矩圆形或倒卵状披针形，花丝不伸出花被，花药球形；果皮膜质，黄白色。种子扁球形，5-10月开花结果。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vAlign w:val="center"/>
          </w:tcPr>
          <w:p>
            <w:pPr>
              <w:snapToGrid w:val="0"/>
              <w:spacing w:line="240" w:lineRule="auto"/>
              <w:ind w:firstLine="0" w:firstLineChars="0"/>
              <w:jc w:val="center"/>
              <w:rPr>
                <w:sz w:val="21"/>
                <w:szCs w:val="20"/>
              </w:rPr>
            </w:pPr>
          </w:p>
        </w:tc>
        <w:tc>
          <w:tcPr>
            <w:tcW w:w="975" w:type="dxa"/>
            <w:vAlign w:val="center"/>
          </w:tcPr>
          <w:p>
            <w:pPr>
              <w:snapToGrid w:val="0"/>
              <w:spacing w:line="240" w:lineRule="auto"/>
              <w:ind w:firstLine="0" w:firstLineChars="0"/>
              <w:jc w:val="center"/>
              <w:rPr>
                <w:sz w:val="21"/>
              </w:rPr>
            </w:pPr>
            <w:r>
              <w:rPr>
                <w:rFonts w:hint="eastAsia"/>
                <w:sz w:val="21"/>
              </w:rPr>
              <w:t>芨芨草</w:t>
            </w:r>
          </w:p>
        </w:tc>
        <w:tc>
          <w:tcPr>
            <w:tcW w:w="1064" w:type="dxa"/>
            <w:vAlign w:val="center"/>
          </w:tcPr>
          <w:p>
            <w:pPr>
              <w:snapToGrid w:val="0"/>
              <w:spacing w:line="240" w:lineRule="auto"/>
              <w:ind w:firstLine="0" w:firstLineChars="0"/>
              <w:jc w:val="center"/>
              <w:rPr>
                <w:sz w:val="21"/>
              </w:rPr>
            </w:pPr>
            <w:r>
              <w:rPr>
                <w:rFonts w:hint="eastAsia"/>
                <w:sz w:val="21"/>
              </w:rPr>
              <w:t>草禾本科芨芨草属</w:t>
            </w:r>
          </w:p>
        </w:tc>
        <w:tc>
          <w:tcPr>
            <w:tcW w:w="6340" w:type="dxa"/>
          </w:tcPr>
          <w:p>
            <w:pPr>
              <w:snapToGrid w:val="0"/>
              <w:spacing w:line="240" w:lineRule="auto"/>
              <w:ind w:firstLine="0" w:firstLineChars="0"/>
              <w:jc w:val="left"/>
              <w:rPr>
                <w:sz w:val="21"/>
              </w:rPr>
            </w:pPr>
            <w:r>
              <w:rPr>
                <w:sz w:val="21"/>
              </w:rPr>
              <w:t>多年生</w:t>
            </w:r>
            <w:r>
              <w:fldChar w:fldCharType="begin"/>
            </w:r>
            <w:r>
              <w:instrText xml:space="preserve"> HYPERLINK "https://baike.baidu.com/item/%E8%8D%89%E6%9C%AC%E6%A4%8D%E7%89%A9/719271?fromModule=lemma_inlink" \t "https://baike.baidu.com/item/%E8%8A%A8%E8%8A%A8%E8%8D%89/_blank" </w:instrText>
            </w:r>
            <w:r>
              <w:fldChar w:fldCharType="separate"/>
            </w:r>
            <w:r>
              <w:rPr>
                <w:sz w:val="21"/>
              </w:rPr>
              <w:t>草本植物</w:t>
            </w:r>
            <w:r>
              <w:rPr>
                <w:sz w:val="21"/>
              </w:rPr>
              <w:fldChar w:fldCharType="end"/>
            </w:r>
            <w:r>
              <w:rPr>
                <w:sz w:val="21"/>
              </w:rPr>
              <w:t>，植株具粗而坚韧的须根秆直立，坚硬，内具白色的髓，形成大的密丛；叶舌三角形或尖披针形，叶片纵卷，质坚韧，圆锥花序，开花时呈金字塔形开展，分枝细弱，平展或斜向上；小穗长灰绿色，成熟后常变草黄色；花果期6~9月。芨芨草的名字，来源于《汉书》所载的“息鸡草”，取鸡喜栖息其下之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677" w:type="dxa"/>
            <w:vMerge w:val="continue"/>
            <w:vAlign w:val="center"/>
          </w:tcPr>
          <w:p>
            <w:pPr>
              <w:snapToGrid w:val="0"/>
              <w:spacing w:line="240" w:lineRule="auto"/>
              <w:ind w:firstLine="0" w:firstLineChars="0"/>
              <w:jc w:val="center"/>
              <w:rPr>
                <w:sz w:val="21"/>
                <w:szCs w:val="20"/>
              </w:rPr>
            </w:pPr>
          </w:p>
        </w:tc>
        <w:tc>
          <w:tcPr>
            <w:tcW w:w="975" w:type="dxa"/>
            <w:vAlign w:val="center"/>
          </w:tcPr>
          <w:p>
            <w:pPr>
              <w:snapToGrid w:val="0"/>
              <w:spacing w:line="240" w:lineRule="auto"/>
              <w:ind w:firstLine="0" w:firstLineChars="0"/>
              <w:jc w:val="center"/>
              <w:rPr>
                <w:sz w:val="21"/>
              </w:rPr>
            </w:pPr>
            <w:r>
              <w:rPr>
                <w:rFonts w:hint="eastAsia"/>
                <w:sz w:val="21"/>
              </w:rPr>
              <w:t>碱蒿</w:t>
            </w:r>
          </w:p>
        </w:tc>
        <w:tc>
          <w:tcPr>
            <w:tcW w:w="1064" w:type="dxa"/>
            <w:vAlign w:val="center"/>
          </w:tcPr>
          <w:p>
            <w:pPr>
              <w:snapToGrid w:val="0"/>
              <w:spacing w:line="240" w:lineRule="auto"/>
              <w:ind w:firstLine="0" w:firstLineChars="0"/>
              <w:jc w:val="center"/>
              <w:rPr>
                <w:sz w:val="21"/>
              </w:rPr>
            </w:pPr>
            <w:r>
              <w:rPr>
                <w:rFonts w:hint="eastAsia"/>
                <w:sz w:val="21"/>
              </w:rPr>
              <w:t>菊科、蒿属</w:t>
            </w:r>
          </w:p>
        </w:tc>
        <w:tc>
          <w:tcPr>
            <w:tcW w:w="6340" w:type="dxa"/>
          </w:tcPr>
          <w:p>
            <w:pPr>
              <w:snapToGrid w:val="0"/>
              <w:spacing w:line="240" w:lineRule="auto"/>
              <w:ind w:firstLine="0" w:firstLineChars="0"/>
              <w:jc w:val="left"/>
              <w:rPr>
                <w:sz w:val="21"/>
              </w:rPr>
            </w:pPr>
            <w:r>
              <w:rPr>
                <w:sz w:val="21"/>
              </w:rPr>
              <w:t>一、二年生</w:t>
            </w:r>
            <w:r>
              <w:fldChar w:fldCharType="begin"/>
            </w:r>
            <w:r>
              <w:instrText xml:space="preserve"> HYPERLINK "https://baike.baidu.com/item/%E8%8D%89%E6%9C%AC/541696?fromModule=lemma_inlink" \t "https://baike.baidu.com/item/%E7%A2%B1%E8%92%BF/_blank" </w:instrText>
            </w:r>
            <w:r>
              <w:fldChar w:fldCharType="separate"/>
            </w:r>
            <w:r>
              <w:rPr>
                <w:sz w:val="21"/>
              </w:rPr>
              <w:t>草本</w:t>
            </w:r>
            <w:r>
              <w:rPr>
                <w:sz w:val="21"/>
              </w:rPr>
              <w:fldChar w:fldCharType="end"/>
            </w:r>
            <w:r>
              <w:rPr>
                <w:sz w:val="21"/>
              </w:rPr>
              <w:t>植物；植株有浓烈的香气。茎单生，稀少数，高可达50厘米，基生叶椭圆形或长卵形，二至三回羽状全裂，每</w:t>
            </w:r>
            <w:r>
              <w:fldChar w:fldCharType="begin"/>
            </w:r>
            <w:r>
              <w:instrText xml:space="preserve"> HYPERLINK "https://baike.baidu.com/item/%E8%A3%82%E7%89%87/1893009?fromModule=lemma_inlink" \t "https://baike.baidu.com/item/%E7%A2%B1%E8%92%BF/_blank" </w:instrText>
            </w:r>
            <w:r>
              <w:fldChar w:fldCharType="separate"/>
            </w:r>
            <w:r>
              <w:rPr>
                <w:sz w:val="21"/>
              </w:rPr>
              <w:t>裂片</w:t>
            </w:r>
            <w:r>
              <w:rPr>
                <w:sz w:val="21"/>
              </w:rPr>
              <w:fldChar w:fldCharType="end"/>
            </w:r>
            <w:r>
              <w:rPr>
                <w:sz w:val="21"/>
              </w:rPr>
              <w:t>再次羽状全裂，小裂片狭线形，头状花序半球形或宽卵形，下垂或斜生，花序托凸起，半球形，具白色托毛；花冠狭管状，花柱伸出花冠外，两性花，花冠管状，花药线形，瘦果椭圆形或倒卵形，8-10月开花结果。</w:t>
            </w:r>
          </w:p>
        </w:tc>
      </w:tr>
    </w:tbl>
    <w:p>
      <w:pPr>
        <w:ind w:firstLine="482"/>
        <w:rPr>
          <w:b/>
          <w:sz w:val="32"/>
          <w:szCs w:val="32"/>
        </w:rPr>
      </w:pPr>
      <w:r>
        <w:rPr>
          <w:rFonts w:hint="eastAsia"/>
          <w:b/>
        </w:rPr>
        <w:t>c）</w:t>
      </w:r>
      <w:r>
        <w:rPr>
          <w:b/>
        </w:rPr>
        <w:t>植被配置模式</w:t>
      </w:r>
    </w:p>
    <w:p>
      <w:pPr>
        <w:ind w:firstLine="480"/>
      </w:pPr>
      <w:r>
        <w:t>植被配置模式要适应当地的自然条件和立地条件，符合水土保持、防风固沙的要求，适合先锋植物的生理生态习性。要求管理简单易行，投资少，见效快，遵循植被生长的自然演替规律，保证植被的稳定和可持续发展等要求。</w:t>
      </w:r>
    </w:p>
    <w:p>
      <w:pPr>
        <w:ind w:firstLine="480"/>
      </w:pPr>
      <w:r>
        <w:rPr>
          <w:rFonts w:hint="eastAsia"/>
        </w:rPr>
        <w:t>本项目损毁土地主要复垦为水浇地，果园，乔木林地，其他林地，其他草地，农村道路，农村宅基地，采矿用地，公路用地，其他特殊用地，沟渠。项目临时使用的耕地、园地复垦完成后交还原土地使用权人进行耕种。乔木及灌木根系较长，根系生长影响管线使用安全，</w:t>
      </w:r>
      <w:r>
        <w:rPr>
          <w:rFonts w:hint="eastAsia"/>
          <w:lang w:eastAsia="zh-CN"/>
        </w:rPr>
        <w:t>林地及草地区</w:t>
      </w:r>
      <w:r>
        <w:rPr>
          <w:rFonts w:hint="eastAsia"/>
        </w:rPr>
        <w:t>域采用撒播草籽措施恢复地表植被。损毁土地复垦为其他草地时，为保证重建植被的多样性和成活率，采取直播草籽模式，恢复地表植被。</w:t>
      </w:r>
    </w:p>
    <w:p>
      <w:pPr>
        <w:ind w:firstLine="0" w:firstLineChars="0"/>
        <w:outlineLvl w:val="2"/>
        <w:rPr>
          <w:rFonts w:eastAsia="黑体" w:cs="方正仿宋简体"/>
          <w:sz w:val="28"/>
        </w:rPr>
      </w:pPr>
      <w:bookmarkStart w:id="673" w:name="_Toc22103"/>
      <w:bookmarkStart w:id="674" w:name="_Toc1141"/>
      <w:bookmarkStart w:id="675" w:name="_Toc116061653"/>
      <w:bookmarkStart w:id="676" w:name="_Toc901"/>
      <w:r>
        <w:rPr>
          <w:rFonts w:eastAsia="黑体" w:cs="方正仿宋简体"/>
          <w:sz w:val="28"/>
        </w:rPr>
        <w:t>6.</w:t>
      </w:r>
      <w:r>
        <w:rPr>
          <w:rFonts w:hint="eastAsia" w:eastAsia="黑体" w:cs="方正仿宋简体"/>
          <w:sz w:val="28"/>
        </w:rPr>
        <w:t>2.</w:t>
      </w:r>
      <w:r>
        <w:rPr>
          <w:rFonts w:eastAsia="黑体" w:cs="方正仿宋简体"/>
          <w:sz w:val="28"/>
        </w:rPr>
        <w:t>3</w:t>
      </w:r>
      <w:r>
        <w:rPr>
          <w:rFonts w:hint="eastAsia" w:eastAsia="黑体" w:cs="方正仿宋简体"/>
          <w:sz w:val="28"/>
        </w:rPr>
        <w:t>监测措施</w:t>
      </w:r>
      <w:bookmarkEnd w:id="673"/>
      <w:bookmarkEnd w:id="674"/>
      <w:bookmarkEnd w:id="675"/>
      <w:bookmarkEnd w:id="676"/>
    </w:p>
    <w:p>
      <w:pPr>
        <w:ind w:firstLine="480"/>
      </w:pPr>
      <w:r>
        <w:rPr>
          <w:rFonts w:hint="eastAsia"/>
        </w:rPr>
        <w:t>开展实施土地复垦监测是及时掌握土地损毁情况、保证复垦效果的重要手段。主要对项目工程损毁土地范围、损毁土地面积、损毁土地程度、损毁土地类型、土壤肥力情况、植被生长情况、土壤理化性质情况等进行监测。实施土地复垦监测应设置监测点和监测频率，监测点和监测频率应采取科学的技术方法进行合理优化设置。本项目复垦监测工作由泽普县淼鑫水务有限责任公司组织完成，并对获取的监测数据成果进行整理和汇总入库。具体措施如下所示：</w:t>
      </w:r>
    </w:p>
    <w:p>
      <w:pPr>
        <w:snapToGrid w:val="0"/>
        <w:ind w:firstLine="482"/>
        <w:rPr>
          <w:b/>
        </w:rPr>
      </w:pPr>
      <w:r>
        <w:rPr>
          <w:b/>
        </w:rPr>
        <w:t>a</w:t>
      </w:r>
      <w:r>
        <w:rPr>
          <w:rFonts w:ascii="仿宋_GB2312"/>
          <w:b/>
        </w:rPr>
        <w:t>）监测内容</w:t>
      </w:r>
    </w:p>
    <w:p>
      <w:pPr>
        <w:snapToGrid w:val="0"/>
        <w:ind w:firstLine="480"/>
      </w:pPr>
      <w:r>
        <w:rPr>
          <w:rFonts w:ascii="仿宋_GB2312"/>
        </w:rPr>
        <w:t>本方案监测内容主要包括土地损毁监测</w:t>
      </w:r>
      <w:r>
        <w:rPr>
          <w:rFonts w:hint="eastAsia" w:ascii="仿宋_GB2312"/>
        </w:rPr>
        <w:t>及复垦效果监测</w:t>
      </w:r>
      <w:r>
        <w:rPr>
          <w:rFonts w:ascii="仿宋_GB2312"/>
        </w:rPr>
        <w:t>。</w:t>
      </w:r>
    </w:p>
    <w:p>
      <w:pPr>
        <w:snapToGrid w:val="0"/>
        <w:spacing w:line="360" w:lineRule="auto"/>
        <w:ind w:firstLine="480"/>
        <w:jc w:val="left"/>
      </w:pPr>
      <w:r>
        <w:rPr>
          <w:rFonts w:hint="eastAsia"/>
        </w:rPr>
        <w:t>a）土地损毁监测</w:t>
      </w:r>
    </w:p>
    <w:p>
      <w:pPr>
        <w:snapToGrid w:val="0"/>
        <w:spacing w:line="360" w:lineRule="auto"/>
        <w:ind w:firstLine="480"/>
        <w:jc w:val="left"/>
      </w:pPr>
      <w:r>
        <w:rPr>
          <w:rFonts w:hint="eastAsia"/>
        </w:rPr>
        <w:t>1）监测内容</w:t>
      </w:r>
    </w:p>
    <w:p>
      <w:pPr>
        <w:snapToGrid w:val="0"/>
        <w:spacing w:line="360" w:lineRule="auto"/>
        <w:ind w:firstLine="480"/>
        <w:jc w:val="left"/>
      </w:pPr>
      <w:r>
        <w:rPr>
          <w:rFonts w:hint="eastAsia"/>
        </w:rPr>
        <w:t>对挖损土地损毁范围、损毁程度及植被影响情况进行监测。</w:t>
      </w:r>
    </w:p>
    <w:p>
      <w:pPr>
        <w:snapToGrid w:val="0"/>
        <w:spacing w:line="360" w:lineRule="auto"/>
        <w:ind w:firstLine="480"/>
        <w:jc w:val="left"/>
      </w:pPr>
      <w:r>
        <w:rPr>
          <w:rFonts w:hint="eastAsia"/>
        </w:rPr>
        <w:t>2）监测点设置</w:t>
      </w:r>
    </w:p>
    <w:p>
      <w:pPr>
        <w:snapToGrid w:val="0"/>
        <w:spacing w:line="360" w:lineRule="auto"/>
        <w:ind w:firstLine="480"/>
        <w:jc w:val="left"/>
      </w:pPr>
      <w:r>
        <w:rPr>
          <w:rFonts w:hint="eastAsia"/>
        </w:rPr>
        <w:t>本项目在供水管线用地共设置6个土地损毁监测点。在项目建设完成后进行1次土地损毁监测。</w:t>
      </w:r>
    </w:p>
    <w:p>
      <w:pPr>
        <w:snapToGrid w:val="0"/>
        <w:spacing w:line="360" w:lineRule="auto"/>
        <w:ind w:firstLine="480"/>
        <w:jc w:val="left"/>
      </w:pPr>
      <w:r>
        <w:rPr>
          <w:rFonts w:hint="eastAsia"/>
        </w:rPr>
        <w:t>3）监测方法</w:t>
      </w:r>
    </w:p>
    <w:p>
      <w:pPr>
        <w:snapToGrid w:val="0"/>
        <w:spacing w:line="360" w:lineRule="auto"/>
        <w:ind w:firstLine="480"/>
        <w:jc w:val="left"/>
      </w:pPr>
      <w:r>
        <w:rPr>
          <w:rFonts w:hint="eastAsia"/>
        </w:rPr>
        <w:t>采用实地勘测、地形测量等方法，结合GIS和GPS技术的应用，对上述内容进行监测。</w:t>
      </w:r>
    </w:p>
    <w:p>
      <w:pPr>
        <w:snapToGrid w:val="0"/>
        <w:spacing w:line="360" w:lineRule="auto"/>
        <w:ind w:firstLine="480"/>
        <w:jc w:val="left"/>
      </w:pPr>
      <w:r>
        <w:rPr>
          <w:rFonts w:hint="eastAsia"/>
        </w:rPr>
        <w:t>b）土地复垦效果监测</w:t>
      </w:r>
    </w:p>
    <w:p>
      <w:pPr>
        <w:snapToGrid w:val="0"/>
        <w:spacing w:line="360" w:lineRule="auto"/>
        <w:ind w:firstLine="480"/>
        <w:jc w:val="left"/>
      </w:pPr>
      <w:r>
        <w:rPr>
          <w:rFonts w:hint="eastAsia"/>
        </w:rPr>
        <w:t>1）土壤质量监测</w:t>
      </w:r>
    </w:p>
    <w:p>
      <w:pPr>
        <w:snapToGrid w:val="0"/>
        <w:spacing w:line="360" w:lineRule="auto"/>
        <w:ind w:firstLine="480"/>
        <w:jc w:val="left"/>
      </w:pPr>
      <w:r>
        <w:rPr>
          <w:rFonts w:hint="eastAsia"/>
        </w:rPr>
        <w:t>监测内容与方法：有效土层厚度、土壤砾石含量、土壤容重、PH值、有机质含量等。采用定点监测，工程开工建设前监测1次，复垦施工完成后监测1次。</w:t>
      </w:r>
    </w:p>
    <w:p>
      <w:pPr>
        <w:snapToGrid w:val="0"/>
        <w:spacing w:line="360" w:lineRule="auto"/>
        <w:ind w:firstLine="480"/>
        <w:jc w:val="left"/>
      </w:pPr>
      <w:r>
        <w:rPr>
          <w:rFonts w:hint="eastAsia"/>
        </w:rPr>
        <w:t>2）植被恢复监测</w:t>
      </w:r>
    </w:p>
    <w:p>
      <w:pPr>
        <w:snapToGrid w:val="0"/>
        <w:spacing w:line="360" w:lineRule="auto"/>
        <w:ind w:firstLine="480"/>
        <w:jc w:val="left"/>
      </w:pPr>
      <w:r>
        <w:rPr>
          <w:rFonts w:hint="eastAsia"/>
        </w:rPr>
        <w:t>监测内容与方法：草地植被恢复状况、植被存活率、植被群落分布、植物种类、植被覆盖度等。采用定点监测，持续监测3年，每年监测3次（5月、7月、9月各1次）。</w:t>
      </w:r>
    </w:p>
    <w:p>
      <w:pPr>
        <w:numPr>
          <w:ilvl w:val="0"/>
          <w:numId w:val="2"/>
        </w:numPr>
        <w:snapToGrid w:val="0"/>
        <w:spacing w:line="360" w:lineRule="auto"/>
        <w:ind w:firstLine="480"/>
        <w:jc w:val="left"/>
      </w:pPr>
      <w:r>
        <w:rPr>
          <w:rFonts w:hint="eastAsia"/>
        </w:rPr>
        <w:t>监测点设置</w:t>
      </w:r>
    </w:p>
    <w:p>
      <w:pPr>
        <w:snapToGrid w:val="0"/>
        <w:spacing w:line="360" w:lineRule="auto"/>
        <w:ind w:firstLine="480"/>
        <w:jc w:val="left"/>
      </w:pPr>
      <w:r>
        <w:rPr>
          <w:rFonts w:hint="eastAsia"/>
        </w:rPr>
        <w:t>本项目在供水管线用地共设置6个土壤质量监测点、设置3个植被恢复监测点。土壤质量监测工程开工建设前监测1次，复垦施工完成后监测1次。在管护期内，植被恢复监测3次/年。</w:t>
      </w:r>
    </w:p>
    <w:p>
      <w:pPr>
        <w:snapToGrid w:val="0"/>
        <w:spacing w:line="360" w:lineRule="auto"/>
        <w:ind w:firstLine="480"/>
        <w:jc w:val="left"/>
      </w:pPr>
      <w:r>
        <w:t>c）复垦监测成果管理</w:t>
      </w:r>
    </w:p>
    <w:p>
      <w:pPr>
        <w:snapToGrid w:val="0"/>
        <w:spacing w:line="360" w:lineRule="auto"/>
        <w:ind w:firstLine="480"/>
        <w:jc w:val="left"/>
        <w:rPr>
          <w:rFonts w:eastAsia="宋体"/>
          <w:sz w:val="21"/>
          <w:szCs w:val="21"/>
        </w:rPr>
      </w:pPr>
      <w:r>
        <w:t>土地复垦外业监测工作完成后，需要对复垦外业监测数据进行整理与汇总，撰写复垦监测成果报告并装订成册，之后报企业土地复垦管理机构归档保存，便于今后查阅。同时，土地复垦监测成果应当定期向地方自然资源主管部门汇报。</w:t>
      </w:r>
    </w:p>
    <w:p>
      <w:pPr>
        <w:ind w:firstLine="0" w:firstLineChars="0"/>
        <w:outlineLvl w:val="2"/>
        <w:rPr>
          <w:rFonts w:eastAsia="黑体" w:cs="方正仿宋简体"/>
          <w:sz w:val="28"/>
        </w:rPr>
      </w:pPr>
      <w:r>
        <w:rPr>
          <w:rFonts w:eastAsia="黑体" w:cs="方正仿宋简体"/>
          <w:sz w:val="28"/>
        </w:rPr>
        <w:t>6.</w:t>
      </w:r>
      <w:r>
        <w:rPr>
          <w:rFonts w:hint="eastAsia" w:eastAsia="黑体" w:cs="方正仿宋简体"/>
          <w:sz w:val="28"/>
        </w:rPr>
        <w:t>2.4管护措施</w:t>
      </w:r>
    </w:p>
    <w:p>
      <w:pPr>
        <w:snapToGrid w:val="0"/>
        <w:spacing w:line="360" w:lineRule="auto"/>
        <w:ind w:firstLine="480"/>
        <w:jc w:val="left"/>
      </w:pPr>
      <w:r>
        <w:t>项目区地处于</w:t>
      </w:r>
      <w:r>
        <w:rPr>
          <w:rFonts w:hint="eastAsia"/>
        </w:rPr>
        <w:t>西北</w:t>
      </w:r>
      <w:r>
        <w:t>干旱区，植被的成活率很难得到保障</w:t>
      </w:r>
      <w:r>
        <w:rPr>
          <w:rFonts w:hint="eastAsia"/>
          <w:lang w:eastAsia="zh-CN"/>
        </w:rPr>
        <w:t>。</w:t>
      </w:r>
      <w:r>
        <w:rPr>
          <w:rFonts w:hint="eastAsia"/>
          <w:lang w:val="en-US" w:eastAsia="zh-CN"/>
        </w:rPr>
        <w:t>水浇地、果园复垦完成后交还权利人，由权利人自行耕种。</w:t>
      </w:r>
      <w:r>
        <w:t>因此，需要对复垦土地进行管护，具体管护措施如下：</w:t>
      </w:r>
    </w:p>
    <w:p>
      <w:pPr>
        <w:snapToGrid w:val="0"/>
        <w:spacing w:line="360" w:lineRule="auto"/>
        <w:ind w:firstLine="480"/>
        <w:jc w:val="left"/>
      </w:pPr>
      <w:r>
        <w:t>a）灌溉措施</w:t>
      </w:r>
    </w:p>
    <w:p>
      <w:pPr>
        <w:snapToGrid w:val="0"/>
        <w:spacing w:line="360" w:lineRule="auto"/>
        <w:ind w:firstLine="480"/>
        <w:jc w:val="left"/>
      </w:pPr>
      <w:r>
        <w:t>项目区气候属</w:t>
      </w:r>
      <w:r>
        <w:rPr>
          <w:rFonts w:hint="eastAsia"/>
        </w:rPr>
        <w:t>大陆性暖温带干旱气候</w:t>
      </w:r>
      <w:r>
        <w:t>，降水稀少，夏季炎热，冬季寒冷，年温差和日温差大，光照充足，热量丰富，蒸发强烈，风沙活动频繁。</w:t>
      </w:r>
      <w:r>
        <w:rPr>
          <w:rFonts w:hint="eastAsia"/>
        </w:rPr>
        <w:t>由于植物生长初期根系未发育完全，管护期第一年需对复垦植被进行人工灌溉，促进植被根系生长。待复垦植被根系发育完全后项目区降水量可满足植被正常生长条件</w:t>
      </w:r>
      <w:r>
        <w:t>。</w:t>
      </w:r>
      <w:r>
        <w:rPr>
          <w:rFonts w:hint="eastAsia"/>
        </w:rPr>
        <w:t>参照新疆《农业灌溉用水定额》（DB65/3611—2014）其他类作物灌水定额，结合项目区降水量确定本项目林地、草地全年灌溉水量3300m</w:t>
      </w:r>
      <w:r>
        <w:rPr>
          <w:rFonts w:hint="eastAsia"/>
          <w:vertAlign w:val="superscript"/>
        </w:rPr>
        <w:t>3</w:t>
      </w:r>
      <w:r>
        <w:rPr>
          <w:rFonts w:hint="eastAsia"/>
        </w:rPr>
        <w:t>/hm</w:t>
      </w:r>
      <w:r>
        <w:rPr>
          <w:rFonts w:hint="eastAsia"/>
          <w:vertAlign w:val="superscript"/>
        </w:rPr>
        <w:t>2</w:t>
      </w:r>
      <w:r>
        <w:rPr>
          <w:rFonts w:hint="eastAsia"/>
        </w:rPr>
        <w:t>，每次洒水灌溉825m</w:t>
      </w:r>
      <w:r>
        <w:rPr>
          <w:rFonts w:hint="eastAsia"/>
          <w:vertAlign w:val="superscript"/>
        </w:rPr>
        <w:t>3</w:t>
      </w:r>
      <w:r>
        <w:rPr>
          <w:rFonts w:hint="eastAsia"/>
        </w:rPr>
        <w:t>/hm</w:t>
      </w:r>
      <w:r>
        <w:rPr>
          <w:rFonts w:hint="eastAsia"/>
          <w:vertAlign w:val="superscript"/>
        </w:rPr>
        <w:t>2</w:t>
      </w:r>
      <w:r>
        <w:rPr>
          <w:rFonts w:hint="eastAsia"/>
        </w:rPr>
        <w:t>，一年灌溉4次。林地、草地区灌溉面积0.2442hm</w:t>
      </w:r>
      <w:r>
        <w:rPr>
          <w:rFonts w:hint="eastAsia"/>
          <w:vertAlign w:val="superscript"/>
        </w:rPr>
        <w:t>2</w:t>
      </w:r>
      <w:r>
        <w:rPr>
          <w:rFonts w:hint="eastAsia"/>
        </w:rPr>
        <w:t>，总灌溉水量805.86m</w:t>
      </w:r>
      <w:r>
        <w:rPr>
          <w:rFonts w:hint="eastAsia"/>
          <w:vertAlign w:val="superscript"/>
        </w:rPr>
        <w:t>3</w:t>
      </w:r>
      <w:r>
        <w:rPr>
          <w:rFonts w:hint="eastAsia"/>
        </w:rPr>
        <w:t>，单次灌溉水量201.47m</w:t>
      </w:r>
      <w:r>
        <w:rPr>
          <w:rFonts w:hint="eastAsia"/>
          <w:vertAlign w:val="superscript"/>
        </w:rPr>
        <w:t>3</w:t>
      </w:r>
      <w:r>
        <w:rPr>
          <w:rFonts w:hint="eastAsia"/>
        </w:rPr>
        <w:t>。灌溉用水取自阿依库勒支渠，灌溉水类型为地表水。</w:t>
      </w:r>
    </w:p>
    <w:p>
      <w:pPr>
        <w:snapToGrid w:val="0"/>
        <w:spacing w:line="360" w:lineRule="auto"/>
        <w:ind w:firstLine="480"/>
        <w:jc w:val="left"/>
      </w:pPr>
      <w:r>
        <w:t>项目区位于</w:t>
      </w:r>
      <w:r>
        <w:rPr>
          <w:rFonts w:hint="eastAsia"/>
        </w:rPr>
        <w:t>山前洪积平原区</w:t>
      </w:r>
      <w:r>
        <w:t>，</w:t>
      </w:r>
      <w:r>
        <w:rPr>
          <w:rFonts w:hint="eastAsia"/>
        </w:rPr>
        <w:t>管护第一年</w:t>
      </w:r>
      <w:r>
        <w:t>采用洒水车到</w:t>
      </w:r>
      <w:r>
        <w:rPr>
          <w:rFonts w:hint="eastAsia"/>
        </w:rPr>
        <w:t>阿依库勒支渠</w:t>
      </w:r>
      <w:r>
        <w:t>拉水进行浇灌，</w:t>
      </w:r>
      <w:r>
        <w:rPr>
          <w:rFonts w:hint="eastAsia"/>
        </w:rPr>
        <w:t>拉运距离1km。待</w:t>
      </w:r>
      <w:r>
        <w:t>植被根系发育完全后项目区降水量及地下水补给即可满足植被正常生长的条件，故方案设计只在管护期第一年进行洒水以促进植被根系发育，5月、6月、7月、8月各浇水一次。</w:t>
      </w:r>
    </w:p>
    <w:p>
      <w:pPr>
        <w:snapToGrid w:val="0"/>
        <w:spacing w:line="360" w:lineRule="auto"/>
        <w:ind w:firstLine="480"/>
        <w:jc w:val="left"/>
      </w:pPr>
      <w:r>
        <w:t>b）植被补播</w:t>
      </w:r>
    </w:p>
    <w:p>
      <w:pPr>
        <w:snapToGrid w:val="0"/>
        <w:spacing w:line="360" w:lineRule="auto"/>
        <w:ind w:firstLine="480"/>
        <w:jc w:val="left"/>
      </w:pPr>
      <w:r>
        <w:t>在管护期内逐年对成活率不高的区域进行补播草籽，预计第一年植被补播系数为植被恢复面积的20%，第二年为10%，第三年为5%，</w:t>
      </w:r>
      <w:r>
        <w:rPr>
          <w:rFonts w:hint="eastAsia"/>
        </w:rPr>
        <w:t>补播时间选择在管护期每年的3月或者11月进行</w:t>
      </w:r>
      <w:r>
        <w:t>。</w:t>
      </w:r>
    </w:p>
    <w:p>
      <w:pPr>
        <w:snapToGrid w:val="0"/>
        <w:spacing w:line="360" w:lineRule="auto"/>
        <w:ind w:firstLine="480"/>
        <w:jc w:val="left"/>
      </w:pPr>
      <w:r>
        <w:rPr>
          <w:rFonts w:hint="eastAsia"/>
        </w:rPr>
        <w:t>c）病虫害防治</w:t>
      </w:r>
    </w:p>
    <w:p>
      <w:pPr>
        <w:snapToGrid w:val="0"/>
        <w:spacing w:line="360" w:lineRule="auto"/>
        <w:ind w:firstLine="480"/>
        <w:jc w:val="left"/>
      </w:pPr>
      <w:r>
        <w:rPr>
          <w:rFonts w:hint="eastAsia"/>
        </w:rPr>
        <w:t>病虫害防治是林草地管理中的一项重要的工作，在林草地生长季节尤为重要。坚持预防为主，综合防治的方针，依据林草技术部门发布的病虫鼠害预测预报，采取生态调控、生物防治、物理防治和科学使用化学农药的绿色防控措施，控制林草病虫鼠害。</w:t>
      </w:r>
    </w:p>
    <w:p>
      <w:pPr>
        <w:snapToGrid w:val="0"/>
        <w:spacing w:line="360" w:lineRule="auto"/>
        <w:ind w:firstLine="480"/>
        <w:jc w:val="left"/>
      </w:pPr>
      <w:r>
        <w:rPr>
          <w:rFonts w:hint="eastAsia"/>
        </w:rPr>
        <w:t>d）鼠害防治</w:t>
      </w:r>
    </w:p>
    <w:p>
      <w:pPr>
        <w:snapToGrid w:val="0"/>
        <w:spacing w:line="360" w:lineRule="auto"/>
        <w:ind w:firstLine="480"/>
        <w:jc w:val="left"/>
      </w:pPr>
      <w:r>
        <w:rPr>
          <w:rFonts w:hint="eastAsia"/>
        </w:rPr>
        <w:t>①物理防治。在林草地放置老鼠夹，粘鼠板，鼠笼等防治鼠害的设施。</w:t>
      </w:r>
    </w:p>
    <w:p>
      <w:pPr>
        <w:snapToGrid w:val="0"/>
        <w:spacing w:line="360" w:lineRule="auto"/>
        <w:ind w:firstLine="480"/>
        <w:jc w:val="left"/>
      </w:pPr>
      <w:r>
        <w:t>经过三年的管护期，复垦区的植被逐渐适应自然生长条件，与周边自然环境相融合，达到原土地利用类型水平。</w:t>
      </w:r>
    </w:p>
    <w:p>
      <w:pPr>
        <w:ind w:firstLine="480"/>
      </w:pPr>
      <w:r>
        <w:rPr>
          <w:rFonts w:hint="eastAsia"/>
        </w:rPr>
        <w:t>e）加强宣传</w:t>
      </w:r>
    </w:p>
    <w:p>
      <w:pPr>
        <w:ind w:firstLine="480"/>
      </w:pPr>
      <w:r>
        <w:rPr>
          <w:rFonts w:hint="eastAsia"/>
        </w:rPr>
        <w:t>在复垦区明显位置、粉刷标语等形式进行广泛宣传，把管护与集体经济利益相挂钩、与工人切身利益相结合，加强生态环境治理的重大意义的宣传教育，增强工人管护的责任感和利益感，提高广大群众参与管护的积极性。</w:t>
      </w:r>
    </w:p>
    <w:p>
      <w:pPr>
        <w:ind w:firstLine="480"/>
      </w:pPr>
      <w:r>
        <w:rPr>
          <w:rFonts w:hint="eastAsia"/>
        </w:rPr>
        <w:t>f）明确管护主体</w:t>
      </w:r>
    </w:p>
    <w:p>
      <w:pPr>
        <w:ind w:firstLine="480"/>
        <w:sectPr>
          <w:pgSz w:w="11906" w:h="16838"/>
          <w:pgMar w:top="1418" w:right="1247" w:bottom="1418" w:left="1247" w:header="851" w:footer="992" w:gutter="340"/>
          <w:cols w:space="720" w:num="1"/>
          <w:docGrid w:type="linesAndChars" w:linePitch="312" w:charSpace="0"/>
        </w:sectPr>
      </w:pPr>
      <w:r>
        <w:rPr>
          <w:rFonts w:hint="eastAsia"/>
        </w:rPr>
        <w:t>土地复垦项目完成后，确定管护主体，建立严格的管护责任，落实管护措施，明确管护内容，并作为各级领导的政绩考核指标。</w:t>
      </w:r>
    </w:p>
    <w:p>
      <w:pPr>
        <w:keepNext/>
        <w:keepLines/>
        <w:ind w:firstLine="0" w:firstLineChars="0"/>
        <w:jc w:val="center"/>
        <w:outlineLvl w:val="0"/>
        <w:rPr>
          <w:rFonts w:eastAsia="黑体"/>
          <w:bCs/>
          <w:kern w:val="44"/>
          <w:sz w:val="32"/>
          <w:szCs w:val="44"/>
        </w:rPr>
      </w:pPr>
      <w:bookmarkStart w:id="677" w:name="_Toc116061655"/>
      <w:bookmarkStart w:id="678" w:name="_Toc16995"/>
      <w:bookmarkStart w:id="679" w:name="_Toc12141"/>
      <w:bookmarkStart w:id="680" w:name="_Toc22764"/>
      <w:r>
        <w:rPr>
          <w:rFonts w:eastAsia="黑体"/>
          <w:bCs/>
          <w:kern w:val="44"/>
          <w:sz w:val="32"/>
          <w:szCs w:val="44"/>
        </w:rPr>
        <w:t>7土地复垦工程设计及工程量测算</w:t>
      </w:r>
      <w:bookmarkEnd w:id="677"/>
      <w:bookmarkEnd w:id="678"/>
      <w:bookmarkEnd w:id="679"/>
      <w:bookmarkEnd w:id="680"/>
    </w:p>
    <w:p>
      <w:pPr>
        <w:ind w:firstLine="0" w:firstLineChars="0"/>
        <w:outlineLvl w:val="1"/>
        <w:rPr>
          <w:rFonts w:eastAsia="黑体"/>
          <w:bCs/>
          <w:sz w:val="30"/>
          <w:szCs w:val="32"/>
        </w:rPr>
      </w:pPr>
      <w:bookmarkStart w:id="681" w:name="_Toc17764"/>
      <w:bookmarkStart w:id="682" w:name="_Toc485310650"/>
      <w:bookmarkStart w:id="683" w:name="_Toc246128448"/>
      <w:bookmarkStart w:id="684" w:name="_Toc8227"/>
      <w:bookmarkStart w:id="685" w:name="_Toc247623515"/>
      <w:bookmarkStart w:id="686" w:name="_Toc116061656"/>
      <w:bookmarkStart w:id="687" w:name="_Toc22341"/>
      <w:bookmarkStart w:id="688" w:name="_Toc260918494"/>
      <w:bookmarkStart w:id="689" w:name="_Toc247964567"/>
      <w:bookmarkStart w:id="690" w:name="_Toc272330982"/>
      <w:bookmarkStart w:id="691" w:name="_Toc18192"/>
      <w:r>
        <w:rPr>
          <w:rFonts w:eastAsia="黑体"/>
          <w:bCs/>
          <w:sz w:val="30"/>
          <w:szCs w:val="32"/>
        </w:rPr>
        <w:t>7.1土地复垦基本单元工程设计</w:t>
      </w:r>
      <w:bookmarkEnd w:id="681"/>
      <w:bookmarkEnd w:id="682"/>
      <w:bookmarkEnd w:id="683"/>
      <w:bookmarkEnd w:id="684"/>
      <w:bookmarkEnd w:id="685"/>
      <w:bookmarkEnd w:id="686"/>
      <w:bookmarkEnd w:id="687"/>
      <w:bookmarkEnd w:id="688"/>
      <w:bookmarkEnd w:id="689"/>
      <w:bookmarkEnd w:id="690"/>
      <w:bookmarkEnd w:id="691"/>
    </w:p>
    <w:p>
      <w:pPr>
        <w:ind w:firstLine="0" w:firstLineChars="0"/>
        <w:outlineLvl w:val="2"/>
        <w:rPr>
          <w:rFonts w:eastAsia="黑体" w:cs="方正仿宋简体"/>
          <w:sz w:val="28"/>
        </w:rPr>
      </w:pPr>
      <w:bookmarkStart w:id="692" w:name="_Toc23902"/>
      <w:bookmarkStart w:id="693" w:name="_Toc247623516"/>
      <w:bookmarkStart w:id="694" w:name="_Toc116061657"/>
      <w:bookmarkStart w:id="695" w:name="_Toc247964568"/>
      <w:bookmarkStart w:id="696" w:name="_Toc260918495"/>
      <w:bookmarkStart w:id="697" w:name="_Toc25026"/>
      <w:bookmarkStart w:id="698" w:name="_Toc272330983"/>
      <w:r>
        <w:rPr>
          <w:rFonts w:eastAsia="黑体" w:cs="方正仿宋简体"/>
          <w:sz w:val="28"/>
        </w:rPr>
        <w:t>7.1.1复垦</w:t>
      </w:r>
      <w:r>
        <w:rPr>
          <w:rFonts w:hint="eastAsia" w:eastAsia="黑体" w:cs="方正仿宋简体"/>
          <w:sz w:val="28"/>
        </w:rPr>
        <w:t>工程</w:t>
      </w:r>
      <w:r>
        <w:rPr>
          <w:rFonts w:eastAsia="黑体" w:cs="方正仿宋简体"/>
          <w:sz w:val="28"/>
        </w:rPr>
        <w:t>设计对象和范围</w:t>
      </w:r>
      <w:bookmarkEnd w:id="692"/>
      <w:bookmarkEnd w:id="693"/>
      <w:bookmarkEnd w:id="694"/>
      <w:bookmarkEnd w:id="695"/>
      <w:bookmarkEnd w:id="696"/>
      <w:bookmarkEnd w:id="697"/>
      <w:bookmarkEnd w:id="698"/>
    </w:p>
    <w:p>
      <w:pPr>
        <w:ind w:firstLine="480"/>
      </w:pPr>
      <w:r>
        <w:rPr>
          <w:rFonts w:hint="eastAsia"/>
        </w:rPr>
        <w:t>根据规程有关要求，结合喀什地区泽普县供水城乡一体化建设工程（泽普县农村规模化供水管道连通工程）临时用地工程分布情况，本方案复垦工程设计对象为复垦责任范围内的临时用地，设计范围为复垦责任范围，面积4.3908hm</w:t>
      </w:r>
      <w:r>
        <w:rPr>
          <w:rFonts w:hint="eastAsia"/>
          <w:vertAlign w:val="superscript"/>
        </w:rPr>
        <w:t>2</w:t>
      </w:r>
      <w:r>
        <w:rPr>
          <w:rFonts w:hint="eastAsia"/>
        </w:rPr>
        <w:t>。</w:t>
      </w:r>
    </w:p>
    <w:p>
      <w:pPr>
        <w:ind w:firstLine="480"/>
      </w:pPr>
      <w:r>
        <w:rPr>
          <w:rFonts w:hint="eastAsia"/>
        </w:rPr>
        <w:t>根据本方案第</w:t>
      </w:r>
      <w:r>
        <w:t>5</w:t>
      </w:r>
      <w:r>
        <w:rPr>
          <w:rFonts w:hint="eastAsia"/>
        </w:rPr>
        <w:t>章复垦适宜性评价结果，划分复垦单元。本方案复垦区损毁土地的复垦单元划分及复垦任务目标情况具体见表</w:t>
      </w:r>
      <w:r>
        <w:t>7.1.1-1</w:t>
      </w:r>
      <w:r>
        <w:rPr>
          <w:rFonts w:hint="eastAsia"/>
        </w:rPr>
        <w:t>。</w:t>
      </w:r>
    </w:p>
    <w:p>
      <w:pPr>
        <w:wordWrap w:val="0"/>
        <w:snapToGrid w:val="0"/>
        <w:ind w:firstLine="0" w:firstLineChars="0"/>
        <w:jc w:val="right"/>
        <w:rPr>
          <w:rFonts w:eastAsia="黑体"/>
          <w:sz w:val="21"/>
          <w:vertAlign w:val="superscript"/>
        </w:rPr>
      </w:pPr>
      <w:r>
        <w:rPr>
          <w:rFonts w:eastAsia="黑体"/>
          <w:sz w:val="21"/>
        </w:rPr>
        <w:t>表7.1.1-1</w:t>
      </w:r>
      <w:r>
        <w:rPr>
          <w:rFonts w:hint="eastAsia" w:eastAsia="黑体"/>
          <w:sz w:val="21"/>
        </w:rPr>
        <w:t>项目</w:t>
      </w:r>
      <w:r>
        <w:rPr>
          <w:rFonts w:eastAsia="黑体"/>
          <w:sz w:val="21"/>
        </w:rPr>
        <w:t>土地复垦基本单元划分情况</w:t>
      </w:r>
      <w:r>
        <w:rPr>
          <w:rFonts w:hint="eastAsia" w:eastAsia="黑体"/>
          <w:sz w:val="21"/>
        </w:rPr>
        <w:t xml:space="preserve">               单位：hm</w:t>
      </w:r>
      <w:r>
        <w:rPr>
          <w:rFonts w:hint="eastAsia" w:eastAsia="黑体"/>
          <w:sz w:val="21"/>
          <w:vertAlign w:val="superscript"/>
        </w:rPr>
        <w:t>2</w:t>
      </w:r>
    </w:p>
    <w:tbl>
      <w:tblPr>
        <w:tblStyle w:val="88"/>
        <w:tblW w:w="907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746"/>
        <w:gridCol w:w="1978"/>
        <w:gridCol w:w="1294"/>
        <w:gridCol w:w="1185"/>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579" w:type="dxa"/>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一级评价单元</w:t>
            </w:r>
          </w:p>
        </w:tc>
        <w:tc>
          <w:tcPr>
            <w:tcW w:w="1746" w:type="dxa"/>
            <w:shd w:val="clear" w:color="auto" w:fill="auto"/>
            <w:vAlign w:val="center"/>
          </w:tcPr>
          <w:p>
            <w:pPr>
              <w:widowControl/>
              <w:snapToGrid w:val="0"/>
              <w:spacing w:line="240" w:lineRule="auto"/>
              <w:ind w:firstLine="0" w:firstLineChars="0"/>
              <w:jc w:val="center"/>
              <w:rPr>
                <w:sz w:val="21"/>
                <w:szCs w:val="21"/>
              </w:rPr>
            </w:pPr>
            <w:r>
              <w:rPr>
                <w:kern w:val="0"/>
                <w:sz w:val="21"/>
                <w:szCs w:val="21"/>
                <w:lang w:bidi="ar"/>
              </w:rPr>
              <w:t>二级评价单元</w:t>
            </w:r>
          </w:p>
        </w:tc>
        <w:tc>
          <w:tcPr>
            <w:tcW w:w="1978"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原地类</w:t>
            </w:r>
          </w:p>
        </w:tc>
        <w:tc>
          <w:tcPr>
            <w:tcW w:w="1294"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损毁类型</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损毁程度</w:t>
            </w:r>
          </w:p>
        </w:tc>
        <w:tc>
          <w:tcPr>
            <w:tcW w:w="1292" w:type="dxa"/>
            <w:shd w:val="clear" w:color="auto" w:fill="auto"/>
            <w:noWrap/>
            <w:vAlign w:val="center"/>
          </w:tcPr>
          <w:p>
            <w:pPr>
              <w:widowControl/>
              <w:snapToGrid w:val="0"/>
              <w:spacing w:line="240" w:lineRule="auto"/>
              <w:ind w:firstLine="0" w:firstLineChars="0"/>
              <w:jc w:val="left"/>
              <w:rPr>
                <w:sz w:val="21"/>
                <w:szCs w:val="21"/>
              </w:rPr>
            </w:pPr>
            <w:r>
              <w:rPr>
                <w:kern w:val="0"/>
                <w:sz w:val="21"/>
                <w:szCs w:val="21"/>
                <w:lang w:bidi="ar"/>
              </w:rPr>
              <w:t>损毁面积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restart"/>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p>
            <w:pPr>
              <w:widowControl/>
              <w:snapToGrid w:val="0"/>
              <w:spacing w:line="240" w:lineRule="auto"/>
              <w:ind w:firstLine="0" w:firstLineChars="0"/>
              <w:jc w:val="center"/>
              <w:rPr>
                <w:kern w:val="0"/>
                <w:sz w:val="21"/>
                <w:szCs w:val="21"/>
                <w:lang w:bidi="ar"/>
              </w:rPr>
            </w:pPr>
          </w:p>
        </w:tc>
        <w:tc>
          <w:tcPr>
            <w:tcW w:w="1746"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耕地</w:t>
            </w:r>
            <w:r>
              <w:rPr>
                <w:kern w:val="0"/>
                <w:sz w:val="21"/>
                <w:szCs w:val="21"/>
                <w:lang w:bidi="ar"/>
              </w:rPr>
              <w:t>01</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水浇地</w:t>
            </w:r>
            <w:r>
              <w:rPr>
                <w:kern w:val="0"/>
                <w:sz w:val="21"/>
                <w:szCs w:val="21"/>
                <w:lang w:bidi="ar"/>
              </w:rPr>
              <w:t>0102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园地</w:t>
            </w:r>
            <w:r>
              <w:rPr>
                <w:kern w:val="0"/>
                <w:sz w:val="21"/>
                <w:szCs w:val="21"/>
                <w:lang w:bidi="ar"/>
              </w:rPr>
              <w:t>02</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果园</w:t>
            </w:r>
            <w:r>
              <w:rPr>
                <w:kern w:val="0"/>
                <w:sz w:val="21"/>
                <w:szCs w:val="21"/>
                <w:lang w:bidi="ar"/>
              </w:rPr>
              <w:t>0201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0.6105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vMerge w:val="restart"/>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林地03</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乔木林地</w:t>
            </w:r>
            <w:r>
              <w:rPr>
                <w:kern w:val="0"/>
                <w:sz w:val="21"/>
                <w:szCs w:val="21"/>
                <w:lang w:bidi="ar"/>
              </w:rPr>
              <w:t>0301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vMerge w:val="continue"/>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其他林地</w:t>
            </w:r>
            <w:r>
              <w:rPr>
                <w:kern w:val="0"/>
                <w:sz w:val="21"/>
                <w:szCs w:val="21"/>
                <w:lang w:bidi="ar"/>
              </w:rPr>
              <w:t>0304</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草地</w:t>
            </w:r>
            <w:r>
              <w:rPr>
                <w:kern w:val="0"/>
                <w:sz w:val="21"/>
                <w:szCs w:val="21"/>
                <w:lang w:bidi="ar"/>
              </w:rPr>
              <w:t>04</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其他草地</w:t>
            </w:r>
            <w:r>
              <w:rPr>
                <w:kern w:val="0"/>
                <w:sz w:val="21"/>
                <w:szCs w:val="21"/>
                <w:lang w:bidi="ar"/>
              </w:rPr>
              <w:t>0403</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农业设施建设用地</w:t>
            </w:r>
            <w:r>
              <w:rPr>
                <w:kern w:val="0"/>
                <w:sz w:val="21"/>
                <w:szCs w:val="21"/>
                <w:lang w:bidi="ar"/>
              </w:rPr>
              <w:t>06</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农村道路</w:t>
            </w:r>
            <w:r>
              <w:rPr>
                <w:kern w:val="0"/>
                <w:sz w:val="21"/>
                <w:szCs w:val="21"/>
                <w:lang w:bidi="ar"/>
              </w:rPr>
              <w:t>0601</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居住用地</w:t>
            </w:r>
            <w:r>
              <w:rPr>
                <w:kern w:val="0"/>
                <w:sz w:val="21"/>
                <w:szCs w:val="21"/>
                <w:lang w:bidi="ar"/>
              </w:rPr>
              <w:t>07</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农村宅基地</w:t>
            </w:r>
            <w:r>
              <w:rPr>
                <w:kern w:val="0"/>
                <w:sz w:val="21"/>
                <w:szCs w:val="21"/>
                <w:lang w:bidi="ar"/>
              </w:rPr>
              <w:t>0703</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工矿用地</w:t>
            </w:r>
            <w:r>
              <w:rPr>
                <w:kern w:val="0"/>
                <w:sz w:val="21"/>
                <w:szCs w:val="21"/>
                <w:lang w:bidi="ar"/>
              </w:rPr>
              <w:t>10</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采矿用地</w:t>
            </w:r>
            <w:r>
              <w:rPr>
                <w:kern w:val="0"/>
                <w:sz w:val="21"/>
                <w:szCs w:val="21"/>
                <w:lang w:bidi="ar"/>
              </w:rPr>
              <w:t>1002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交通运输用地</w:t>
            </w:r>
            <w:r>
              <w:rPr>
                <w:kern w:val="0"/>
                <w:sz w:val="21"/>
                <w:szCs w:val="21"/>
                <w:lang w:bidi="ar"/>
              </w:rPr>
              <w:t>12</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公路用地</w:t>
            </w:r>
            <w:r>
              <w:rPr>
                <w:kern w:val="0"/>
                <w:sz w:val="21"/>
                <w:szCs w:val="21"/>
                <w:lang w:bidi="ar"/>
              </w:rPr>
              <w:t>1202</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特殊用地</w:t>
            </w:r>
            <w:r>
              <w:rPr>
                <w:kern w:val="0"/>
                <w:sz w:val="21"/>
                <w:szCs w:val="21"/>
                <w:lang w:bidi="ar"/>
              </w:rPr>
              <w:t>15</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其他特殊用地</w:t>
            </w:r>
            <w:r>
              <w:rPr>
                <w:kern w:val="0"/>
                <w:sz w:val="21"/>
                <w:szCs w:val="21"/>
                <w:lang w:bidi="ar"/>
              </w:rPr>
              <w:t>1507</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579" w:type="dxa"/>
            <w:vMerge w:val="continue"/>
            <w:shd w:val="clear" w:color="auto" w:fill="auto"/>
            <w:vAlign w:val="center"/>
          </w:tcPr>
          <w:p>
            <w:pPr>
              <w:widowControl/>
              <w:snapToGrid w:val="0"/>
              <w:spacing w:line="240" w:lineRule="auto"/>
              <w:ind w:firstLine="0" w:firstLineChars="0"/>
              <w:jc w:val="center"/>
              <w:rPr>
                <w:kern w:val="0"/>
                <w:sz w:val="21"/>
                <w:szCs w:val="21"/>
                <w:lang w:bidi="ar"/>
              </w:rPr>
            </w:pPr>
          </w:p>
        </w:tc>
        <w:tc>
          <w:tcPr>
            <w:tcW w:w="1746"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陆地水域</w:t>
            </w:r>
            <w:r>
              <w:rPr>
                <w:kern w:val="0"/>
                <w:sz w:val="21"/>
                <w:szCs w:val="21"/>
                <w:lang w:bidi="ar"/>
              </w:rPr>
              <w:t>17</w:t>
            </w:r>
          </w:p>
        </w:tc>
        <w:tc>
          <w:tcPr>
            <w:tcW w:w="1978" w:type="dxa"/>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沟渠</w:t>
            </w:r>
            <w:r>
              <w:rPr>
                <w:kern w:val="0"/>
                <w:sz w:val="21"/>
                <w:szCs w:val="21"/>
                <w:lang w:bidi="ar"/>
              </w:rPr>
              <w:t>1705</w:t>
            </w:r>
          </w:p>
        </w:tc>
        <w:tc>
          <w:tcPr>
            <w:tcW w:w="1294" w:type="dxa"/>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挖损</w:t>
            </w:r>
          </w:p>
        </w:tc>
        <w:tc>
          <w:tcPr>
            <w:tcW w:w="1185"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中度</w:t>
            </w:r>
          </w:p>
        </w:tc>
        <w:tc>
          <w:tcPr>
            <w:tcW w:w="1292" w:type="dxa"/>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1.8212</w:t>
            </w:r>
          </w:p>
        </w:tc>
      </w:tr>
    </w:tbl>
    <w:p>
      <w:pPr>
        <w:ind w:firstLine="0" w:firstLineChars="0"/>
        <w:outlineLvl w:val="2"/>
        <w:rPr>
          <w:rFonts w:eastAsia="黑体" w:cs="方正仿宋简体"/>
          <w:sz w:val="28"/>
        </w:rPr>
      </w:pPr>
      <w:bookmarkStart w:id="699" w:name="_Toc6524"/>
      <w:bookmarkStart w:id="700" w:name="_Toc116061658"/>
      <w:r>
        <w:rPr>
          <w:rFonts w:hint="eastAsia" w:eastAsia="黑体" w:cs="方正仿宋简体"/>
          <w:sz w:val="28"/>
        </w:rPr>
        <w:t>7</w:t>
      </w:r>
      <w:r>
        <w:rPr>
          <w:rFonts w:eastAsia="黑体" w:cs="方正仿宋简体"/>
          <w:sz w:val="28"/>
        </w:rPr>
        <w:t>.1.</w:t>
      </w:r>
      <w:r>
        <w:rPr>
          <w:rFonts w:hint="eastAsia" w:eastAsia="黑体" w:cs="方正仿宋简体"/>
          <w:sz w:val="28"/>
        </w:rPr>
        <w:t>2</w:t>
      </w:r>
      <w:r>
        <w:rPr>
          <w:rFonts w:eastAsia="黑体" w:cs="方正仿宋简体"/>
          <w:sz w:val="28"/>
        </w:rPr>
        <w:t>复垦工程设计</w:t>
      </w:r>
      <w:bookmarkEnd w:id="699"/>
      <w:bookmarkEnd w:id="700"/>
    </w:p>
    <w:p>
      <w:pPr>
        <w:ind w:firstLine="480"/>
      </w:pPr>
      <w:r>
        <w:t>根据项目建设拟损毁</w:t>
      </w:r>
      <w:r>
        <w:rPr>
          <w:rFonts w:hint="eastAsia"/>
        </w:rPr>
        <w:t>水浇地，果园，乔木林地，其他林地，其他草地，农村道路，农村宅基地，采矿用地，公路用地，其他特殊用地，沟渠</w:t>
      </w:r>
      <w:r>
        <w:t>等地实地调查分析，</w:t>
      </w:r>
      <w:r>
        <w:rPr>
          <w:rFonts w:hint="eastAsia"/>
        </w:rPr>
        <w:t>喀什地区泽普县供水城乡一体化建设工程（泽普县农村规模化供水管道连通工程）临时用地</w:t>
      </w:r>
      <w:r>
        <w:t>综合考虑损毁区域的土壤类型及其土壤理化性质</w:t>
      </w:r>
      <w:r>
        <w:rPr>
          <w:rFonts w:hint="eastAsia"/>
        </w:rPr>
        <w:t>。项目采用顶管穿越的方式通过公路用地，未造成实质性损毁。项目临时使用的耕地、园地复垦完成后交还原土地使用权人进行耕种。</w:t>
      </w:r>
      <w:r>
        <w:t>本方案对</w:t>
      </w:r>
      <w:r>
        <w:rPr>
          <w:rFonts w:hint="eastAsia"/>
        </w:rPr>
        <w:t>水浇地，果园，乔木林地，其他林地，其他草地，农村道路，农村宅基地，采矿用地，公路用地，其他特殊用地，沟渠</w:t>
      </w:r>
      <w:r>
        <w:t>复垦工程设计包括表土剥离及保存、表土回覆、土地平整、土壤培肥、土地翻耕、修建挡水梗、植被恢复。其具体工程设计如下：</w:t>
      </w:r>
    </w:p>
    <w:p>
      <w:pPr>
        <w:snapToGrid w:val="0"/>
        <w:spacing w:line="360" w:lineRule="auto"/>
        <w:ind w:firstLine="720" w:firstLineChars="300"/>
        <w:jc w:val="left"/>
        <w:rPr>
          <w:bCs/>
        </w:rPr>
      </w:pPr>
      <w:bookmarkStart w:id="701" w:name="_Toc116061659"/>
      <w:bookmarkStart w:id="702" w:name="_Toc17509"/>
      <w:r>
        <w:rPr>
          <w:rFonts w:hint="eastAsia"/>
          <w:bCs/>
        </w:rPr>
        <w:t>1</w:t>
      </w:r>
      <w:r>
        <w:rPr>
          <w:bCs/>
        </w:rPr>
        <w:t>）</w:t>
      </w:r>
      <w:r>
        <w:rPr>
          <w:rFonts w:hint="eastAsia"/>
          <w:bCs/>
        </w:rPr>
        <w:t>农用地（耕地、园地、林地、草地）主要复垦措施有以下几种：</w:t>
      </w:r>
    </w:p>
    <w:p>
      <w:pPr>
        <w:snapToGrid w:val="0"/>
        <w:spacing w:line="360" w:lineRule="auto"/>
        <w:ind w:firstLine="720" w:firstLineChars="300"/>
        <w:jc w:val="left"/>
        <w:rPr>
          <w:b/>
        </w:rPr>
      </w:pPr>
      <w:r>
        <w:rPr>
          <w:rFonts w:hint="eastAsia" w:ascii="仿宋_GB2312" w:hAnsi="仿宋_GB2312" w:cs="仿宋_GB2312"/>
          <w:bCs/>
        </w:rPr>
        <w:t>①</w:t>
      </w:r>
      <w:r>
        <w:rPr>
          <w:bCs/>
        </w:rPr>
        <w:t>表土剥离及保存</w:t>
      </w:r>
    </w:p>
    <w:p>
      <w:pPr>
        <w:snapToGrid w:val="0"/>
        <w:spacing w:line="360" w:lineRule="auto"/>
        <w:ind w:firstLine="480"/>
        <w:jc w:val="left"/>
      </w:pPr>
      <w:r>
        <w:t>根据《土地复垦条例》第十六条“土地复垦义务人应当首先对拟损毁的耕地、林地、牧草地进行表土剥离，剥离的表土用于被损毁土地的复垦”。</w:t>
      </w:r>
    </w:p>
    <w:p>
      <w:pPr>
        <w:snapToGrid w:val="0"/>
        <w:spacing w:line="360" w:lineRule="auto"/>
        <w:ind w:firstLine="480"/>
        <w:jc w:val="left"/>
      </w:pPr>
      <w:r>
        <w:t>根据《土地复垦条例实施办法》第二十四条预防控制措施：“（一）对可能被损毁的耕地、林地、草地等，应当进行表土剥离，分层存放，分层回填，优先用于复垦土地的土壤改良。表土剥离厚度应当依据相关技术标准，根据实际情况确定。表土剥离应当在生产工艺和施工建设前进行或者同步进行”。</w:t>
      </w:r>
    </w:p>
    <w:p>
      <w:pPr>
        <w:snapToGrid w:val="0"/>
        <w:spacing w:line="360" w:lineRule="auto"/>
        <w:ind w:firstLine="480"/>
        <w:jc w:val="left"/>
        <w:rPr>
          <w:bCs/>
        </w:rPr>
      </w:pPr>
      <w:r>
        <w:t>根据勘界资料及现场调查，</w:t>
      </w:r>
      <w:r>
        <w:rPr>
          <w:rFonts w:hint="eastAsia"/>
        </w:rPr>
        <w:t>供水管线</w:t>
      </w:r>
      <w:r>
        <w:t>临时用地占</w:t>
      </w:r>
      <w:r>
        <w:rPr>
          <w:rFonts w:hint="eastAsia"/>
        </w:rPr>
        <w:t xml:space="preserve">耕地、园地、林地、草地总面积1.2573 </w:t>
      </w:r>
      <w:r>
        <w:t>hm</w:t>
      </w:r>
      <w:r>
        <w:rPr>
          <w:vertAlign w:val="superscript"/>
        </w:rPr>
        <w:t>2</w:t>
      </w:r>
      <w:r>
        <w:t>。</w:t>
      </w:r>
      <w:r>
        <w:rPr>
          <w:rFonts w:hint="eastAsia"/>
        </w:rPr>
        <w:t>应</w:t>
      </w:r>
      <w:r>
        <w:t>对项目占用上述用地区域采取表土剥离措施，</w:t>
      </w:r>
      <w:r>
        <w:rPr>
          <w:rFonts w:hint="eastAsia"/>
        </w:rPr>
        <w:t>耕地</w:t>
      </w:r>
      <w:r>
        <w:t>剥离厚度</w:t>
      </w:r>
      <w:r>
        <w:rPr>
          <w:rFonts w:hint="eastAsia"/>
        </w:rPr>
        <w:t>5</w:t>
      </w:r>
      <w:r>
        <w:t>0cm，</w:t>
      </w:r>
      <w:r>
        <w:rPr>
          <w:rFonts w:hint="eastAsia"/>
        </w:rPr>
        <w:t>园地、林地、草地</w:t>
      </w:r>
      <w:r>
        <w:t>剥离厚度20cm，剥离的表土堆放至</w:t>
      </w:r>
      <w:r>
        <w:rPr>
          <w:rFonts w:hint="eastAsia"/>
        </w:rPr>
        <w:t>管沟一侧</w:t>
      </w:r>
      <w:r>
        <w:t>，</w:t>
      </w:r>
      <w:r>
        <w:rPr>
          <w:rFonts w:hint="eastAsia"/>
        </w:rPr>
        <w:t>堆土高度不超过1.5m，</w:t>
      </w:r>
      <w:r>
        <w:t>采用防尘网苫盖进行保存，用于后期进行表土回覆，减少土壤熟化周期，为恢复植被生长创造土壤条件。</w:t>
      </w:r>
      <w:r>
        <w:rPr>
          <w:rFonts w:hint="eastAsia"/>
        </w:rPr>
        <w:t>根据建设方案，该工程由施工单位施工时实施，本方案不再重复计算工程量</w:t>
      </w:r>
      <w:r>
        <w:t>。</w:t>
      </w:r>
    </w:p>
    <w:p>
      <w:pPr>
        <w:snapToGrid w:val="0"/>
        <w:spacing w:line="360" w:lineRule="auto"/>
        <w:ind w:firstLine="720" w:firstLineChars="300"/>
        <w:jc w:val="left"/>
        <w:rPr>
          <w:bCs/>
        </w:rPr>
      </w:pPr>
      <w:r>
        <w:rPr>
          <w:rFonts w:hint="eastAsia"/>
          <w:bCs/>
        </w:rPr>
        <w:t>②</w:t>
      </w:r>
      <w:r>
        <w:rPr>
          <w:bCs/>
        </w:rPr>
        <w:t>土地平整</w:t>
      </w:r>
    </w:p>
    <w:p>
      <w:pPr>
        <w:snapToGrid w:val="0"/>
        <w:spacing w:line="360" w:lineRule="auto"/>
        <w:ind w:firstLine="480"/>
        <w:jc w:val="left"/>
        <w:rPr>
          <w:bCs/>
        </w:rPr>
      </w:pPr>
      <w:r>
        <w:rPr>
          <w:bCs/>
        </w:rPr>
        <w:t>项目使原有的土地形态发生改变，损毁土地的表层起伏不平。为保证复垦措施的及时实施，采取推土机进行平整，使作业面保持平整，</w:t>
      </w:r>
      <w:r>
        <w:rPr>
          <w:rFonts w:hint="eastAsia"/>
          <w:bCs/>
        </w:rPr>
        <w:t>建设项目</w:t>
      </w:r>
      <w:r>
        <w:rPr>
          <w:bCs/>
        </w:rPr>
        <w:t>平整填挖深度平均为</w:t>
      </w:r>
      <w:r>
        <w:rPr>
          <w:rFonts w:hint="eastAsia"/>
          <w:bCs/>
        </w:rPr>
        <w:t>10c</w:t>
      </w:r>
      <w:r>
        <w:rPr>
          <w:bCs/>
        </w:rPr>
        <w:t>m。</w:t>
      </w:r>
    </w:p>
    <w:p>
      <w:pPr>
        <w:snapToGrid w:val="0"/>
        <w:spacing w:line="360" w:lineRule="auto"/>
        <w:ind w:firstLine="720" w:firstLineChars="300"/>
        <w:jc w:val="left"/>
        <w:rPr>
          <w:bCs/>
        </w:rPr>
      </w:pPr>
      <w:r>
        <w:rPr>
          <w:rFonts w:hint="eastAsia"/>
          <w:bCs/>
        </w:rPr>
        <w:t>③</w:t>
      </w:r>
      <w:r>
        <w:rPr>
          <w:bCs/>
        </w:rPr>
        <w:t>表土回覆</w:t>
      </w:r>
    </w:p>
    <w:p>
      <w:pPr>
        <w:snapToGrid w:val="0"/>
        <w:spacing w:line="360" w:lineRule="auto"/>
        <w:ind w:firstLine="720" w:firstLineChars="300"/>
        <w:jc w:val="left"/>
      </w:pPr>
      <w:r>
        <w:t>对恢复为</w:t>
      </w:r>
      <w:r>
        <w:rPr>
          <w:rFonts w:hint="eastAsia"/>
        </w:rPr>
        <w:t>耕地、园地、林地、草地</w:t>
      </w:r>
      <w:r>
        <w:t>的用地，</w:t>
      </w:r>
      <w:r>
        <w:rPr>
          <w:rFonts w:hint="eastAsia"/>
        </w:rPr>
        <w:t>管线埋设完毕后</w:t>
      </w:r>
      <w:r>
        <w:t>进行表土回覆，覆土来源来自项目建设先期剥离的表土，</w:t>
      </w:r>
      <w:r>
        <w:rPr>
          <w:rFonts w:hint="eastAsia"/>
        </w:rPr>
        <w:t>耕地覆土</w:t>
      </w:r>
      <w:r>
        <w:t>厚度</w:t>
      </w:r>
      <w:r>
        <w:rPr>
          <w:rFonts w:hint="eastAsia"/>
        </w:rPr>
        <w:t>5</w:t>
      </w:r>
      <w:r>
        <w:t>0cm</w:t>
      </w:r>
      <w:r>
        <w:rPr>
          <w:rFonts w:hint="eastAsia"/>
        </w:rPr>
        <w:t xml:space="preserve">，覆土面积为0.4026 </w:t>
      </w:r>
      <w:r>
        <w:t>hm</w:t>
      </w:r>
      <w:r>
        <w:rPr>
          <w:vertAlign w:val="superscript"/>
        </w:rPr>
        <w:t>2</w:t>
      </w:r>
      <w:r>
        <w:t>，</w:t>
      </w:r>
      <w:r>
        <w:rPr>
          <w:rFonts w:hint="eastAsia"/>
        </w:rPr>
        <w:t>园地、林地、草地覆土</w:t>
      </w:r>
      <w:r>
        <w:t>厚度20cm</w:t>
      </w:r>
      <w:r>
        <w:rPr>
          <w:rFonts w:hint="eastAsia"/>
        </w:rPr>
        <w:t>，覆土面积为0.8547</w:t>
      </w:r>
      <w:r>
        <w:t>hm</w:t>
      </w:r>
      <w:r>
        <w:rPr>
          <w:vertAlign w:val="superscript"/>
        </w:rPr>
        <w:t>2</w:t>
      </w:r>
      <w:r>
        <w:t>。</w:t>
      </w:r>
      <w:r>
        <w:rPr>
          <w:rFonts w:hint="eastAsia"/>
        </w:rPr>
        <w:t>根据建设方案，该工程由施工单位施工时实施，本方案不再重复计算工程量。</w:t>
      </w:r>
    </w:p>
    <w:p>
      <w:pPr>
        <w:snapToGrid w:val="0"/>
        <w:spacing w:line="360" w:lineRule="auto"/>
        <w:ind w:firstLine="720" w:firstLineChars="300"/>
        <w:jc w:val="left"/>
        <w:rPr>
          <w:bCs/>
        </w:rPr>
      </w:pPr>
      <w:r>
        <w:rPr>
          <w:rFonts w:hint="eastAsia"/>
          <w:bCs/>
        </w:rPr>
        <w:t>④</w:t>
      </w:r>
      <w:r>
        <w:rPr>
          <w:bCs/>
        </w:rPr>
        <w:t>土壤改良与培肥</w:t>
      </w:r>
    </w:p>
    <w:p>
      <w:pPr>
        <w:snapToGrid w:val="0"/>
        <w:spacing w:line="360" w:lineRule="auto"/>
        <w:ind w:firstLine="480"/>
        <w:jc w:val="left"/>
        <w:rPr>
          <w:bCs/>
        </w:rPr>
      </w:pPr>
      <w:r>
        <w:rPr>
          <w:bCs/>
        </w:rPr>
        <w:t>由于项目区临时用地受到人工扰动比较大，</w:t>
      </w:r>
      <w:r>
        <w:rPr>
          <w:rFonts w:hint="eastAsia"/>
          <w:bCs/>
        </w:rPr>
        <w:t>造成了土壤肥力的降低</w:t>
      </w:r>
      <w:r>
        <w:rPr>
          <w:bCs/>
        </w:rPr>
        <w:t>。为了提高土壤肥力，本方案针对拟复垦的</w:t>
      </w:r>
      <w:r>
        <w:rPr>
          <w:rFonts w:hint="eastAsia"/>
          <w:bCs/>
        </w:rPr>
        <w:t>耕地、园地、林地、草地</w:t>
      </w:r>
      <w:r>
        <w:rPr>
          <w:bCs/>
        </w:rPr>
        <w:t>采取培肥措施，根据植物生长的需要，施用有机-无机复混肥，</w:t>
      </w:r>
      <w:r>
        <w:rPr>
          <w:rFonts w:hint="eastAsia"/>
          <w:bCs/>
        </w:rPr>
        <w:t>耕地、园地施</w:t>
      </w:r>
      <w:r>
        <w:rPr>
          <w:rFonts w:hint="eastAsia"/>
        </w:rPr>
        <w:t>肥面积</w:t>
      </w:r>
      <w:r>
        <w:rPr>
          <w:rFonts w:hint="eastAsia" w:eastAsia="宋体"/>
        </w:rPr>
        <w:t>1.0131</w:t>
      </w:r>
      <w:r>
        <w:rPr>
          <w:rFonts w:hint="eastAsia"/>
        </w:rPr>
        <w:t>hm</w:t>
      </w:r>
      <w:r>
        <w:rPr>
          <w:rFonts w:hint="eastAsia"/>
          <w:vertAlign w:val="superscript"/>
        </w:rPr>
        <w:t>2</w:t>
      </w:r>
      <w:r>
        <w:rPr>
          <w:rFonts w:hint="eastAsia"/>
        </w:rPr>
        <w:t>，</w:t>
      </w:r>
      <w:r>
        <w:t>施用量为</w:t>
      </w:r>
      <w:r>
        <w:rPr>
          <w:rFonts w:hint="eastAsia" w:eastAsia="宋体"/>
        </w:rPr>
        <w:t>1500</w:t>
      </w:r>
      <w:r>
        <w:t>.00kg/hm</w:t>
      </w:r>
      <w:r>
        <w:rPr>
          <w:vertAlign w:val="superscript"/>
        </w:rPr>
        <w:t>2</w:t>
      </w:r>
      <w:r>
        <w:t>。</w:t>
      </w:r>
      <w:r>
        <w:rPr>
          <w:rFonts w:hint="eastAsia"/>
          <w:bCs/>
        </w:rPr>
        <w:t>林地、草地施</w:t>
      </w:r>
      <w:r>
        <w:rPr>
          <w:rFonts w:hint="eastAsia"/>
        </w:rPr>
        <w:t>肥面积</w:t>
      </w:r>
      <w:r>
        <w:rPr>
          <w:rFonts w:hint="eastAsia" w:eastAsia="宋体"/>
        </w:rPr>
        <w:t>0.2442</w:t>
      </w:r>
      <w:r>
        <w:rPr>
          <w:rFonts w:hint="eastAsia"/>
        </w:rPr>
        <w:t>hm</w:t>
      </w:r>
      <w:r>
        <w:rPr>
          <w:rFonts w:hint="eastAsia"/>
          <w:vertAlign w:val="superscript"/>
        </w:rPr>
        <w:t>2</w:t>
      </w:r>
      <w:r>
        <w:rPr>
          <w:rFonts w:hint="eastAsia"/>
        </w:rPr>
        <w:t>，</w:t>
      </w:r>
      <w:r>
        <w:t>施用量为</w:t>
      </w:r>
      <w:r>
        <w:rPr>
          <w:rFonts w:hint="eastAsia" w:eastAsia="宋体"/>
        </w:rPr>
        <w:t>4</w:t>
      </w:r>
      <w:r>
        <w:rPr>
          <w:rFonts w:hint="eastAsia"/>
        </w:rPr>
        <w:t>50</w:t>
      </w:r>
      <w:r>
        <w:t>.00kg/hm</w:t>
      </w:r>
      <w:r>
        <w:rPr>
          <w:vertAlign w:val="superscript"/>
        </w:rPr>
        <w:t>2</w:t>
      </w:r>
      <w:r>
        <w:t>。</w:t>
      </w:r>
      <w:r>
        <w:rPr>
          <w:bCs/>
        </w:rPr>
        <w:t>施肥方法为</w:t>
      </w:r>
      <w:r>
        <w:rPr>
          <w:rFonts w:hint="eastAsia"/>
          <w:bCs/>
        </w:rPr>
        <w:t>撒施</w:t>
      </w:r>
      <w:r>
        <w:rPr>
          <w:bCs/>
        </w:rPr>
        <w:t>，经过后期松土措施将有机-无机复混肥</w:t>
      </w:r>
      <w:r>
        <w:rPr>
          <w:rFonts w:hint="eastAsia"/>
          <w:bCs/>
        </w:rPr>
        <w:t>翻入表土中</w:t>
      </w:r>
      <w:r>
        <w:rPr>
          <w:bCs/>
        </w:rPr>
        <w:t>。</w:t>
      </w:r>
    </w:p>
    <w:p>
      <w:pPr>
        <w:snapToGrid w:val="0"/>
        <w:spacing w:line="360" w:lineRule="auto"/>
        <w:ind w:firstLine="720" w:firstLineChars="300"/>
        <w:jc w:val="left"/>
        <w:rPr>
          <w:bCs/>
        </w:rPr>
      </w:pPr>
      <w:r>
        <w:rPr>
          <w:rFonts w:hint="eastAsia"/>
          <w:bCs/>
        </w:rPr>
        <w:t>⑤</w:t>
      </w:r>
      <w:r>
        <w:rPr>
          <w:bCs/>
        </w:rPr>
        <w:t>土地翻耕</w:t>
      </w:r>
    </w:p>
    <w:p>
      <w:pPr>
        <w:snapToGrid w:val="0"/>
        <w:spacing w:line="360" w:lineRule="auto"/>
        <w:ind w:firstLine="480"/>
        <w:jc w:val="left"/>
        <w:rPr>
          <w:bCs/>
        </w:rPr>
      </w:pPr>
      <w:r>
        <w:rPr>
          <w:bCs/>
        </w:rPr>
        <w:t>由于项目建设，造成原</w:t>
      </w:r>
      <w:r>
        <w:rPr>
          <w:rFonts w:hint="eastAsia"/>
          <w:bCs/>
        </w:rPr>
        <w:t>耕地、园地、林地、草地</w:t>
      </w:r>
      <w:r>
        <w:rPr>
          <w:bCs/>
        </w:rPr>
        <w:t>区域土壤结构变得紧实，透气性变差，在表土回覆后，需要对占用</w:t>
      </w:r>
      <w:r>
        <w:rPr>
          <w:rFonts w:hint="eastAsia"/>
          <w:bCs/>
        </w:rPr>
        <w:t>耕地、园地、林地、草地</w:t>
      </w:r>
      <w:r>
        <w:rPr>
          <w:bCs/>
        </w:rPr>
        <w:t>区域采取土地翻耕措施，从而增加土壤孔隙度，有利于接纳和贮存水分，以满足植物生长。土地翻耕采用拖拉机-三铧犁进行施工，</w:t>
      </w:r>
      <w:r>
        <w:rPr>
          <w:rFonts w:hint="eastAsia"/>
          <w:bCs/>
        </w:rPr>
        <w:t>翻耕面积1.2573hm</w:t>
      </w:r>
      <w:r>
        <w:rPr>
          <w:rFonts w:hint="eastAsia"/>
          <w:bCs/>
          <w:vertAlign w:val="superscript"/>
        </w:rPr>
        <w:t>2</w:t>
      </w:r>
      <w:r>
        <w:rPr>
          <w:rFonts w:hint="eastAsia"/>
          <w:bCs/>
        </w:rPr>
        <w:t>，翻耕深度15-30cm</w:t>
      </w:r>
      <w:r>
        <w:rPr>
          <w:bCs/>
        </w:rPr>
        <w:t>。</w:t>
      </w:r>
    </w:p>
    <w:p>
      <w:pPr>
        <w:snapToGrid w:val="0"/>
        <w:spacing w:line="360" w:lineRule="auto"/>
        <w:ind w:firstLine="720" w:firstLineChars="300"/>
        <w:jc w:val="left"/>
        <w:rPr>
          <w:bCs/>
        </w:rPr>
      </w:pPr>
      <w:r>
        <w:rPr>
          <w:rFonts w:hint="eastAsia"/>
          <w:bCs/>
        </w:rPr>
        <w:t>⑥修建挡水梗</w:t>
      </w:r>
    </w:p>
    <w:p>
      <w:pPr>
        <w:snapToGrid w:val="0"/>
        <w:spacing w:line="360" w:lineRule="auto"/>
        <w:ind w:firstLine="480"/>
        <w:jc w:val="left"/>
        <w:rPr>
          <w:bCs/>
        </w:rPr>
      </w:pPr>
      <w:r>
        <w:rPr>
          <w:bCs/>
        </w:rPr>
        <w:t>对恢复为</w:t>
      </w:r>
      <w:r>
        <w:rPr>
          <w:rFonts w:hint="eastAsia"/>
          <w:bCs/>
        </w:rPr>
        <w:t>林地、草地</w:t>
      </w:r>
      <w:r>
        <w:rPr>
          <w:bCs/>
        </w:rPr>
        <w:t>的用地，</w:t>
      </w:r>
      <w:r>
        <w:rPr>
          <w:rFonts w:hint="eastAsia"/>
          <w:bCs/>
        </w:rPr>
        <w:t>垂直西北风向每间隔1.0m设置0.3m高0.3m宽的挡水梗，便于雨水聚集，有利于植被恢复。</w:t>
      </w:r>
    </w:p>
    <w:p>
      <w:pPr>
        <w:snapToGrid w:val="0"/>
        <w:spacing w:line="360" w:lineRule="auto"/>
        <w:ind w:firstLine="720" w:firstLineChars="300"/>
        <w:jc w:val="left"/>
        <w:rPr>
          <w:bCs/>
        </w:rPr>
      </w:pPr>
      <w:r>
        <w:rPr>
          <w:rFonts w:hint="eastAsia" w:ascii="仿宋_GB2312" w:hAnsi="仿宋_GB2312" w:cs="仿宋_GB2312"/>
          <w:bCs/>
        </w:rPr>
        <w:t>⑦</w:t>
      </w:r>
      <w:r>
        <w:rPr>
          <w:bCs/>
        </w:rPr>
        <w:t>植被恢复工程</w:t>
      </w:r>
    </w:p>
    <w:p>
      <w:pPr>
        <w:ind w:firstLine="480"/>
        <w:rPr>
          <w:bCs/>
        </w:rPr>
      </w:pPr>
      <w:r>
        <w:rPr>
          <w:bCs/>
        </w:rPr>
        <w:t>在植被生长条件恢复的基础上，进行植被重建。根据现场调查，项目区植被优势种为</w:t>
      </w:r>
      <w:r>
        <w:rPr>
          <w:rFonts w:hint="eastAsia"/>
          <w:bCs/>
        </w:rPr>
        <w:t>灰绿藜、芨芨草、碱蒿等，植被覆盖度为30%左右</w:t>
      </w:r>
      <w:r>
        <w:rPr>
          <w:bCs/>
        </w:rPr>
        <w:t>，本次方案针对复垦方向为</w:t>
      </w:r>
      <w:r>
        <w:rPr>
          <w:rFonts w:hint="eastAsia"/>
          <w:bCs/>
        </w:rPr>
        <w:t>林地、草地</w:t>
      </w:r>
      <w:r>
        <w:rPr>
          <w:bCs/>
        </w:rPr>
        <w:t>的区域进行撒播草籽，草籽选择</w:t>
      </w:r>
      <w:r>
        <w:rPr>
          <w:rFonts w:hint="eastAsia"/>
          <w:bCs/>
        </w:rPr>
        <w:t>灰绿藜、芨芨草、碱蒿</w:t>
      </w:r>
      <w:r>
        <w:rPr>
          <w:bCs/>
        </w:rPr>
        <w:t>，</w:t>
      </w:r>
      <w:r>
        <w:rPr>
          <w:rFonts w:hint="eastAsia"/>
          <w:bCs/>
        </w:rPr>
        <w:t>乔木林地、其他林地、其他草地</w:t>
      </w:r>
      <w:r>
        <w:rPr>
          <w:bCs/>
        </w:rPr>
        <w:t>草籽撒播量为</w:t>
      </w:r>
      <w:r>
        <w:rPr>
          <w:rFonts w:hint="eastAsia"/>
          <w:bCs/>
        </w:rPr>
        <w:t>35</w:t>
      </w:r>
      <w:r>
        <w:rPr>
          <w:bCs/>
        </w:rPr>
        <w:t>kg/hm</w:t>
      </w:r>
      <w:r>
        <w:rPr>
          <w:bCs/>
          <w:vertAlign w:val="superscript"/>
        </w:rPr>
        <w:t>2</w:t>
      </w:r>
      <w:r>
        <w:rPr>
          <w:bCs/>
        </w:rPr>
        <w:t>，撒播面积</w:t>
      </w:r>
      <w:r>
        <w:rPr>
          <w:rFonts w:hint="eastAsia"/>
          <w:bCs/>
        </w:rPr>
        <w:t>0.2442hm</w:t>
      </w:r>
      <w:r>
        <w:rPr>
          <w:rFonts w:hint="eastAsia"/>
          <w:bCs/>
          <w:vertAlign w:val="superscript"/>
        </w:rPr>
        <w:t>2</w:t>
      </w:r>
      <w:r>
        <w:rPr>
          <w:bCs/>
        </w:rPr>
        <w:t>。</w:t>
      </w:r>
      <w:r>
        <w:rPr>
          <w:rFonts w:hint="eastAsia"/>
          <w:bCs/>
        </w:rPr>
        <w:t>撒播草籽全部从泽普县购买，撒播时间为2027年3月上旬。</w:t>
      </w:r>
    </w:p>
    <w:p>
      <w:pPr>
        <w:ind w:firstLine="480"/>
        <w:rPr>
          <w:bCs/>
        </w:rPr>
      </w:pPr>
      <w:r>
        <w:rPr>
          <w:rFonts w:hint="eastAsia"/>
          <w:bCs/>
        </w:rPr>
        <w:t>2</w:t>
      </w:r>
      <w:r>
        <w:rPr>
          <w:bCs/>
        </w:rPr>
        <w:t>）</w:t>
      </w:r>
      <w:r>
        <w:rPr>
          <w:rFonts w:hint="eastAsia"/>
          <w:bCs/>
        </w:rPr>
        <w:t>农村道路，农村宅基地，采矿用地，公路用地，其他特殊用地，沟渠主要复垦措施有以下几种：</w:t>
      </w:r>
    </w:p>
    <w:p>
      <w:pPr>
        <w:tabs>
          <w:tab w:val="left" w:pos="5640"/>
        </w:tabs>
        <w:ind w:firstLine="480"/>
        <w:rPr>
          <w:bCs/>
        </w:rPr>
      </w:pPr>
      <w:r>
        <w:rPr>
          <w:rFonts w:hint="eastAsia"/>
          <w:bCs/>
        </w:rPr>
        <w:t>①土地平整措施</w:t>
      </w:r>
    </w:p>
    <w:p>
      <w:pPr>
        <w:ind w:firstLine="480"/>
        <w:rPr>
          <w:bCs/>
        </w:rPr>
      </w:pPr>
      <w:r>
        <w:rPr>
          <w:szCs w:val="20"/>
        </w:rPr>
        <w:t>项目区损毁土地后，使原有的土地形态发生改变，损毁土地的表层起伏不平。为保证复垦措施的及时实施，需采取74KW推土机进行整平，推距10m，使作业面保持平整，项目平整填挖深度平均为</w:t>
      </w:r>
      <w:r>
        <w:rPr>
          <w:rFonts w:hint="eastAsia"/>
          <w:szCs w:val="20"/>
        </w:rPr>
        <w:t>1</w:t>
      </w:r>
      <w:r>
        <w:rPr>
          <w:szCs w:val="20"/>
        </w:rPr>
        <w:t>0cm。</w:t>
      </w:r>
    </w:p>
    <w:p>
      <w:pPr>
        <w:ind w:firstLine="0" w:firstLineChars="0"/>
        <w:outlineLvl w:val="2"/>
        <w:rPr>
          <w:rFonts w:eastAsia="黑体" w:cs="方正仿宋简体"/>
          <w:sz w:val="28"/>
        </w:rPr>
      </w:pPr>
      <w:r>
        <w:rPr>
          <w:rFonts w:eastAsia="黑体" w:cs="方正仿宋简体"/>
          <w:sz w:val="28"/>
        </w:rPr>
        <w:t>7.1.</w:t>
      </w:r>
      <w:r>
        <w:rPr>
          <w:rFonts w:hint="eastAsia" w:eastAsia="黑体" w:cs="方正仿宋简体"/>
          <w:sz w:val="28"/>
        </w:rPr>
        <w:t>3</w:t>
      </w:r>
      <w:r>
        <w:rPr>
          <w:rFonts w:hAnsi="黑体" w:eastAsia="黑体" w:cs="方正仿宋简体"/>
          <w:sz w:val="28"/>
        </w:rPr>
        <w:t>监测</w:t>
      </w:r>
      <w:r>
        <w:rPr>
          <w:rFonts w:hint="eastAsia" w:hAnsi="黑体" w:eastAsia="黑体" w:cs="方正仿宋简体"/>
          <w:sz w:val="28"/>
        </w:rPr>
        <w:t>工程设计</w:t>
      </w:r>
      <w:bookmarkEnd w:id="701"/>
      <w:bookmarkEnd w:id="702"/>
    </w:p>
    <w:p>
      <w:pPr>
        <w:snapToGrid w:val="0"/>
        <w:ind w:firstLine="480"/>
      </w:pPr>
      <w:r>
        <w:rPr>
          <w:rFonts w:ascii="仿宋_GB2312"/>
        </w:rPr>
        <w:t>土地复垦监测既是落实土地复垦责任、保障复垦工作顺利进行的重要措施，也是调整土地复垦方案中复垦目标、标准、措施及计划安排的重要依据。</w:t>
      </w:r>
    </w:p>
    <w:p>
      <w:pPr>
        <w:ind w:firstLine="480"/>
        <w:jc w:val="left"/>
        <w:rPr>
          <w:bCs/>
        </w:rPr>
      </w:pPr>
      <w:r>
        <w:rPr>
          <w:rFonts w:hint="eastAsia"/>
          <w:bCs/>
        </w:rPr>
        <w:t>土地复垦监测内容主要为土地损毁监测、土壤质量质监测和植被恢复监测。</w:t>
      </w:r>
    </w:p>
    <w:p>
      <w:pPr>
        <w:ind w:firstLine="480"/>
        <w:jc w:val="left"/>
        <w:rPr>
          <w:bCs/>
        </w:rPr>
      </w:pPr>
      <w:r>
        <w:rPr>
          <w:rFonts w:hint="eastAsia"/>
          <w:bCs/>
        </w:rPr>
        <w:t>a）土地损毁监测</w:t>
      </w:r>
    </w:p>
    <w:p>
      <w:pPr>
        <w:ind w:firstLine="480"/>
        <w:jc w:val="left"/>
        <w:rPr>
          <w:bCs/>
        </w:rPr>
      </w:pPr>
      <w:r>
        <w:rPr>
          <w:rFonts w:hint="eastAsia"/>
          <w:bCs/>
        </w:rPr>
        <w:t>1）监测内容</w:t>
      </w:r>
    </w:p>
    <w:p>
      <w:pPr>
        <w:ind w:firstLine="480"/>
        <w:jc w:val="left"/>
        <w:rPr>
          <w:bCs/>
        </w:rPr>
      </w:pPr>
      <w:r>
        <w:rPr>
          <w:rFonts w:hint="eastAsia"/>
          <w:bCs/>
        </w:rPr>
        <w:t>对挖损土地损毁范围、损毁程度及植被影响情况进行监测。</w:t>
      </w:r>
    </w:p>
    <w:p>
      <w:pPr>
        <w:ind w:firstLine="480"/>
        <w:jc w:val="left"/>
        <w:rPr>
          <w:bCs/>
        </w:rPr>
      </w:pPr>
      <w:r>
        <w:rPr>
          <w:rFonts w:hint="eastAsia"/>
          <w:bCs/>
        </w:rPr>
        <w:t>2）监测点设置</w:t>
      </w:r>
    </w:p>
    <w:p>
      <w:pPr>
        <w:ind w:firstLine="480"/>
        <w:jc w:val="left"/>
        <w:rPr>
          <w:bCs/>
        </w:rPr>
      </w:pPr>
      <w:r>
        <w:rPr>
          <w:rFonts w:hint="eastAsia"/>
          <w:bCs/>
        </w:rPr>
        <w:t>本项目在供水管线用地共设置6个土地损毁监测点。在项目建设完成后进行1次土地损毁监测。</w:t>
      </w:r>
    </w:p>
    <w:p>
      <w:pPr>
        <w:ind w:firstLine="480"/>
        <w:jc w:val="left"/>
        <w:rPr>
          <w:bCs/>
        </w:rPr>
      </w:pPr>
      <w:r>
        <w:rPr>
          <w:rFonts w:hint="eastAsia"/>
          <w:bCs/>
        </w:rPr>
        <w:t>3）监测方法</w:t>
      </w:r>
    </w:p>
    <w:p>
      <w:pPr>
        <w:ind w:firstLine="480"/>
        <w:jc w:val="left"/>
        <w:rPr>
          <w:bCs/>
        </w:rPr>
      </w:pPr>
      <w:r>
        <w:rPr>
          <w:rFonts w:hint="eastAsia"/>
          <w:bCs/>
        </w:rPr>
        <w:t>采用实地勘测、地形测量等方法，结合GIS和GPS技术的应用，对上述内容进行监测。</w:t>
      </w:r>
    </w:p>
    <w:p>
      <w:pPr>
        <w:ind w:firstLine="480"/>
        <w:jc w:val="left"/>
        <w:rPr>
          <w:bCs/>
        </w:rPr>
      </w:pPr>
      <w:r>
        <w:rPr>
          <w:rFonts w:hint="eastAsia"/>
          <w:bCs/>
        </w:rPr>
        <w:t>b）土地复垦效果监测</w:t>
      </w:r>
    </w:p>
    <w:p>
      <w:pPr>
        <w:ind w:firstLine="480"/>
        <w:jc w:val="left"/>
        <w:rPr>
          <w:bCs/>
        </w:rPr>
      </w:pPr>
      <w:r>
        <w:rPr>
          <w:rFonts w:hint="eastAsia"/>
          <w:bCs/>
        </w:rPr>
        <w:t>1）土壤质量监测</w:t>
      </w:r>
    </w:p>
    <w:p>
      <w:pPr>
        <w:ind w:firstLine="480"/>
        <w:jc w:val="left"/>
        <w:rPr>
          <w:bCs/>
        </w:rPr>
      </w:pPr>
      <w:r>
        <w:rPr>
          <w:rFonts w:hint="eastAsia"/>
          <w:bCs/>
        </w:rPr>
        <w:t>监测内容与方法：有效土层厚度、土壤砾石含量、土壤容重、PH值、有机质含量等。采用定点监测，工程开工建设前监测1次，复垦施工完成后监测1次。</w:t>
      </w:r>
    </w:p>
    <w:p>
      <w:pPr>
        <w:ind w:firstLine="480"/>
        <w:jc w:val="left"/>
        <w:rPr>
          <w:bCs/>
        </w:rPr>
      </w:pPr>
      <w:r>
        <w:rPr>
          <w:rFonts w:hint="eastAsia"/>
          <w:bCs/>
        </w:rPr>
        <w:t>2）植被恢复监测</w:t>
      </w:r>
    </w:p>
    <w:p>
      <w:pPr>
        <w:ind w:firstLine="480"/>
        <w:jc w:val="left"/>
        <w:rPr>
          <w:bCs/>
        </w:rPr>
      </w:pPr>
      <w:r>
        <w:rPr>
          <w:rFonts w:hint="eastAsia"/>
          <w:bCs/>
        </w:rPr>
        <w:t>监测内容与方法：草地植被恢复状况、植被存活率、植被群落分布、植物种类、植被覆盖度等。采用定点监测，持续监测3年，每年监测3次（5月、7月、9月各1次）。</w:t>
      </w:r>
    </w:p>
    <w:p>
      <w:pPr>
        <w:ind w:firstLine="480"/>
        <w:jc w:val="left"/>
        <w:rPr>
          <w:bCs/>
        </w:rPr>
      </w:pPr>
      <w:r>
        <w:rPr>
          <w:rFonts w:hint="eastAsia"/>
          <w:bCs/>
        </w:rPr>
        <w:t>监测点设置</w:t>
      </w:r>
    </w:p>
    <w:p>
      <w:pPr>
        <w:ind w:firstLine="480"/>
        <w:jc w:val="left"/>
        <w:rPr>
          <w:bCs/>
        </w:rPr>
      </w:pPr>
      <w:r>
        <w:rPr>
          <w:rFonts w:hint="eastAsia"/>
          <w:bCs/>
        </w:rPr>
        <w:t>本项目在供水管线用地设置6个土壤质量监测点、3个植被恢复监测点。土壤质量监测工程开工建设前监测1次，复垦施工完成后监测1次。在管护期内，植被恢复监测3次/年。</w:t>
      </w:r>
    </w:p>
    <w:p>
      <w:pPr>
        <w:ind w:firstLine="480"/>
        <w:jc w:val="left"/>
        <w:rPr>
          <w:bCs/>
        </w:rPr>
      </w:pPr>
      <w:r>
        <w:rPr>
          <w:bCs/>
        </w:rPr>
        <w:t>c）复垦监测成果管理</w:t>
      </w:r>
    </w:p>
    <w:p>
      <w:pPr>
        <w:ind w:firstLine="480"/>
        <w:jc w:val="left"/>
        <w:rPr>
          <w:rFonts w:ascii="仿宋_GB2312"/>
        </w:rPr>
      </w:pPr>
      <w:r>
        <w:rPr>
          <w:bCs/>
        </w:rPr>
        <w:t>土地复垦外业监测工作完成后，需要对复垦外业监测数据进行整理与汇总，撰写复垦监测成果报告并装订成册，之后报企业土地复垦管理机构归档保存，便于今后查阅。同时，土地复垦监测成果应当定期向地方自然资源主管部门汇报。</w:t>
      </w:r>
      <w:r>
        <w:rPr>
          <w:rFonts w:ascii="仿宋_GB2312"/>
        </w:rPr>
        <w:t>复垦监测方案见表</w:t>
      </w:r>
      <w:r>
        <w:t>7</w:t>
      </w:r>
      <w:r>
        <w:rPr>
          <w:rFonts w:hint="eastAsia"/>
        </w:rPr>
        <w:t>.1.3-1</w:t>
      </w:r>
      <w:r>
        <w:rPr>
          <w:rFonts w:ascii="仿宋_GB2312"/>
        </w:rPr>
        <w:t>。</w:t>
      </w:r>
    </w:p>
    <w:p>
      <w:pPr>
        <w:ind w:firstLine="482"/>
        <w:rPr>
          <w:b/>
        </w:rPr>
      </w:pPr>
      <w:bookmarkStart w:id="703" w:name="_Toc116061660"/>
      <w:bookmarkStart w:id="704" w:name="_Toc13776"/>
      <w:r>
        <w:rPr>
          <w:rFonts w:hint="eastAsia"/>
          <w:b/>
        </w:rPr>
        <w:t>c</w:t>
      </w:r>
      <w:r>
        <w:rPr>
          <w:rFonts w:ascii="仿宋_GB2312"/>
          <w:b/>
        </w:rPr>
        <w:t>）</w:t>
      </w:r>
      <w:r>
        <w:rPr>
          <w:rFonts w:hint="eastAsia" w:ascii="仿宋_GB2312"/>
          <w:b/>
        </w:rPr>
        <w:t>监测技术标准和要求</w:t>
      </w:r>
    </w:p>
    <w:p>
      <w:pPr>
        <w:ind w:firstLine="480"/>
      </w:pPr>
      <w:r>
        <w:t>监测技术标准主要参考《水土保持监测技术规范》（SL227-2002）、《土壤环境监测技术规范》（HJ166-2004）等。</w:t>
      </w:r>
    </w:p>
    <w:p>
      <w:pPr>
        <w:snapToGrid w:val="0"/>
        <w:ind w:firstLine="0" w:firstLineChars="0"/>
        <w:jc w:val="center"/>
        <w:rPr>
          <w:rFonts w:eastAsia="黑体"/>
          <w:sz w:val="21"/>
        </w:rPr>
      </w:pPr>
      <w:r>
        <w:rPr>
          <w:rFonts w:eastAsia="黑体"/>
          <w:sz w:val="21"/>
        </w:rPr>
        <w:t>表7</w:t>
      </w:r>
      <w:r>
        <w:rPr>
          <w:rFonts w:hint="eastAsia" w:eastAsia="黑体"/>
          <w:sz w:val="21"/>
        </w:rPr>
        <w:t>.1.3-1</w:t>
      </w:r>
      <w:r>
        <w:rPr>
          <w:rFonts w:eastAsia="黑体"/>
          <w:sz w:val="21"/>
        </w:rPr>
        <w:t>复垦监测方案表</w:t>
      </w:r>
    </w:p>
    <w:tbl>
      <w:tblPr>
        <w:tblStyle w:val="88"/>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47"/>
        <w:gridCol w:w="1544"/>
        <w:gridCol w:w="1425"/>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7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0"/>
              </w:rPr>
              <w:t>监测内容</w:t>
            </w:r>
          </w:p>
        </w:tc>
        <w:tc>
          <w:tcPr>
            <w:tcW w:w="154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0"/>
              </w:rPr>
              <w:t>监测频率</w:t>
            </w:r>
            <w:r>
              <w:rPr>
                <w:rFonts w:hint="eastAsia"/>
                <w:sz w:val="21"/>
                <w:szCs w:val="20"/>
              </w:rPr>
              <w:t>·</w:t>
            </w:r>
            <w:r>
              <w:rPr>
                <w:sz w:val="21"/>
                <w:szCs w:val="20"/>
              </w:rPr>
              <w:t>次/年</w:t>
            </w:r>
          </w:p>
        </w:tc>
        <w:tc>
          <w:tcPr>
            <w:tcW w:w="142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0"/>
              </w:rPr>
              <w:t>监测点数量</w:t>
            </w:r>
            <w:r>
              <w:rPr>
                <w:rFonts w:hint="eastAsia"/>
                <w:sz w:val="21"/>
                <w:szCs w:val="20"/>
              </w:rPr>
              <w:t>/</w:t>
            </w:r>
            <w:r>
              <w:rPr>
                <w:sz w:val="21"/>
                <w:szCs w:val="20"/>
              </w:rPr>
              <w:t>个</w:t>
            </w:r>
          </w:p>
        </w:tc>
        <w:tc>
          <w:tcPr>
            <w:tcW w:w="135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0"/>
              </w:rPr>
              <w:t>样点持续监测时间</w:t>
            </w:r>
            <w:r>
              <w:rPr>
                <w:rFonts w:hint="eastAsia"/>
                <w:sz w:val="21"/>
                <w:szCs w:val="20"/>
              </w:rPr>
              <w:t>/</w:t>
            </w:r>
            <w:r>
              <w:rPr>
                <w:sz w:val="21"/>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7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0"/>
              </w:rPr>
              <w:t>土地损毁情况</w:t>
            </w:r>
          </w:p>
        </w:tc>
        <w:tc>
          <w:tcPr>
            <w:tcW w:w="154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0"/>
              </w:rPr>
              <w:t>1</w:t>
            </w:r>
          </w:p>
        </w:tc>
        <w:tc>
          <w:tcPr>
            <w:tcW w:w="142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0"/>
              </w:rPr>
              <w:t>6</w:t>
            </w:r>
          </w:p>
        </w:tc>
        <w:tc>
          <w:tcPr>
            <w:tcW w:w="135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0"/>
              </w:rPr>
              <w:t>工程建设完成后监测1次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7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2"/>
              <w:rPr>
                <w:szCs w:val="21"/>
              </w:rPr>
            </w:pPr>
            <w:r>
              <w:rPr>
                <w:bCs/>
              </w:rPr>
              <w:t>土壤pH值、土壤有机质含量、有效土层厚度、土壤砾石含量、土壤容重</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2"/>
              <w:rPr>
                <w:szCs w:val="21"/>
              </w:rPr>
            </w:pPr>
            <w:r>
              <w:rPr>
                <w:rFonts w:hint="eastAsia"/>
              </w:rPr>
              <w:t>工程开工建设前监测1次，复垦施工完成后监测1次</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2"/>
              <w:rPr>
                <w:szCs w:val="21"/>
              </w:rPr>
            </w:pPr>
            <w:r>
              <w:rPr>
                <w:rFonts w:hint="eastAsia"/>
              </w:rPr>
              <w:t>6</w:t>
            </w:r>
          </w:p>
        </w:tc>
        <w:tc>
          <w:tcPr>
            <w:tcW w:w="13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2"/>
              <w:rPr>
                <w:szCs w:val="21"/>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747" w:type="dxa"/>
            <w:tcBorders>
              <w:top w:val="single" w:color="auto" w:sz="4" w:space="0"/>
              <w:left w:val="single" w:color="auto" w:sz="4" w:space="0"/>
              <w:bottom w:val="single" w:color="auto" w:sz="4" w:space="0"/>
              <w:right w:val="single" w:color="auto" w:sz="4" w:space="0"/>
            </w:tcBorders>
            <w:vAlign w:val="center"/>
          </w:tcPr>
          <w:p>
            <w:pPr>
              <w:pStyle w:val="142"/>
              <w:rPr>
                <w:szCs w:val="21"/>
              </w:rPr>
            </w:pPr>
            <w:r>
              <w:rPr>
                <w:bCs/>
              </w:rPr>
              <w:t>植被生长情况、植物种类、覆盖度、植物群落分布</w:t>
            </w:r>
          </w:p>
        </w:tc>
        <w:tc>
          <w:tcPr>
            <w:tcW w:w="1544" w:type="dxa"/>
            <w:tcBorders>
              <w:top w:val="single" w:color="auto" w:sz="4" w:space="0"/>
              <w:left w:val="single" w:color="auto" w:sz="4" w:space="0"/>
              <w:bottom w:val="single" w:color="auto" w:sz="4" w:space="0"/>
              <w:right w:val="single" w:color="auto" w:sz="4" w:space="0"/>
            </w:tcBorders>
            <w:vAlign w:val="center"/>
          </w:tcPr>
          <w:p>
            <w:pPr>
              <w:pStyle w:val="142"/>
              <w:rPr>
                <w:szCs w:val="21"/>
              </w:rPr>
            </w:pPr>
            <w:r>
              <w:t>3</w:t>
            </w:r>
          </w:p>
        </w:tc>
        <w:tc>
          <w:tcPr>
            <w:tcW w:w="1425" w:type="dxa"/>
            <w:tcBorders>
              <w:top w:val="single" w:color="auto" w:sz="4" w:space="0"/>
              <w:left w:val="single" w:color="auto" w:sz="4" w:space="0"/>
              <w:bottom w:val="single" w:color="auto" w:sz="4" w:space="0"/>
              <w:right w:val="single" w:color="auto" w:sz="4" w:space="0"/>
            </w:tcBorders>
            <w:vAlign w:val="center"/>
          </w:tcPr>
          <w:p>
            <w:pPr>
              <w:pStyle w:val="142"/>
              <w:rPr>
                <w:szCs w:val="21"/>
              </w:rPr>
            </w:pPr>
            <w:r>
              <w:rPr>
                <w:rFonts w:hint="eastAsia"/>
              </w:rPr>
              <w:t>3</w:t>
            </w:r>
          </w:p>
        </w:tc>
        <w:tc>
          <w:tcPr>
            <w:tcW w:w="1355" w:type="dxa"/>
            <w:tcBorders>
              <w:top w:val="single" w:color="auto" w:sz="4" w:space="0"/>
              <w:left w:val="single" w:color="auto" w:sz="4" w:space="0"/>
              <w:bottom w:val="single" w:color="auto" w:sz="4" w:space="0"/>
              <w:right w:val="single" w:color="auto" w:sz="4" w:space="0"/>
            </w:tcBorders>
            <w:vAlign w:val="center"/>
          </w:tcPr>
          <w:p>
            <w:pPr>
              <w:pStyle w:val="142"/>
              <w:rPr>
                <w:szCs w:val="21"/>
              </w:rPr>
            </w:pPr>
            <w:r>
              <w:rPr>
                <w:rFonts w:hint="eastAsia"/>
                <w:szCs w:val="21"/>
              </w:rPr>
              <w:t>27</w:t>
            </w:r>
          </w:p>
        </w:tc>
      </w:tr>
      <w:bookmarkEnd w:id="703"/>
      <w:bookmarkEnd w:id="704"/>
    </w:tbl>
    <w:p>
      <w:pPr>
        <w:ind w:firstLine="0" w:firstLineChars="0"/>
        <w:outlineLvl w:val="2"/>
        <w:rPr>
          <w:rFonts w:eastAsia="黑体" w:cs="方正仿宋简体"/>
          <w:sz w:val="28"/>
        </w:rPr>
      </w:pPr>
      <w:bookmarkStart w:id="705" w:name="_Toc6986"/>
      <w:bookmarkStart w:id="706" w:name="_Toc116061661"/>
      <w:r>
        <w:rPr>
          <w:rFonts w:hint="eastAsia" w:eastAsia="黑体" w:cs="方正仿宋简体"/>
          <w:sz w:val="28"/>
        </w:rPr>
        <w:t>7</w:t>
      </w:r>
      <w:r>
        <w:rPr>
          <w:rFonts w:eastAsia="黑体" w:cs="方正仿宋简体"/>
          <w:sz w:val="28"/>
        </w:rPr>
        <w:t>.</w:t>
      </w:r>
      <w:r>
        <w:rPr>
          <w:rFonts w:hint="eastAsia" w:eastAsia="黑体" w:cs="方正仿宋简体"/>
          <w:sz w:val="28"/>
        </w:rPr>
        <w:t>1.4管护工程设计</w:t>
      </w:r>
    </w:p>
    <w:p>
      <w:pPr>
        <w:snapToGrid w:val="0"/>
        <w:spacing w:line="360" w:lineRule="auto"/>
        <w:ind w:firstLine="480"/>
        <w:jc w:val="left"/>
      </w:pPr>
      <w:r>
        <w:t>项目区地处于</w:t>
      </w:r>
      <w:r>
        <w:rPr>
          <w:rFonts w:hint="eastAsia"/>
        </w:rPr>
        <w:t>西北</w:t>
      </w:r>
      <w:r>
        <w:t>干旱区，植被的成活率很难得到保障，因此，需要对复垦土地进行管护，具体管护措施如下：</w:t>
      </w:r>
    </w:p>
    <w:p>
      <w:pPr>
        <w:snapToGrid w:val="0"/>
        <w:spacing w:line="360" w:lineRule="auto"/>
        <w:ind w:firstLine="480"/>
        <w:jc w:val="left"/>
      </w:pPr>
      <w:r>
        <w:t>a）灌溉措施</w:t>
      </w:r>
    </w:p>
    <w:p>
      <w:pPr>
        <w:snapToGrid w:val="0"/>
        <w:spacing w:line="360" w:lineRule="auto"/>
        <w:ind w:firstLine="480"/>
        <w:jc w:val="left"/>
      </w:pPr>
      <w:r>
        <w:t>项目区气候属</w:t>
      </w:r>
      <w:r>
        <w:rPr>
          <w:rFonts w:hint="eastAsia"/>
        </w:rPr>
        <w:t>大陆性暖温带干旱气候</w:t>
      </w:r>
      <w:r>
        <w:t>，降水稀少，夏季炎热，冬季寒冷，年温差和日温差大，光照充足，热量丰富，蒸发强烈，风沙活动频繁。</w:t>
      </w:r>
      <w:r>
        <w:rPr>
          <w:rFonts w:hint="eastAsia"/>
        </w:rPr>
        <w:t>由于植物生长初期根系未发育完全，管护期第一年需对复垦植被进行人工灌溉，促进植被根系生长。待复垦植被根系发育完全后项目区降水量可满足植被正常生长条件</w:t>
      </w:r>
      <w:r>
        <w:t>。</w:t>
      </w:r>
      <w:r>
        <w:rPr>
          <w:rFonts w:hint="eastAsia"/>
        </w:rPr>
        <w:t>参照新疆《农业灌溉用水定额》（DB65/3611—2014）其他类作物灌水定额，结合项目区降水量确定本项目林地、草地全年灌溉水量3300m</w:t>
      </w:r>
      <w:r>
        <w:rPr>
          <w:rFonts w:hint="eastAsia"/>
          <w:vertAlign w:val="superscript"/>
        </w:rPr>
        <w:t>3</w:t>
      </w:r>
      <w:r>
        <w:rPr>
          <w:rFonts w:hint="eastAsia"/>
        </w:rPr>
        <w:t>/hm</w:t>
      </w:r>
      <w:r>
        <w:rPr>
          <w:rFonts w:hint="eastAsia"/>
          <w:vertAlign w:val="superscript"/>
        </w:rPr>
        <w:t>2</w:t>
      </w:r>
      <w:r>
        <w:rPr>
          <w:rFonts w:hint="eastAsia"/>
        </w:rPr>
        <w:t>，每次洒水灌溉825m</w:t>
      </w:r>
      <w:r>
        <w:rPr>
          <w:rFonts w:hint="eastAsia"/>
          <w:vertAlign w:val="superscript"/>
        </w:rPr>
        <w:t>3</w:t>
      </w:r>
      <w:r>
        <w:rPr>
          <w:rFonts w:hint="eastAsia"/>
        </w:rPr>
        <w:t>/hm</w:t>
      </w:r>
      <w:r>
        <w:rPr>
          <w:rFonts w:hint="eastAsia"/>
          <w:vertAlign w:val="superscript"/>
        </w:rPr>
        <w:t>2</w:t>
      </w:r>
      <w:r>
        <w:rPr>
          <w:rFonts w:hint="eastAsia"/>
        </w:rPr>
        <w:t>，一年灌溉4次。林地、草地区灌溉面积0.2442hm</w:t>
      </w:r>
      <w:r>
        <w:rPr>
          <w:rFonts w:hint="eastAsia"/>
          <w:vertAlign w:val="superscript"/>
        </w:rPr>
        <w:t>2</w:t>
      </w:r>
      <w:r>
        <w:rPr>
          <w:rFonts w:hint="eastAsia"/>
        </w:rPr>
        <w:t>，总灌溉水量805.86m</w:t>
      </w:r>
      <w:r>
        <w:rPr>
          <w:rFonts w:hint="eastAsia"/>
          <w:vertAlign w:val="superscript"/>
        </w:rPr>
        <w:t>3</w:t>
      </w:r>
      <w:r>
        <w:rPr>
          <w:rFonts w:hint="eastAsia"/>
        </w:rPr>
        <w:t>，单次灌溉水量201.47m</w:t>
      </w:r>
      <w:r>
        <w:rPr>
          <w:rFonts w:hint="eastAsia"/>
          <w:vertAlign w:val="superscript"/>
        </w:rPr>
        <w:t>3</w:t>
      </w:r>
      <w:r>
        <w:rPr>
          <w:rFonts w:hint="eastAsia"/>
        </w:rPr>
        <w:t>。灌溉用水取自阿依库勒支渠，灌溉水类型为地表水。</w:t>
      </w:r>
    </w:p>
    <w:p>
      <w:pPr>
        <w:snapToGrid w:val="0"/>
        <w:spacing w:line="360" w:lineRule="auto"/>
        <w:ind w:firstLine="480"/>
        <w:jc w:val="left"/>
      </w:pPr>
      <w:r>
        <w:t>项目区位于</w:t>
      </w:r>
      <w:r>
        <w:rPr>
          <w:rFonts w:hint="eastAsia"/>
        </w:rPr>
        <w:t>山前洪积平原区</w:t>
      </w:r>
      <w:r>
        <w:t>，</w:t>
      </w:r>
      <w:r>
        <w:rPr>
          <w:rFonts w:hint="eastAsia"/>
        </w:rPr>
        <w:t>管护第一年</w:t>
      </w:r>
      <w:r>
        <w:t>采用洒水车到</w:t>
      </w:r>
      <w:r>
        <w:rPr>
          <w:rFonts w:hint="eastAsia"/>
        </w:rPr>
        <w:t>阿依库勒支渠</w:t>
      </w:r>
      <w:r>
        <w:t>拉水进行浇灌，</w:t>
      </w:r>
      <w:r>
        <w:rPr>
          <w:rFonts w:hint="eastAsia"/>
        </w:rPr>
        <w:t>拉运距离1km。待</w:t>
      </w:r>
      <w:r>
        <w:t>植被根系发育完全后项目区降水量及地下水补给即可满足植被正常生长的条件，故方案设计只在管护期第一年进行洒水以促进植被根系发育，5月、6月、7月、8月各浇水一次。</w:t>
      </w:r>
    </w:p>
    <w:p>
      <w:pPr>
        <w:snapToGrid w:val="0"/>
        <w:spacing w:line="360" w:lineRule="auto"/>
        <w:ind w:firstLine="480"/>
        <w:jc w:val="left"/>
      </w:pPr>
      <w:r>
        <w:t>b）植被补播</w:t>
      </w:r>
    </w:p>
    <w:p>
      <w:pPr>
        <w:snapToGrid w:val="0"/>
        <w:spacing w:line="360" w:lineRule="auto"/>
        <w:ind w:firstLine="480"/>
        <w:jc w:val="left"/>
      </w:pPr>
      <w:r>
        <w:t>在管护期内逐年对成活率不高的区域进行补播草籽，预计第一年植被补播系数为植被恢复面积的20%，第二年为10%，第三年为5%，</w:t>
      </w:r>
      <w:r>
        <w:rPr>
          <w:rFonts w:hint="eastAsia"/>
        </w:rPr>
        <w:t>补播时间选择在管护期每年的3月或者11月进行</w:t>
      </w:r>
      <w:r>
        <w:t>。</w:t>
      </w:r>
    </w:p>
    <w:p>
      <w:pPr>
        <w:snapToGrid w:val="0"/>
        <w:spacing w:line="360" w:lineRule="auto"/>
        <w:ind w:firstLine="480"/>
        <w:jc w:val="left"/>
      </w:pPr>
      <w:r>
        <w:rPr>
          <w:rFonts w:hint="eastAsia"/>
        </w:rPr>
        <w:t>c）病虫害防治</w:t>
      </w:r>
    </w:p>
    <w:p>
      <w:pPr>
        <w:snapToGrid w:val="0"/>
        <w:spacing w:line="360" w:lineRule="auto"/>
        <w:ind w:firstLine="480"/>
        <w:jc w:val="left"/>
      </w:pPr>
      <w:r>
        <w:rPr>
          <w:rFonts w:hint="eastAsia"/>
        </w:rPr>
        <w:t>病虫害防治是林草地管理中的一项重要的工作，在林草地生长季节尤为重要。坚持预防为主，综合防治的方针，依据林草技术部门发布的病虫鼠害预测预报，采取生态调控、生物防治、物理防治和科学使用化学农药的绿色防控措施，控制林草病虫鼠害。</w:t>
      </w:r>
    </w:p>
    <w:p>
      <w:pPr>
        <w:snapToGrid w:val="0"/>
        <w:spacing w:line="360" w:lineRule="auto"/>
        <w:ind w:firstLine="480"/>
        <w:jc w:val="left"/>
      </w:pPr>
      <w:r>
        <w:rPr>
          <w:rFonts w:hint="eastAsia"/>
        </w:rPr>
        <w:t>d）鼠害防治</w:t>
      </w:r>
    </w:p>
    <w:p>
      <w:pPr>
        <w:snapToGrid w:val="0"/>
        <w:spacing w:line="360" w:lineRule="auto"/>
        <w:ind w:firstLine="480"/>
        <w:jc w:val="left"/>
      </w:pPr>
      <w:r>
        <w:rPr>
          <w:rFonts w:hint="eastAsia"/>
        </w:rPr>
        <w:t>①物理防治。在林草地放置老鼠夹，粘鼠板，鼠笼等防治鼠害的设施。</w:t>
      </w:r>
    </w:p>
    <w:p>
      <w:pPr>
        <w:snapToGrid w:val="0"/>
        <w:spacing w:line="360" w:lineRule="auto"/>
        <w:ind w:firstLine="480"/>
        <w:jc w:val="left"/>
      </w:pPr>
      <w:r>
        <w:t>经过三年的管护期，复垦区的植被逐渐适应自然生长条件，与周边自然环境相融合，达到原土地利用类型水平。</w:t>
      </w:r>
    </w:p>
    <w:p>
      <w:pPr>
        <w:ind w:firstLine="480"/>
      </w:pPr>
      <w:r>
        <w:rPr>
          <w:rFonts w:hint="eastAsia"/>
        </w:rPr>
        <w:t>e）加强宣传</w:t>
      </w:r>
    </w:p>
    <w:p>
      <w:pPr>
        <w:ind w:firstLine="480"/>
      </w:pPr>
      <w:r>
        <w:rPr>
          <w:rFonts w:hint="eastAsia"/>
        </w:rPr>
        <w:t>在复垦区明显位置、粉刷标语等形式进行广泛宣传，把管护与集体经济利益相挂钩、与工人切身利益相结合，加强生态环境治理的重大意义的宣传教育，增强工人管护的责任感和利益感，提高广大群众参与管护的积极性。</w:t>
      </w:r>
    </w:p>
    <w:p>
      <w:pPr>
        <w:ind w:firstLine="480"/>
      </w:pPr>
      <w:r>
        <w:rPr>
          <w:rFonts w:hint="eastAsia"/>
        </w:rPr>
        <w:t>f）明确管护主体</w:t>
      </w:r>
    </w:p>
    <w:p>
      <w:pPr>
        <w:ind w:firstLine="480"/>
        <w:rPr>
          <w:rFonts w:ascii="仿宋_GB2312"/>
        </w:rPr>
      </w:pPr>
      <w:r>
        <w:rPr>
          <w:rFonts w:hint="eastAsia"/>
        </w:rPr>
        <w:t>土地复垦项目完成后，确定管护主体，建立严格的管护责任，落实管护措施，明确管护内容，并作为各级领导的政绩考核指标</w:t>
      </w:r>
      <w:r>
        <w:rPr>
          <w:rFonts w:hint="eastAsia" w:ascii="仿宋_GB2312"/>
        </w:rPr>
        <w:t>。</w:t>
      </w:r>
    </w:p>
    <w:p>
      <w:pPr>
        <w:ind w:firstLine="0" w:firstLineChars="0"/>
        <w:outlineLvl w:val="1"/>
        <w:rPr>
          <w:rFonts w:eastAsia="黑体"/>
          <w:bCs/>
          <w:sz w:val="30"/>
          <w:szCs w:val="32"/>
        </w:rPr>
      </w:pPr>
      <w:bookmarkStart w:id="707" w:name="_Toc7248"/>
      <w:r>
        <w:rPr>
          <w:rFonts w:eastAsia="黑体"/>
          <w:bCs/>
          <w:sz w:val="30"/>
          <w:szCs w:val="32"/>
        </w:rPr>
        <w:t>7.2土地复垦基本单元工程量测算</w:t>
      </w:r>
      <w:bookmarkEnd w:id="705"/>
      <w:bookmarkEnd w:id="706"/>
      <w:bookmarkEnd w:id="707"/>
    </w:p>
    <w:p>
      <w:pPr>
        <w:ind w:firstLine="0" w:firstLineChars="0"/>
        <w:outlineLvl w:val="2"/>
        <w:rPr>
          <w:rFonts w:eastAsia="黑体" w:cs="方正仿宋简体"/>
          <w:sz w:val="28"/>
        </w:rPr>
      </w:pPr>
      <w:bookmarkStart w:id="708" w:name="_Toc19733"/>
      <w:bookmarkStart w:id="709" w:name="_Toc116061662"/>
      <w:r>
        <w:rPr>
          <w:rFonts w:eastAsia="黑体" w:cs="方正仿宋简体"/>
          <w:sz w:val="28"/>
        </w:rPr>
        <w:t>7.2.1临时用地复垦工程量统计</w:t>
      </w:r>
      <w:bookmarkEnd w:id="708"/>
      <w:bookmarkEnd w:id="709"/>
    </w:p>
    <w:p>
      <w:pPr>
        <w:ind w:firstLine="482"/>
        <w:rPr>
          <w:b/>
        </w:rPr>
      </w:pPr>
      <w:r>
        <w:rPr>
          <w:rFonts w:hint="eastAsia"/>
          <w:b/>
        </w:rPr>
        <w:t>a</w:t>
      </w:r>
      <w:r>
        <w:rPr>
          <w:rFonts w:ascii="仿宋_GB2312"/>
          <w:b/>
        </w:rPr>
        <w:t>）</w:t>
      </w:r>
      <w:r>
        <w:rPr>
          <w:rFonts w:hint="eastAsia" w:ascii="仿宋_GB2312"/>
          <w:b/>
        </w:rPr>
        <w:t>临时用地复垦</w:t>
      </w:r>
      <w:r>
        <w:rPr>
          <w:rFonts w:ascii="仿宋_GB2312"/>
          <w:b/>
        </w:rPr>
        <w:t>工程量</w:t>
      </w:r>
      <w:r>
        <w:rPr>
          <w:rFonts w:hint="eastAsia" w:ascii="仿宋_GB2312"/>
          <w:b/>
        </w:rPr>
        <w:t>统计</w:t>
      </w:r>
    </w:p>
    <w:p>
      <w:pPr>
        <w:ind w:firstLine="480"/>
      </w:pPr>
      <w:r>
        <w:rPr>
          <w:rFonts w:hint="eastAsia" w:ascii="仿宋_GB2312"/>
        </w:rPr>
        <w:t>临时用地复垦面积合计</w:t>
      </w:r>
      <w:r>
        <w:rPr>
          <w:rFonts w:hint="eastAsia"/>
        </w:rPr>
        <w:t>4.3908hm</w:t>
      </w:r>
      <w:r>
        <w:rPr>
          <w:rFonts w:hint="eastAsia"/>
          <w:vertAlign w:val="superscript"/>
        </w:rPr>
        <w:t>2</w:t>
      </w:r>
      <w:r>
        <w:rPr>
          <w:rFonts w:hint="eastAsia" w:ascii="仿宋_GB2312"/>
        </w:rPr>
        <w:t>。</w:t>
      </w:r>
      <w:r>
        <w:rPr>
          <w:rFonts w:ascii="仿宋_GB2312"/>
        </w:rPr>
        <w:t>根据</w:t>
      </w:r>
      <w:r>
        <w:t>7.1.2</w:t>
      </w:r>
      <w:r>
        <w:rPr>
          <w:rFonts w:ascii="仿宋_GB2312"/>
        </w:rPr>
        <w:t>小节内容</w:t>
      </w:r>
      <w:r>
        <w:rPr>
          <w:rFonts w:hint="eastAsia" w:ascii="仿宋_GB2312"/>
        </w:rPr>
        <w:t>对</w:t>
      </w:r>
      <w:r>
        <w:rPr>
          <w:rFonts w:ascii="仿宋_GB2312"/>
        </w:rPr>
        <w:t>临时用地复垦工程量</w:t>
      </w:r>
      <w:r>
        <w:rPr>
          <w:rFonts w:hint="eastAsia" w:ascii="仿宋_GB2312"/>
        </w:rPr>
        <w:t>进行</w:t>
      </w:r>
      <w:r>
        <w:rPr>
          <w:rFonts w:ascii="仿宋_GB2312"/>
        </w:rPr>
        <w:t>统计。复垦方向为</w:t>
      </w:r>
      <w:r>
        <w:rPr>
          <w:rFonts w:hint="eastAsia" w:ascii="仿宋_GB2312"/>
        </w:rPr>
        <w:t>水浇地，果园，乔木林地，其他林地，其他草地，农村道路，农村宅基地，采矿用地，公路用地，其他特殊用地，沟渠</w:t>
      </w:r>
      <w:r>
        <w:rPr>
          <w:rFonts w:ascii="仿宋_GB2312"/>
        </w:rPr>
        <w:t>。本方案对临时用地的复垦工程设计包括</w:t>
      </w:r>
      <w:r>
        <w:rPr>
          <w:rFonts w:hint="eastAsia"/>
          <w:bCs/>
        </w:rPr>
        <w:t>表土剥离及保存、表土回覆、土地平整、土壤培肥、土地翻耕、修建挡水梗、植被恢复</w:t>
      </w:r>
      <w:r>
        <w:rPr>
          <w:rFonts w:ascii="仿宋_GB2312"/>
        </w:rPr>
        <w:t>。</w:t>
      </w:r>
    </w:p>
    <w:p>
      <w:pPr>
        <w:tabs>
          <w:tab w:val="left" w:pos="5640"/>
        </w:tabs>
        <w:ind w:firstLine="480"/>
        <w:rPr>
          <w:bCs/>
        </w:rPr>
      </w:pPr>
      <w:r>
        <w:rPr>
          <w:rFonts w:hint="eastAsia"/>
          <w:bCs/>
        </w:rPr>
        <w:t>1）表土剥离</w:t>
      </w:r>
    </w:p>
    <w:p>
      <w:pPr>
        <w:tabs>
          <w:tab w:val="left" w:pos="5640"/>
        </w:tabs>
        <w:ind w:firstLine="480"/>
      </w:pPr>
      <w:r>
        <w:t>本项目临时用地占</w:t>
      </w:r>
      <w:r>
        <w:rPr>
          <w:rFonts w:hint="eastAsia"/>
        </w:rPr>
        <w:t xml:space="preserve">耕地、园地、林地、草地总面积1.2573 </w:t>
      </w:r>
      <w:r>
        <w:t>hm</w:t>
      </w:r>
      <w:r>
        <w:rPr>
          <w:vertAlign w:val="superscript"/>
        </w:rPr>
        <w:t>2</w:t>
      </w:r>
      <w:r>
        <w:t>。</w:t>
      </w:r>
      <w:r>
        <w:rPr>
          <w:rFonts w:hint="eastAsia"/>
        </w:rPr>
        <w:t>应</w:t>
      </w:r>
      <w:r>
        <w:t>对项目占用上述用地区域采取表土剥离措施，</w:t>
      </w:r>
      <w:r>
        <w:rPr>
          <w:rFonts w:hint="eastAsia"/>
        </w:rPr>
        <w:t>耕地</w:t>
      </w:r>
      <w:r>
        <w:t>剥离厚度</w:t>
      </w:r>
      <w:r>
        <w:rPr>
          <w:rFonts w:hint="eastAsia"/>
        </w:rPr>
        <w:t>50</w:t>
      </w:r>
      <w:r>
        <w:t>cm</w:t>
      </w:r>
      <w:r>
        <w:rPr>
          <w:rFonts w:hint="eastAsia"/>
        </w:rPr>
        <w:t>、园地。林地、草地剥离厚度20cm</w:t>
      </w:r>
      <w:r>
        <w:t>。</w:t>
      </w:r>
    </w:p>
    <w:p>
      <w:pPr>
        <w:ind w:firstLine="480"/>
        <w:jc w:val="left"/>
        <w:rPr>
          <w:rFonts w:ascii="仿宋_GB2312"/>
        </w:rPr>
      </w:pPr>
      <w:r>
        <w:rPr>
          <w:rFonts w:hint="eastAsia"/>
          <w:bCs/>
        </w:rPr>
        <w:t>2）</w:t>
      </w:r>
      <w:r>
        <w:rPr>
          <w:rFonts w:ascii="仿宋_GB2312"/>
        </w:rPr>
        <w:t>土地平整：采用</w:t>
      </w:r>
      <w:r>
        <w:t>74KW</w:t>
      </w:r>
      <w:r>
        <w:rPr>
          <w:rFonts w:ascii="仿宋_GB2312"/>
        </w:rPr>
        <w:t>推土机对场地进行平整，平整面积为</w:t>
      </w:r>
      <w:r>
        <w:rPr>
          <w:rFonts w:hint="eastAsia"/>
        </w:rPr>
        <w:t>4.3589hm</w:t>
      </w:r>
      <w:r>
        <w:rPr>
          <w:rFonts w:hint="eastAsia"/>
          <w:vertAlign w:val="superscript"/>
        </w:rPr>
        <w:t>2</w:t>
      </w:r>
      <w:r>
        <w:rPr>
          <w:rFonts w:ascii="仿宋_GB2312"/>
        </w:rPr>
        <w:t>，平整工程量为</w:t>
      </w:r>
      <w:r>
        <w:rPr>
          <w:rFonts w:hint="eastAsia"/>
        </w:rPr>
        <w:t>4359</w:t>
      </w:r>
      <w:r>
        <w:t>m</w:t>
      </w:r>
      <w:r>
        <w:rPr>
          <w:vertAlign w:val="superscript"/>
        </w:rPr>
        <w:t>3</w:t>
      </w:r>
      <w:r>
        <w:rPr>
          <w:rFonts w:ascii="仿宋_GB2312"/>
        </w:rPr>
        <w:t>。</w:t>
      </w:r>
    </w:p>
    <w:p>
      <w:pPr>
        <w:tabs>
          <w:tab w:val="left" w:pos="5640"/>
        </w:tabs>
        <w:ind w:firstLine="480"/>
        <w:rPr>
          <w:bCs/>
        </w:rPr>
      </w:pPr>
      <w:r>
        <w:rPr>
          <w:rFonts w:hint="eastAsia"/>
          <w:bCs/>
        </w:rPr>
        <w:t>3）表土回覆</w:t>
      </w:r>
    </w:p>
    <w:p>
      <w:pPr>
        <w:tabs>
          <w:tab w:val="left" w:pos="5640"/>
        </w:tabs>
        <w:ind w:firstLine="480"/>
      </w:pPr>
      <w:r>
        <w:t>对恢复为</w:t>
      </w:r>
      <w:r>
        <w:rPr>
          <w:rFonts w:hint="eastAsia"/>
        </w:rPr>
        <w:t>耕地、园地、林地、草地</w:t>
      </w:r>
      <w:r>
        <w:t>的用地，</w:t>
      </w:r>
      <w:r>
        <w:rPr>
          <w:rFonts w:hint="eastAsia"/>
        </w:rPr>
        <w:t>工程建设完毕后</w:t>
      </w:r>
      <w:r>
        <w:t>进行表土回覆，覆土来源来自项目建设先期剥离的表土，</w:t>
      </w:r>
      <w:r>
        <w:rPr>
          <w:rFonts w:hint="eastAsia"/>
        </w:rPr>
        <w:t>耕地覆土厚度50cm、园地。林地、草地覆土厚度20cm</w:t>
      </w:r>
      <w:r>
        <w:t>。</w:t>
      </w:r>
    </w:p>
    <w:p>
      <w:pPr>
        <w:ind w:firstLine="480"/>
        <w:jc w:val="left"/>
        <w:rPr>
          <w:rFonts w:ascii="仿宋_GB2312"/>
        </w:rPr>
      </w:pPr>
      <w:r>
        <w:rPr>
          <w:rFonts w:hint="eastAsia"/>
        </w:rPr>
        <w:t>4</w:t>
      </w:r>
      <w:r>
        <w:rPr>
          <w:rFonts w:ascii="仿宋_GB2312"/>
        </w:rPr>
        <w:t>）土壤培肥：</w:t>
      </w:r>
      <w:r>
        <w:t>对恢复为</w:t>
      </w:r>
      <w:r>
        <w:rPr>
          <w:rFonts w:hint="eastAsia"/>
        </w:rPr>
        <w:t>耕地、园地、林地、草地</w:t>
      </w:r>
      <w:r>
        <w:t>的用地，</w:t>
      </w:r>
      <w:r>
        <w:rPr>
          <w:rFonts w:ascii="仿宋_GB2312"/>
        </w:rPr>
        <w:t>在种植前需培肥土壤，施用有机</w:t>
      </w:r>
      <w:r>
        <w:t>-</w:t>
      </w:r>
      <w:r>
        <w:rPr>
          <w:rFonts w:ascii="仿宋_GB2312"/>
        </w:rPr>
        <w:t>无机复混肥，</w:t>
      </w:r>
      <w:r>
        <w:rPr>
          <w:rFonts w:hint="eastAsia"/>
        </w:rPr>
        <w:t>耕地、园地施肥面积</w:t>
      </w:r>
      <w:r>
        <w:rPr>
          <w:rFonts w:hint="eastAsia" w:eastAsia="宋体"/>
        </w:rPr>
        <w:t>1.0131</w:t>
      </w:r>
      <w:r>
        <w:rPr>
          <w:rFonts w:hint="eastAsia"/>
        </w:rPr>
        <w:t>hm</w:t>
      </w:r>
      <w:r>
        <w:rPr>
          <w:rFonts w:hint="eastAsia"/>
          <w:vertAlign w:val="superscript"/>
        </w:rPr>
        <w:t>2</w:t>
      </w:r>
      <w:r>
        <w:rPr>
          <w:rFonts w:hint="eastAsia"/>
        </w:rPr>
        <w:t>，</w:t>
      </w:r>
      <w:r>
        <w:t>施用量为</w:t>
      </w:r>
      <w:r>
        <w:rPr>
          <w:rFonts w:hint="eastAsia" w:eastAsia="宋体"/>
        </w:rPr>
        <w:t>1500</w:t>
      </w:r>
      <w:r>
        <w:t>.00kg/hm</w:t>
      </w:r>
      <w:r>
        <w:rPr>
          <w:vertAlign w:val="superscript"/>
        </w:rPr>
        <w:t>2</w:t>
      </w:r>
      <w:r>
        <w:rPr>
          <w:rFonts w:hint="eastAsia"/>
        </w:rPr>
        <w:t>，总施用量1519.65kg</w:t>
      </w:r>
      <w:r>
        <w:t>。</w:t>
      </w:r>
      <w:r>
        <w:rPr>
          <w:rFonts w:hint="eastAsia"/>
        </w:rPr>
        <w:t>林地、草地施肥面积</w:t>
      </w:r>
      <w:r>
        <w:rPr>
          <w:rFonts w:hint="eastAsia" w:eastAsia="宋体"/>
        </w:rPr>
        <w:t>0.2442</w:t>
      </w:r>
      <w:r>
        <w:rPr>
          <w:rFonts w:hint="eastAsia"/>
        </w:rPr>
        <w:t>hm</w:t>
      </w:r>
      <w:r>
        <w:rPr>
          <w:rFonts w:hint="eastAsia"/>
          <w:vertAlign w:val="superscript"/>
        </w:rPr>
        <w:t>2</w:t>
      </w:r>
      <w:r>
        <w:rPr>
          <w:rFonts w:hint="eastAsia"/>
        </w:rPr>
        <w:t>，</w:t>
      </w:r>
      <w:r>
        <w:t>施用量为</w:t>
      </w:r>
      <w:r>
        <w:rPr>
          <w:rFonts w:hint="eastAsia" w:eastAsia="宋体"/>
        </w:rPr>
        <w:t>4</w:t>
      </w:r>
      <w:r>
        <w:rPr>
          <w:rFonts w:hint="eastAsia"/>
        </w:rPr>
        <w:t>50</w:t>
      </w:r>
      <w:r>
        <w:t>.00kg/hm</w:t>
      </w:r>
      <w:r>
        <w:rPr>
          <w:vertAlign w:val="superscript"/>
        </w:rPr>
        <w:t>2</w:t>
      </w:r>
      <w:r>
        <w:rPr>
          <w:rFonts w:hint="eastAsia" w:eastAsia="宋体"/>
        </w:rPr>
        <w:t>，总施用量109.89kg</w:t>
      </w:r>
      <w:r>
        <w:rPr>
          <w:rFonts w:ascii="仿宋_GB2312"/>
        </w:rPr>
        <w:t>。</w:t>
      </w:r>
    </w:p>
    <w:p>
      <w:pPr>
        <w:ind w:firstLine="480"/>
        <w:jc w:val="left"/>
        <w:rPr>
          <w:rFonts w:ascii="仿宋_GB2312"/>
        </w:rPr>
      </w:pPr>
      <w:r>
        <w:rPr>
          <w:rFonts w:hint="eastAsia"/>
        </w:rPr>
        <w:t>5</w:t>
      </w:r>
      <w:r>
        <w:rPr>
          <w:rFonts w:ascii="仿宋_GB2312"/>
        </w:rPr>
        <w:t>）土地</w:t>
      </w:r>
      <w:r>
        <w:rPr>
          <w:rFonts w:hint="eastAsia" w:ascii="仿宋_GB2312"/>
        </w:rPr>
        <w:t>翻耕</w:t>
      </w:r>
      <w:r>
        <w:rPr>
          <w:rFonts w:ascii="仿宋_GB2312"/>
        </w:rPr>
        <w:t>：为便于种植需对</w:t>
      </w:r>
      <w:r>
        <w:rPr>
          <w:rFonts w:hint="eastAsia" w:ascii="仿宋_GB2312"/>
        </w:rPr>
        <w:t>占用耕地、园地、林地、草地的用地</w:t>
      </w:r>
      <w:r>
        <w:rPr>
          <w:rFonts w:ascii="仿宋_GB2312"/>
        </w:rPr>
        <w:t>进行松土，打破土壤的紧实层，有利于土壤保墒，松土面积为</w:t>
      </w:r>
      <w:r>
        <w:rPr>
          <w:rFonts w:hint="eastAsia"/>
        </w:rPr>
        <w:t>1.2573</w:t>
      </w:r>
      <w:r>
        <w:t>hm</w:t>
      </w:r>
      <w:r>
        <w:rPr>
          <w:vertAlign w:val="superscript"/>
        </w:rPr>
        <w:t>2</w:t>
      </w:r>
      <w:r>
        <w:rPr>
          <w:rFonts w:ascii="仿宋_GB2312"/>
        </w:rPr>
        <w:t>。</w:t>
      </w:r>
    </w:p>
    <w:p>
      <w:pPr>
        <w:ind w:firstLine="480"/>
        <w:jc w:val="left"/>
      </w:pPr>
      <w:r>
        <w:rPr>
          <w:rFonts w:hint="eastAsia"/>
        </w:rPr>
        <w:t>6）修建挡水梗</w:t>
      </w:r>
    </w:p>
    <w:p>
      <w:pPr>
        <w:ind w:firstLine="480"/>
        <w:jc w:val="left"/>
        <w:rPr>
          <w:rFonts w:ascii="仿宋_GB2312"/>
        </w:rPr>
      </w:pPr>
      <w:r>
        <w:t>对恢复为</w:t>
      </w:r>
      <w:r>
        <w:rPr>
          <w:rFonts w:hint="eastAsia"/>
        </w:rPr>
        <w:t>林地、</w:t>
      </w:r>
      <w:r>
        <w:t>草地的用地，垂直西北风向每间隔1.0m设置0.3m高0.3m宽的挡水梗，便于雨水聚集，有利于植被恢复。</w:t>
      </w:r>
    </w:p>
    <w:p>
      <w:pPr>
        <w:snapToGrid w:val="0"/>
        <w:spacing w:line="360" w:lineRule="auto"/>
        <w:ind w:firstLine="480"/>
        <w:jc w:val="left"/>
        <w:rPr>
          <w:bCs/>
        </w:rPr>
      </w:pPr>
      <w:r>
        <w:rPr>
          <w:rFonts w:hint="eastAsia"/>
          <w:bCs/>
        </w:rPr>
        <w:t>7</w:t>
      </w:r>
      <w:r>
        <w:rPr>
          <w:bCs/>
        </w:rPr>
        <w:t>）植被恢复工程</w:t>
      </w:r>
    </w:p>
    <w:p>
      <w:pPr>
        <w:snapToGrid w:val="0"/>
        <w:spacing w:line="360" w:lineRule="auto"/>
        <w:ind w:firstLine="480"/>
        <w:jc w:val="left"/>
      </w:pPr>
      <w:r>
        <w:t>在植被生长条件恢复的基础上，进行植被重建。根据现场调查，项目区植被优势种为</w:t>
      </w:r>
      <w:r>
        <w:rPr>
          <w:rFonts w:hint="eastAsia"/>
        </w:rPr>
        <w:t>灰绿藜、芨芨草、碱蒿等，植被覆盖度为30%左右</w:t>
      </w:r>
      <w:r>
        <w:t>，本次方案针对复垦方向为</w:t>
      </w:r>
      <w:r>
        <w:rPr>
          <w:rFonts w:hint="eastAsia"/>
        </w:rPr>
        <w:t>林地、草地</w:t>
      </w:r>
      <w:r>
        <w:t>的区域进行撒播草籽，草籽选择</w:t>
      </w:r>
      <w:r>
        <w:rPr>
          <w:rFonts w:hint="eastAsia"/>
        </w:rPr>
        <w:t>灰绿藜、芨芨草、碱蒿</w:t>
      </w:r>
      <w:r>
        <w:t>，</w:t>
      </w:r>
      <w:r>
        <w:rPr>
          <w:rFonts w:hint="eastAsia"/>
        </w:rPr>
        <w:t>乔木林地，其他林地，其他草地</w:t>
      </w:r>
      <w:r>
        <w:t>草籽撒播量为</w:t>
      </w:r>
      <w:r>
        <w:rPr>
          <w:rFonts w:hint="eastAsia"/>
        </w:rPr>
        <w:t>35</w:t>
      </w:r>
      <w:r>
        <w:t>kg/hm</w:t>
      </w:r>
      <w:r>
        <w:rPr>
          <w:vertAlign w:val="superscript"/>
        </w:rPr>
        <w:t>2</w:t>
      </w:r>
      <w:r>
        <w:t>，撒播面积</w:t>
      </w:r>
      <w:r>
        <w:rPr>
          <w:rFonts w:hint="eastAsia"/>
        </w:rPr>
        <w:t>0.2442hm</w:t>
      </w:r>
      <w:r>
        <w:rPr>
          <w:rFonts w:hint="eastAsia"/>
          <w:vertAlign w:val="superscript"/>
        </w:rPr>
        <w:t>2</w:t>
      </w:r>
      <w:r>
        <w:t>。</w:t>
      </w:r>
      <w:r>
        <w:rPr>
          <w:rFonts w:hint="eastAsia"/>
        </w:rPr>
        <w:t>撒播草籽全部从泽普县购买，撒播时间为2027年3月上旬。</w:t>
      </w:r>
    </w:p>
    <w:p>
      <w:pPr>
        <w:snapToGrid w:val="0"/>
        <w:ind w:firstLine="0" w:firstLineChars="0"/>
        <w:jc w:val="center"/>
        <w:rPr>
          <w:rFonts w:eastAsia="黑体"/>
          <w:sz w:val="21"/>
        </w:rPr>
      </w:pPr>
      <w:r>
        <w:rPr>
          <w:rFonts w:hint="eastAsia" w:eastAsia="黑体"/>
          <w:sz w:val="21"/>
        </w:rPr>
        <w:t>表</w:t>
      </w:r>
      <w:r>
        <w:rPr>
          <w:rFonts w:eastAsia="黑体"/>
          <w:sz w:val="21"/>
        </w:rPr>
        <w:t>7</w:t>
      </w:r>
      <w:r>
        <w:rPr>
          <w:rFonts w:hint="eastAsia" w:eastAsia="黑体"/>
          <w:sz w:val="21"/>
        </w:rPr>
        <w:t>.2.1-1临时用地复垦工程量表</w:t>
      </w:r>
    </w:p>
    <w:tbl>
      <w:tblPr>
        <w:tblStyle w:val="88"/>
        <w:tblW w:w="9067" w:type="dxa"/>
        <w:tblInd w:w="113" w:type="dxa"/>
        <w:tblLayout w:type="fixed"/>
        <w:tblCellMar>
          <w:top w:w="0" w:type="dxa"/>
          <w:left w:w="108" w:type="dxa"/>
          <w:bottom w:w="0" w:type="dxa"/>
          <w:right w:w="108" w:type="dxa"/>
        </w:tblCellMar>
      </w:tblPr>
      <w:tblGrid>
        <w:gridCol w:w="846"/>
        <w:gridCol w:w="1102"/>
        <w:gridCol w:w="1751"/>
        <w:gridCol w:w="3260"/>
        <w:gridCol w:w="1014"/>
        <w:gridCol w:w="1094"/>
      </w:tblGrid>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序号</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定额编号</w:t>
            </w: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工程名称</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单位</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工程量</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土壤重构工程</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表土剥离工程（耕地区）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20.13</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表土剥离工程（</w:t>
            </w:r>
            <w:r>
              <w:rPr>
                <w:rFonts w:hint="eastAsia"/>
                <w:kern w:val="0"/>
                <w:sz w:val="21"/>
                <w:szCs w:val="21"/>
                <w:lang w:eastAsia="zh-CN" w:bidi="ar"/>
              </w:rPr>
              <w:t>林地及草地区</w:t>
            </w:r>
            <w:r>
              <w:rPr>
                <w:kern w:val="0"/>
                <w:sz w:val="21"/>
                <w:szCs w:val="21"/>
                <w:lang w:bidi="ar"/>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17.09</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（三）</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表土回覆（耕地区）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20.13</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（四）</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表土回覆（</w:t>
            </w:r>
            <w:r>
              <w:rPr>
                <w:rFonts w:hint="eastAsia"/>
                <w:kern w:val="0"/>
                <w:sz w:val="21"/>
                <w:szCs w:val="21"/>
                <w:lang w:eastAsia="zh-CN" w:bidi="ar"/>
              </w:rPr>
              <w:t>林地及草地区</w:t>
            </w:r>
            <w:r>
              <w:rPr>
                <w:kern w:val="0"/>
                <w:sz w:val="21"/>
                <w:szCs w:val="21"/>
                <w:lang w:bidi="ar"/>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17.09</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（五）</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土地平整工程</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10313</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推土机推土-三类土-10m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43.59</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（六）</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土壤培肥（耕地区）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参90030</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施有机-无机混合肥-1500kg</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1.0131</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（七）</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土壤培肥（</w:t>
            </w:r>
            <w:r>
              <w:rPr>
                <w:rFonts w:hint="eastAsia"/>
                <w:kern w:val="0"/>
                <w:sz w:val="21"/>
                <w:szCs w:val="21"/>
                <w:lang w:eastAsia="zh-CN" w:bidi="ar"/>
              </w:rPr>
              <w:t>林地及草地区</w:t>
            </w:r>
            <w:r>
              <w:rPr>
                <w:kern w:val="0"/>
                <w:sz w:val="21"/>
                <w:szCs w:val="21"/>
                <w:lang w:bidi="ar"/>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参90030</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施有机-无机混合肥-450kg</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（八）</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土地翻耕工程</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10043</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土地翻耕-二类土</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1.2573</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（九）</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修建挡水梗</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10302</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2.20</w:t>
            </w: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植被恢复工程</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50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撒播草籽（</w:t>
            </w:r>
            <w:r>
              <w:rPr>
                <w:rFonts w:hint="eastAsia"/>
                <w:kern w:val="0"/>
                <w:sz w:val="21"/>
                <w:szCs w:val="21"/>
                <w:lang w:eastAsia="zh-CN" w:bidi="ar"/>
              </w:rPr>
              <w:t>林地及草地区</w:t>
            </w:r>
            <w:r>
              <w:rPr>
                <w:kern w:val="0"/>
                <w:sz w:val="21"/>
                <w:szCs w:val="21"/>
                <w:lang w:bidi="ar"/>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9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90031</w:t>
            </w:r>
          </w:p>
        </w:tc>
        <w:tc>
          <w:tcPr>
            <w:tcW w:w="1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撒播-草籽-35kg/hm</w:t>
            </w:r>
            <w:r>
              <w:rPr>
                <w:kern w:val="0"/>
                <w:sz w:val="21"/>
                <w:szCs w:val="21"/>
                <w:vertAlign w:val="superscript"/>
                <w:lang w:bidi="ar"/>
              </w:rPr>
              <w:t>2</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bl>
    <w:p>
      <w:pPr>
        <w:ind w:firstLine="0" w:firstLineChars="0"/>
        <w:outlineLvl w:val="2"/>
        <w:rPr>
          <w:rFonts w:eastAsia="黑体" w:cs="方正仿宋简体"/>
          <w:sz w:val="28"/>
        </w:rPr>
      </w:pPr>
      <w:bookmarkStart w:id="710" w:name="_Toc16293"/>
      <w:bookmarkStart w:id="711" w:name="_Toc116061667"/>
      <w:r>
        <w:rPr>
          <w:rFonts w:eastAsia="黑体" w:cs="方正仿宋简体"/>
          <w:sz w:val="28"/>
        </w:rPr>
        <w:t>7.</w:t>
      </w:r>
      <w:r>
        <w:rPr>
          <w:rFonts w:hint="eastAsia" w:eastAsia="黑体" w:cs="方正仿宋简体"/>
          <w:sz w:val="28"/>
        </w:rPr>
        <w:t>2</w:t>
      </w:r>
      <w:r>
        <w:rPr>
          <w:rFonts w:eastAsia="黑体" w:cs="方正仿宋简体"/>
          <w:sz w:val="28"/>
        </w:rPr>
        <w:t>.</w:t>
      </w:r>
      <w:r>
        <w:rPr>
          <w:rFonts w:hint="eastAsia" w:eastAsia="黑体" w:cs="方正仿宋简体"/>
          <w:sz w:val="28"/>
        </w:rPr>
        <w:t>2</w:t>
      </w:r>
      <w:r>
        <w:rPr>
          <w:rFonts w:ascii="宋体" w:hAnsi="宋体" w:eastAsia="黑体" w:cs="方正仿宋简体"/>
          <w:sz w:val="28"/>
        </w:rPr>
        <w:t>监测工程量</w:t>
      </w:r>
      <w:bookmarkEnd w:id="710"/>
      <w:bookmarkEnd w:id="711"/>
    </w:p>
    <w:p>
      <w:pPr>
        <w:ind w:firstLine="480"/>
      </w:pPr>
      <w:r>
        <w:rPr>
          <w:rFonts w:hint="eastAsia"/>
        </w:rPr>
        <w:t>根据</w:t>
      </w:r>
      <w:r>
        <w:t>7.1.</w:t>
      </w:r>
      <w:r>
        <w:rPr>
          <w:rFonts w:hint="eastAsia"/>
        </w:rPr>
        <w:t>3章节复垦监测工程设计，监测工程量情况见表</w:t>
      </w:r>
      <w:r>
        <w:t>7.</w:t>
      </w:r>
      <w:r>
        <w:rPr>
          <w:rFonts w:hint="eastAsia"/>
        </w:rPr>
        <w:t>2.2-1。</w:t>
      </w:r>
    </w:p>
    <w:p>
      <w:pPr>
        <w:snapToGrid w:val="0"/>
        <w:ind w:firstLine="0" w:firstLineChars="0"/>
        <w:jc w:val="center"/>
        <w:rPr>
          <w:rFonts w:eastAsia="黑体"/>
          <w:sz w:val="21"/>
        </w:rPr>
      </w:pPr>
      <w:r>
        <w:rPr>
          <w:rFonts w:eastAsia="黑体"/>
          <w:sz w:val="21"/>
        </w:rPr>
        <w:t>表7.</w:t>
      </w:r>
      <w:r>
        <w:rPr>
          <w:rFonts w:hint="eastAsia" w:eastAsia="黑体"/>
          <w:sz w:val="21"/>
        </w:rPr>
        <w:t>2.2-1</w:t>
      </w:r>
      <w:r>
        <w:rPr>
          <w:rFonts w:eastAsia="黑体"/>
          <w:sz w:val="21"/>
        </w:rPr>
        <w:t>监测工程量汇总表</w:t>
      </w:r>
    </w:p>
    <w:tbl>
      <w:tblPr>
        <w:tblStyle w:val="88"/>
        <w:tblW w:w="9080" w:type="dxa"/>
        <w:tblInd w:w="111" w:type="dxa"/>
        <w:tblLayout w:type="fixed"/>
        <w:tblCellMar>
          <w:top w:w="0" w:type="dxa"/>
          <w:left w:w="108" w:type="dxa"/>
          <w:bottom w:w="0" w:type="dxa"/>
          <w:right w:w="108" w:type="dxa"/>
        </w:tblCellMar>
      </w:tblPr>
      <w:tblGrid>
        <w:gridCol w:w="817"/>
        <w:gridCol w:w="1841"/>
        <w:gridCol w:w="1977"/>
        <w:gridCol w:w="2741"/>
        <w:gridCol w:w="808"/>
        <w:gridCol w:w="896"/>
      </w:tblGrid>
      <w:tr>
        <w:tblPrEx>
          <w:tblLayout w:type="fixed"/>
          <w:tblCellMar>
            <w:top w:w="0" w:type="dxa"/>
            <w:left w:w="108" w:type="dxa"/>
            <w:bottom w:w="0" w:type="dxa"/>
            <w:right w:w="108" w:type="dxa"/>
          </w:tblCellMar>
        </w:tblPrEx>
        <w:trPr>
          <w:trHeight w:val="315"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ascii="仿宋_GB2312" w:cs="仿宋_GB2312"/>
                <w:kern w:val="0"/>
                <w:sz w:val="21"/>
                <w:szCs w:val="21"/>
                <w:lang w:bidi="ar"/>
              </w:rPr>
              <w:t>序号</w:t>
            </w:r>
          </w:p>
        </w:tc>
        <w:tc>
          <w:tcPr>
            <w:tcW w:w="1841"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ascii="仿宋_GB2312" w:cs="仿宋_GB2312"/>
                <w:kern w:val="0"/>
                <w:sz w:val="21"/>
                <w:szCs w:val="21"/>
                <w:lang w:bidi="ar"/>
              </w:rPr>
              <w:t>定额编号</w:t>
            </w:r>
          </w:p>
        </w:tc>
        <w:tc>
          <w:tcPr>
            <w:tcW w:w="47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监测工程</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15"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按市场</w:t>
            </w:r>
          </w:p>
        </w:tc>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土地损毁监测</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土地损毁情况调查</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点</w:t>
            </w:r>
            <w:r>
              <w:rPr>
                <w:kern w:val="0"/>
                <w:sz w:val="21"/>
                <w:szCs w:val="21"/>
                <w:lang w:bidi="ar"/>
              </w:rPr>
              <w:t>•</w:t>
            </w:r>
            <w:r>
              <w:rPr>
                <w:rFonts w:hint="eastAsia"/>
                <w:kern w:val="0"/>
                <w:sz w:val="21"/>
                <w:szCs w:val="21"/>
                <w:lang w:bidi="ar"/>
              </w:rPr>
              <w:t>次</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w:t>
            </w:r>
          </w:p>
        </w:tc>
      </w:tr>
      <w:tr>
        <w:tblPrEx>
          <w:tblLayout w:type="fixed"/>
          <w:tblCellMar>
            <w:top w:w="0" w:type="dxa"/>
            <w:left w:w="108" w:type="dxa"/>
            <w:bottom w:w="0" w:type="dxa"/>
            <w:right w:w="108" w:type="dxa"/>
          </w:tblCellMar>
        </w:tblPrEx>
        <w:trPr>
          <w:trHeight w:val="315"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按市场</w:t>
            </w:r>
          </w:p>
        </w:tc>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复垦效果监测</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植被监测</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点</w:t>
            </w:r>
            <w:r>
              <w:rPr>
                <w:kern w:val="0"/>
                <w:sz w:val="21"/>
                <w:szCs w:val="21"/>
                <w:lang w:bidi="ar"/>
              </w:rPr>
              <w:t>•</w:t>
            </w:r>
            <w:r>
              <w:rPr>
                <w:rFonts w:hint="eastAsia"/>
                <w:kern w:val="0"/>
                <w:sz w:val="21"/>
                <w:szCs w:val="21"/>
                <w:lang w:bidi="ar"/>
              </w:rPr>
              <w:t>次</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27</w:t>
            </w:r>
          </w:p>
        </w:tc>
      </w:tr>
      <w:tr>
        <w:tblPrEx>
          <w:tblLayout w:type="fixed"/>
          <w:tblCellMar>
            <w:top w:w="0" w:type="dxa"/>
            <w:left w:w="108" w:type="dxa"/>
            <w:bottom w:w="0" w:type="dxa"/>
            <w:right w:w="108" w:type="dxa"/>
          </w:tblCellMar>
        </w:tblPrEx>
        <w:trPr>
          <w:trHeight w:val="315"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按市场</w:t>
            </w:r>
          </w:p>
        </w:tc>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土壤监测</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点</w:t>
            </w:r>
            <w:r>
              <w:rPr>
                <w:kern w:val="0"/>
                <w:sz w:val="21"/>
                <w:szCs w:val="21"/>
                <w:lang w:bidi="ar"/>
              </w:rPr>
              <w:t>•</w:t>
            </w:r>
            <w:r>
              <w:rPr>
                <w:rFonts w:hint="eastAsia"/>
                <w:kern w:val="0"/>
                <w:sz w:val="21"/>
                <w:szCs w:val="21"/>
                <w:lang w:bidi="ar"/>
              </w:rPr>
              <w:t>次</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w:t>
            </w:r>
          </w:p>
        </w:tc>
      </w:tr>
    </w:tbl>
    <w:p>
      <w:pPr>
        <w:ind w:firstLine="0" w:firstLineChars="0"/>
        <w:outlineLvl w:val="2"/>
        <w:rPr>
          <w:rFonts w:eastAsia="黑体" w:cs="方正仿宋简体"/>
          <w:sz w:val="28"/>
        </w:rPr>
      </w:pPr>
      <w:r>
        <w:rPr>
          <w:rFonts w:hint="eastAsia" w:eastAsia="黑体" w:cs="方正仿宋简体"/>
          <w:sz w:val="28"/>
        </w:rPr>
        <w:t>7.2.3管护工程量</w:t>
      </w:r>
    </w:p>
    <w:p>
      <w:pPr>
        <w:ind w:firstLine="480"/>
      </w:pPr>
      <w:r>
        <w:rPr>
          <w:rFonts w:hint="eastAsia"/>
        </w:rPr>
        <w:t>根据6.1.4章节管护工程设计，本方案管护工程主要是对重建植被进行管护，管护期限为3年。</w:t>
      </w:r>
    </w:p>
    <w:p>
      <w:pPr>
        <w:ind w:firstLine="480"/>
      </w:pPr>
      <w:r>
        <w:rPr>
          <w:rFonts w:hint="eastAsia"/>
        </w:rPr>
        <w:t>管护期内工程量见表7.2.3-1。</w:t>
      </w:r>
    </w:p>
    <w:p>
      <w:pPr>
        <w:ind w:firstLine="0" w:firstLineChars="0"/>
        <w:jc w:val="center"/>
      </w:pPr>
      <w:r>
        <w:t>表</w:t>
      </w:r>
      <w:r>
        <w:rPr>
          <w:rFonts w:hint="eastAsia"/>
        </w:rPr>
        <w:t>7.2.3-1</w:t>
      </w:r>
      <w:r>
        <w:t>管护期内管护工程量统计表</w:t>
      </w:r>
    </w:p>
    <w:tbl>
      <w:tblPr>
        <w:tblStyle w:val="88"/>
        <w:tblW w:w="9054" w:type="dxa"/>
        <w:tblInd w:w="124" w:type="dxa"/>
        <w:tblLayout w:type="fixed"/>
        <w:tblCellMar>
          <w:top w:w="0" w:type="dxa"/>
          <w:left w:w="108" w:type="dxa"/>
          <w:bottom w:w="0" w:type="dxa"/>
          <w:right w:w="108" w:type="dxa"/>
        </w:tblCellMar>
      </w:tblPr>
      <w:tblGrid>
        <w:gridCol w:w="811"/>
        <w:gridCol w:w="1836"/>
        <w:gridCol w:w="1972"/>
        <w:gridCol w:w="2717"/>
        <w:gridCol w:w="818"/>
        <w:gridCol w:w="900"/>
      </w:tblGrid>
      <w:tr>
        <w:tblPrEx>
          <w:tblLayout w:type="fixed"/>
          <w:tblCellMar>
            <w:top w:w="0" w:type="dxa"/>
            <w:left w:w="108" w:type="dxa"/>
            <w:bottom w:w="0" w:type="dxa"/>
            <w:right w:w="108" w:type="dxa"/>
          </w:tblCellMar>
        </w:tblPrEx>
        <w:trPr>
          <w:trHeight w:val="31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序号</w:t>
            </w:r>
          </w:p>
        </w:tc>
        <w:tc>
          <w:tcPr>
            <w:tcW w:w="1836"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定额编号</w:t>
            </w:r>
          </w:p>
        </w:tc>
        <w:tc>
          <w:tcPr>
            <w:tcW w:w="46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管护工程</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1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（一）</w:t>
            </w:r>
          </w:p>
        </w:tc>
        <w:tc>
          <w:tcPr>
            <w:tcW w:w="1836"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6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洒水灌溉工程</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1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参公路</w:t>
            </w:r>
            <w:r>
              <w:rPr>
                <w:kern w:val="0"/>
                <w:sz w:val="21"/>
                <w:szCs w:val="21"/>
                <w:lang w:bidi="ar"/>
              </w:rPr>
              <w:t>8007041</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洒水</w:t>
            </w:r>
            <w:r>
              <w:rPr>
                <w:kern w:val="0"/>
                <w:sz w:val="21"/>
                <w:szCs w:val="21"/>
                <w:lang w:bidi="ar"/>
              </w:rPr>
              <w:t>-3300m3/hm</w:t>
            </w:r>
            <w:r>
              <w:rPr>
                <w:kern w:val="0"/>
                <w:sz w:val="21"/>
                <w:szCs w:val="21"/>
                <w:vertAlign w:val="superscript"/>
                <w:lang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r>
        <w:tblPrEx>
          <w:tblLayout w:type="fixed"/>
          <w:tblCellMar>
            <w:top w:w="0" w:type="dxa"/>
            <w:left w:w="108" w:type="dxa"/>
            <w:bottom w:w="0" w:type="dxa"/>
            <w:right w:w="108" w:type="dxa"/>
          </w:tblCellMar>
        </w:tblPrEx>
        <w:trPr>
          <w:trHeight w:val="31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w:t>
            </w:r>
          </w:p>
        </w:tc>
        <w:tc>
          <w:tcPr>
            <w:tcW w:w="1836"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6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补播种草（</w:t>
            </w:r>
            <w:r>
              <w:rPr>
                <w:rFonts w:hint="eastAsia"/>
                <w:kern w:val="0"/>
                <w:sz w:val="21"/>
                <w:szCs w:val="21"/>
                <w:lang w:eastAsia="zh-CN" w:bidi="ar"/>
              </w:rPr>
              <w:t>林地及草地区</w:t>
            </w:r>
            <w:r>
              <w:rPr>
                <w:rFonts w:hint="eastAsia"/>
                <w:kern w:val="0"/>
                <w:sz w:val="21"/>
                <w:szCs w:val="21"/>
                <w:lang w:bidi="ar"/>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rPr>
          <w:trHeight w:val="315"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90030</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撒播</w:t>
            </w:r>
            <w:r>
              <w:rPr>
                <w:kern w:val="0"/>
                <w:sz w:val="21"/>
                <w:szCs w:val="21"/>
                <w:lang w:bidi="ar"/>
              </w:rPr>
              <w:t>-</w:t>
            </w:r>
            <w:r>
              <w:rPr>
                <w:rFonts w:hint="eastAsia"/>
                <w:kern w:val="0"/>
                <w:sz w:val="21"/>
                <w:szCs w:val="21"/>
                <w:lang w:bidi="ar"/>
              </w:rPr>
              <w:t>不覆土</w:t>
            </w:r>
            <w:r>
              <w:rPr>
                <w:kern w:val="0"/>
                <w:sz w:val="21"/>
                <w:szCs w:val="21"/>
                <w:lang w:bidi="ar"/>
              </w:rPr>
              <w:t>-</w:t>
            </w:r>
            <w:r>
              <w:rPr>
                <w:rFonts w:hint="eastAsia"/>
                <w:kern w:val="0"/>
                <w:sz w:val="21"/>
                <w:szCs w:val="21"/>
                <w:lang w:bidi="ar"/>
              </w:rPr>
              <w:t>草籽</w:t>
            </w:r>
            <w:r>
              <w:rPr>
                <w:kern w:val="0"/>
                <w:sz w:val="21"/>
                <w:szCs w:val="21"/>
                <w:lang w:bidi="ar"/>
              </w:rPr>
              <w:t>35kg</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0.0855</w:t>
            </w:r>
          </w:p>
        </w:tc>
      </w:tr>
    </w:tbl>
    <w:p>
      <w:pPr>
        <w:ind w:firstLine="0" w:firstLineChars="0"/>
        <w:jc w:val="center"/>
      </w:pPr>
    </w:p>
    <w:p>
      <w:pPr>
        <w:ind w:firstLine="0" w:firstLineChars="0"/>
        <w:jc w:val="center"/>
      </w:pPr>
    </w:p>
    <w:p>
      <w:pPr>
        <w:ind w:firstLine="0" w:firstLineChars="0"/>
        <w:sectPr>
          <w:pgSz w:w="11906" w:h="16838"/>
          <w:pgMar w:top="1418" w:right="1247" w:bottom="1418" w:left="1247" w:header="851" w:footer="992" w:gutter="340"/>
          <w:cols w:space="720" w:num="1"/>
          <w:docGrid w:type="linesAndChars" w:linePitch="312" w:charSpace="0"/>
        </w:sectPr>
      </w:pPr>
    </w:p>
    <w:bookmarkEnd w:id="82"/>
    <w:bookmarkEnd w:id="83"/>
    <w:bookmarkEnd w:id="84"/>
    <w:bookmarkEnd w:id="85"/>
    <w:bookmarkEnd w:id="86"/>
    <w:bookmarkEnd w:id="87"/>
    <w:bookmarkEnd w:id="88"/>
    <w:bookmarkEnd w:id="89"/>
    <w:bookmarkEnd w:id="90"/>
    <w:bookmarkEnd w:id="91"/>
    <w:bookmarkEnd w:id="92"/>
    <w:bookmarkEnd w:id="93"/>
    <w:p>
      <w:pPr>
        <w:keepNext/>
        <w:keepLines/>
        <w:ind w:firstLine="0" w:firstLineChars="0"/>
        <w:jc w:val="center"/>
        <w:outlineLvl w:val="0"/>
        <w:rPr>
          <w:rFonts w:eastAsia="黑体"/>
          <w:bCs/>
          <w:kern w:val="44"/>
          <w:sz w:val="32"/>
          <w:szCs w:val="44"/>
        </w:rPr>
      </w:pPr>
      <w:bookmarkStart w:id="712" w:name="_Toc26690"/>
      <w:r>
        <w:rPr>
          <w:rFonts w:eastAsia="黑体"/>
          <w:bCs/>
          <w:kern w:val="44"/>
          <w:sz w:val="32"/>
          <w:szCs w:val="44"/>
        </w:rPr>
        <w:t>8土地复垦投资估算</w:t>
      </w:r>
      <w:bookmarkEnd w:id="712"/>
    </w:p>
    <w:p>
      <w:pPr>
        <w:ind w:firstLine="0" w:firstLineChars="0"/>
        <w:outlineLvl w:val="1"/>
        <w:rPr>
          <w:rFonts w:eastAsia="黑体"/>
          <w:bCs/>
          <w:sz w:val="30"/>
          <w:szCs w:val="32"/>
        </w:rPr>
      </w:pPr>
      <w:bookmarkStart w:id="713" w:name="_Toc200"/>
      <w:bookmarkStart w:id="714" w:name="_Toc24125"/>
      <w:bookmarkStart w:id="715" w:name="_Toc116061671"/>
      <w:r>
        <w:rPr>
          <w:rFonts w:hint="eastAsia" w:eastAsia="黑体"/>
          <w:bCs/>
          <w:sz w:val="30"/>
          <w:szCs w:val="32"/>
        </w:rPr>
        <w:t>8.1估算说明</w:t>
      </w:r>
      <w:bookmarkEnd w:id="713"/>
      <w:bookmarkEnd w:id="714"/>
      <w:bookmarkEnd w:id="715"/>
    </w:p>
    <w:p>
      <w:pPr>
        <w:ind w:firstLine="0" w:firstLineChars="0"/>
        <w:outlineLvl w:val="2"/>
        <w:rPr>
          <w:rFonts w:eastAsia="黑体" w:cs="方正仿宋简体"/>
          <w:sz w:val="28"/>
        </w:rPr>
      </w:pPr>
      <w:bookmarkStart w:id="716" w:name="_Toc116061672"/>
      <w:bookmarkStart w:id="717" w:name="_Toc20312"/>
      <w:r>
        <w:rPr>
          <w:rFonts w:hint="eastAsia" w:eastAsia="黑体" w:cs="方正仿宋简体"/>
          <w:sz w:val="28"/>
        </w:rPr>
        <w:t>8.1.1编制原则</w:t>
      </w:r>
      <w:bookmarkEnd w:id="716"/>
      <w:bookmarkEnd w:id="717"/>
    </w:p>
    <w:p>
      <w:pPr>
        <w:ind w:firstLine="480"/>
      </w:pPr>
      <w:r>
        <w:rPr>
          <w:rFonts w:hint="eastAsia"/>
        </w:rPr>
        <w:t>a）符合国家有关的法律、法规规定；</w:t>
      </w:r>
    </w:p>
    <w:p>
      <w:pPr>
        <w:ind w:firstLine="480"/>
      </w:pPr>
      <w:r>
        <w:rPr>
          <w:rFonts w:hint="eastAsia"/>
        </w:rPr>
        <w:t>b）土地复垦投资应计入矿山企业生产成本；</w:t>
      </w:r>
    </w:p>
    <w:p>
      <w:pPr>
        <w:ind w:firstLine="480"/>
      </w:pPr>
      <w:r>
        <w:rPr>
          <w:rFonts w:hint="eastAsia"/>
        </w:rPr>
        <w:t>c）工程建设与复垦措施同步设计、同步投资建设；</w:t>
      </w:r>
    </w:p>
    <w:p>
      <w:pPr>
        <w:ind w:firstLine="480"/>
      </w:pPr>
      <w:r>
        <w:rPr>
          <w:rFonts w:hint="eastAsia"/>
        </w:rPr>
        <w:t>d）高起点、高标准原则；</w:t>
      </w:r>
    </w:p>
    <w:p>
      <w:pPr>
        <w:ind w:firstLine="480"/>
      </w:pPr>
      <w:r>
        <w:rPr>
          <w:rFonts w:hint="eastAsia"/>
        </w:rPr>
        <w:t>e）指导价与市场价相结合的原则；</w:t>
      </w:r>
    </w:p>
    <w:p>
      <w:pPr>
        <w:ind w:firstLine="480"/>
      </w:pPr>
      <w:r>
        <w:rPr>
          <w:rFonts w:hint="eastAsia"/>
        </w:rPr>
        <w:t>f）科学、合理、高效的原则。</w:t>
      </w:r>
    </w:p>
    <w:p>
      <w:pPr>
        <w:ind w:firstLine="0" w:firstLineChars="0"/>
        <w:outlineLvl w:val="2"/>
        <w:rPr>
          <w:rFonts w:eastAsia="黑体" w:cs="方正仿宋简体"/>
          <w:sz w:val="28"/>
        </w:rPr>
      </w:pPr>
      <w:bookmarkStart w:id="718" w:name="_Toc18241"/>
      <w:bookmarkStart w:id="719" w:name="_Toc116061673"/>
      <w:r>
        <w:rPr>
          <w:rFonts w:hint="eastAsia" w:eastAsia="黑体" w:cs="方正仿宋简体"/>
          <w:sz w:val="28"/>
        </w:rPr>
        <w:t>8.1.2编制依据</w:t>
      </w:r>
      <w:bookmarkEnd w:id="718"/>
      <w:bookmarkEnd w:id="719"/>
    </w:p>
    <w:p>
      <w:pPr>
        <w:ind w:firstLine="480"/>
      </w:pPr>
      <w:r>
        <w:rPr>
          <w:rFonts w:hint="eastAsia"/>
        </w:rPr>
        <w:t>a）《土地复垦方案编制规程》（TD/T1031.1</w:t>
      </w:r>
      <w:r>
        <w:rPr>
          <w:rFonts w:hint="eastAsia" w:ascii="宋体" w:hAnsi="宋体" w:eastAsia="宋体" w:cs="宋体"/>
        </w:rPr>
        <w:t>–</w:t>
      </w:r>
      <w:r>
        <w:rPr>
          <w:rFonts w:hint="eastAsia"/>
        </w:rPr>
        <w:t>2011）；</w:t>
      </w:r>
    </w:p>
    <w:p>
      <w:pPr>
        <w:ind w:firstLine="480"/>
      </w:pPr>
      <w:r>
        <w:rPr>
          <w:rFonts w:hint="eastAsia"/>
        </w:rPr>
        <w:t>b）原国土资源部土地整理中心《土地复垦方案编制实务》（2011年）；</w:t>
      </w:r>
    </w:p>
    <w:p>
      <w:pPr>
        <w:ind w:firstLine="480"/>
      </w:pPr>
      <w:r>
        <w:rPr>
          <w:rFonts w:hint="eastAsia"/>
        </w:rPr>
        <w:t>c）《财政部、国土资源部关于印发土地开发整理项目预算定额标准的通知》财综</w:t>
      </w:r>
      <w:r>
        <w:rPr>
          <w:rFonts w:hint="eastAsia" w:ascii="宋体" w:hAnsi="宋体" w:eastAsia="宋体" w:cs="宋体"/>
        </w:rPr>
        <w:t>﹝</w:t>
      </w:r>
      <w:r>
        <w:rPr>
          <w:rFonts w:hint="eastAsia"/>
        </w:rPr>
        <w:t>2011</w:t>
      </w:r>
      <w:r>
        <w:rPr>
          <w:rFonts w:hint="eastAsia" w:ascii="宋体" w:hAnsi="宋体" w:eastAsia="宋体" w:cs="宋体"/>
        </w:rPr>
        <w:t>﹞</w:t>
      </w:r>
      <w:r>
        <w:rPr>
          <w:rFonts w:hint="eastAsia"/>
        </w:rPr>
        <w:t>128号；</w:t>
      </w:r>
    </w:p>
    <w:p>
      <w:pPr>
        <w:ind w:firstLine="480"/>
      </w:pPr>
      <w:r>
        <w:rPr>
          <w:rFonts w:hint="eastAsia"/>
        </w:rPr>
        <w:t>d）《土地开发整理项目预算定额标准》（2012版）；</w:t>
      </w:r>
    </w:p>
    <w:p>
      <w:pPr>
        <w:ind w:firstLine="480"/>
      </w:pPr>
      <w:r>
        <w:rPr>
          <w:rFonts w:hint="eastAsia"/>
        </w:rPr>
        <w:t>e）《建设工程监理与相关服务收费管理规定》发改价格</w:t>
      </w:r>
      <w:r>
        <w:rPr>
          <w:rFonts w:hint="eastAsia" w:ascii="宋体" w:hAnsi="宋体" w:eastAsia="宋体" w:cs="宋体"/>
        </w:rPr>
        <w:t>﹝</w:t>
      </w:r>
      <w:r>
        <w:rPr>
          <w:rFonts w:hint="eastAsia"/>
        </w:rPr>
        <w:t>2007</w:t>
      </w:r>
      <w:r>
        <w:rPr>
          <w:rFonts w:hint="eastAsia" w:ascii="宋体" w:hAnsi="宋体" w:eastAsia="宋体" w:cs="宋体"/>
        </w:rPr>
        <w:t>﹞</w:t>
      </w:r>
      <w:r>
        <w:rPr>
          <w:rFonts w:hint="eastAsia"/>
        </w:rPr>
        <w:t>670号；</w:t>
      </w:r>
    </w:p>
    <w:p>
      <w:pPr>
        <w:ind w:firstLine="480"/>
      </w:pPr>
      <w:r>
        <w:rPr>
          <w:rFonts w:hint="eastAsia"/>
        </w:rPr>
        <w:t>f）水利部《开发建设项目水土保持工程概（估）算编制规定》（2002年）；</w:t>
      </w:r>
    </w:p>
    <w:p>
      <w:pPr>
        <w:ind w:firstLine="480"/>
      </w:pPr>
      <w:r>
        <w:rPr>
          <w:rFonts w:hint="eastAsia"/>
        </w:rPr>
        <w:t>g）《水土保持工程概算定额》水利部水总</w:t>
      </w:r>
      <w:r>
        <w:rPr>
          <w:rFonts w:hint="eastAsia" w:ascii="宋体" w:hAnsi="宋体" w:eastAsia="宋体" w:cs="宋体"/>
        </w:rPr>
        <w:t>﹝</w:t>
      </w:r>
      <w:r>
        <w:rPr>
          <w:rFonts w:hint="eastAsia"/>
        </w:rPr>
        <w:t>2003</w:t>
      </w:r>
      <w:r>
        <w:rPr>
          <w:rFonts w:hint="eastAsia" w:ascii="宋体" w:hAnsi="宋体" w:eastAsia="宋体" w:cs="宋体"/>
        </w:rPr>
        <w:t>﹞</w:t>
      </w:r>
      <w:r>
        <w:rPr>
          <w:rFonts w:hint="eastAsia"/>
        </w:rPr>
        <w:t>67号；</w:t>
      </w:r>
    </w:p>
    <w:p>
      <w:pPr>
        <w:ind w:firstLine="480"/>
      </w:pPr>
      <w:r>
        <w:rPr>
          <w:rFonts w:hint="eastAsia"/>
        </w:rPr>
        <w:t>h）《关于加强基本建设大中型项目概算中“价差预备费”管理的有关通知》（计投资</w:t>
      </w:r>
      <w:r>
        <w:rPr>
          <w:rFonts w:hint="eastAsia" w:ascii="宋体" w:hAnsi="宋体" w:eastAsia="宋体" w:cs="宋体"/>
        </w:rPr>
        <w:t>﹝</w:t>
      </w:r>
      <w:r>
        <w:rPr>
          <w:rFonts w:hint="eastAsia"/>
        </w:rPr>
        <w:t>1999</w:t>
      </w:r>
      <w:r>
        <w:rPr>
          <w:rFonts w:hint="eastAsia" w:ascii="宋体" w:hAnsi="宋体" w:eastAsia="宋体" w:cs="宋体"/>
        </w:rPr>
        <w:t>﹞</w:t>
      </w:r>
      <w:r>
        <w:rPr>
          <w:rFonts w:hint="eastAsia"/>
        </w:rPr>
        <w:t>1340号）；</w:t>
      </w:r>
    </w:p>
    <w:p>
      <w:pPr>
        <w:ind w:firstLine="480"/>
      </w:pPr>
      <w:r>
        <w:rPr>
          <w:rFonts w:hint="eastAsia"/>
        </w:rPr>
        <w:t>i）《新疆水利水电工程设计概（估）预算编制规定》新水建管</w:t>
      </w:r>
      <w:r>
        <w:rPr>
          <w:rFonts w:hint="eastAsia" w:ascii="宋体" w:hAnsi="宋体" w:eastAsia="宋体" w:cs="宋体"/>
        </w:rPr>
        <w:t>﹝</w:t>
      </w:r>
      <w:r>
        <w:rPr>
          <w:rFonts w:hint="eastAsia"/>
        </w:rPr>
        <w:t>2005</w:t>
      </w:r>
      <w:r>
        <w:rPr>
          <w:rFonts w:hint="eastAsia" w:ascii="宋体" w:hAnsi="宋体" w:eastAsia="宋体" w:cs="宋体"/>
        </w:rPr>
        <w:t>﹞</w:t>
      </w:r>
      <w:r>
        <w:rPr>
          <w:rFonts w:hint="eastAsia"/>
        </w:rPr>
        <w:t>108号；</w:t>
      </w:r>
    </w:p>
    <w:p>
      <w:pPr>
        <w:ind w:firstLine="480"/>
      </w:pPr>
      <w:r>
        <w:rPr>
          <w:rFonts w:hint="eastAsia"/>
        </w:rPr>
        <w:t>j）《新疆维吾尔自治区公路工程建设项目估概预算编制办法补充规定》（新交规</w:t>
      </w:r>
      <w:r>
        <w:rPr>
          <w:rFonts w:hint="eastAsia" w:ascii="宋体" w:hAnsi="宋体" w:eastAsia="宋体" w:cs="宋体"/>
        </w:rPr>
        <w:t>﹝</w:t>
      </w:r>
      <w:r>
        <w:rPr>
          <w:rFonts w:hint="eastAsia"/>
        </w:rPr>
        <w:t>2021</w:t>
      </w:r>
      <w:r>
        <w:rPr>
          <w:rFonts w:hint="eastAsia" w:ascii="宋体" w:hAnsi="宋体" w:eastAsia="宋体" w:cs="宋体"/>
        </w:rPr>
        <w:t>﹞</w:t>
      </w:r>
      <w:r>
        <w:rPr>
          <w:rFonts w:hint="eastAsia"/>
        </w:rPr>
        <w:t>1号）；</w:t>
      </w:r>
    </w:p>
    <w:p>
      <w:pPr>
        <w:ind w:firstLine="480"/>
      </w:pPr>
      <w:r>
        <w:rPr>
          <w:rFonts w:hint="eastAsia"/>
        </w:rPr>
        <w:t>k）《国土资源部办公厅关于印发土地整治工程营业税改增值税计价依据调整过渡实施方案的通知》（国土资厅发[2017]19号）；</w:t>
      </w:r>
    </w:p>
    <w:p>
      <w:pPr>
        <w:ind w:firstLine="480"/>
      </w:pPr>
      <w:r>
        <w:rPr>
          <w:rFonts w:hint="eastAsia"/>
        </w:rPr>
        <w:t>l）《关于调整增值税税率的通知》（财税〔2018〕32号）；</w:t>
      </w:r>
    </w:p>
    <w:p>
      <w:pPr>
        <w:ind w:firstLine="480"/>
      </w:pPr>
      <w:r>
        <w:rPr>
          <w:rFonts w:hint="eastAsia"/>
        </w:rPr>
        <w:t>m）《住房和城乡建设部办公厅关于调整建设工程计价依据增值税税率的通知》（建办标〔2018〕20号）；</w:t>
      </w:r>
    </w:p>
    <w:p>
      <w:pPr>
        <w:ind w:firstLine="480"/>
      </w:pPr>
      <w:r>
        <w:rPr>
          <w:rFonts w:hint="eastAsia"/>
        </w:rPr>
        <w:t>n）《自然资源部关于规范临时用地管理的通知》自然资规〔2021〕2号；</w:t>
      </w:r>
    </w:p>
    <w:p>
      <w:pPr>
        <w:ind w:firstLine="480"/>
      </w:pPr>
      <w:r>
        <w:rPr>
          <w:rFonts w:hint="eastAsia"/>
        </w:rPr>
        <w:t>o）《关于进一步规范临时用地管理的通知》（新自然资规〔2022〕2号）；</w:t>
      </w:r>
    </w:p>
    <w:p>
      <w:pPr>
        <w:ind w:firstLine="480"/>
      </w:pPr>
      <w:r>
        <w:rPr>
          <w:rFonts w:hint="eastAsia"/>
        </w:rPr>
        <w:t>p）《2024年7月喀什地区建设工程除税综合价格信息》（喀什地区住房和城乡建设局2024年8月22日）。</w:t>
      </w:r>
    </w:p>
    <w:p>
      <w:pPr>
        <w:ind w:firstLine="0" w:firstLineChars="0"/>
        <w:outlineLvl w:val="2"/>
        <w:rPr>
          <w:rFonts w:eastAsia="黑体" w:cs="方正仿宋简体"/>
          <w:sz w:val="28"/>
        </w:rPr>
      </w:pPr>
      <w:bookmarkStart w:id="720" w:name="_Toc116061674"/>
      <w:bookmarkStart w:id="721" w:name="_Toc22085"/>
      <w:r>
        <w:rPr>
          <w:rFonts w:hint="eastAsia" w:eastAsia="黑体" w:cs="方正仿宋简体"/>
          <w:sz w:val="28"/>
        </w:rPr>
        <w:t>8.1.3费用构成及计算标准</w:t>
      </w:r>
      <w:bookmarkEnd w:id="720"/>
      <w:bookmarkEnd w:id="721"/>
    </w:p>
    <w:p>
      <w:pPr>
        <w:ind w:firstLine="480"/>
      </w:pPr>
      <w:r>
        <w:rPr>
          <w:rFonts w:hint="eastAsia"/>
        </w:rPr>
        <w:t>根据《土地复垦方案编制规程》和《土地复垦方案编制实务》中的土地复垦费用组成说明，结合本项目的实际情况，确定本项目土地复垦费用包括工程施工费、设备费、其他费用（前期工作费、工程监理费、竣工验收费、业主管理费）、监测与管护费以及预备费（基本预备费和价差预备费）。</w:t>
      </w:r>
    </w:p>
    <w:p>
      <w:pPr>
        <w:ind w:firstLine="480"/>
      </w:pPr>
      <w:r>
        <w:rPr>
          <w:rFonts w:hint="eastAsia"/>
        </w:rPr>
        <w:t>a）工程施工费</w:t>
      </w:r>
    </w:p>
    <w:p>
      <w:pPr>
        <w:ind w:firstLine="480"/>
      </w:pPr>
      <w:r>
        <w:rPr>
          <w:rFonts w:hint="eastAsia"/>
        </w:rPr>
        <w:t>工程施工费由直接费、间接费、利润和税金组成。</w:t>
      </w:r>
    </w:p>
    <w:p>
      <w:pPr>
        <w:ind w:firstLine="480"/>
      </w:pPr>
      <w:r>
        <w:rPr>
          <w:rFonts w:hint="eastAsia"/>
        </w:rPr>
        <w:t>1）直接费</w:t>
      </w:r>
    </w:p>
    <w:p>
      <w:pPr>
        <w:ind w:firstLine="480"/>
      </w:pPr>
      <w:r>
        <w:rPr>
          <w:rFonts w:hint="eastAsia"/>
        </w:rPr>
        <w:t>指工程施工过程中直接消耗在工程项目上的活劳动和物化劳动。由直接工程费和措施费组成。</w:t>
      </w:r>
    </w:p>
    <w:p>
      <w:pPr>
        <w:ind w:firstLine="480"/>
      </w:pPr>
      <w:r>
        <w:rPr>
          <w:rFonts w:hint="eastAsia"/>
        </w:rPr>
        <w:t>直接工程费包括人工费、材料费和施工机械使用费。</w:t>
      </w:r>
    </w:p>
    <w:p>
      <w:pPr>
        <w:ind w:firstLine="480"/>
      </w:pPr>
      <w:r>
        <w:rPr>
          <w:rFonts w:hint="eastAsia"/>
        </w:rPr>
        <w:t>措施费包括临时设施费、冬雨季施工增加费、夜间施工增加费、施工辅助费和特殊地区施工增加费。</w:t>
      </w:r>
    </w:p>
    <w:p>
      <w:pPr>
        <w:ind w:firstLine="480"/>
      </w:pPr>
      <w:r>
        <w:rPr>
          <w:rFonts w:hint="eastAsia"/>
        </w:rPr>
        <w:t>a）直接工程费</w:t>
      </w:r>
    </w:p>
    <w:p>
      <w:pPr>
        <w:ind w:firstLine="480"/>
      </w:pPr>
      <w:r>
        <w:rPr>
          <w:rFonts w:hint="eastAsia"/>
        </w:rPr>
        <w:t>直接工程费由人工费、材料费、施工机械使用费组成。</w:t>
      </w:r>
    </w:p>
    <w:p>
      <w:pPr>
        <w:ind w:firstLine="480"/>
      </w:pPr>
      <w:r>
        <w:rPr>
          <w:rFonts w:hint="eastAsia"/>
        </w:rPr>
        <w:t>人工费=∑分项工程量×分项工程定额人工费</w:t>
      </w:r>
    </w:p>
    <w:p>
      <w:pPr>
        <w:ind w:firstLine="480"/>
      </w:pPr>
      <w:r>
        <w:rPr>
          <w:rFonts w:hint="eastAsia"/>
        </w:rPr>
        <w:t>分项工程定额人工费是人工单价与定额消耗标准的乘积。</w:t>
      </w:r>
    </w:p>
    <w:p>
      <w:pPr>
        <w:ind w:firstLine="480"/>
      </w:pPr>
      <w:r>
        <w:rPr>
          <w:rFonts w:hint="eastAsia"/>
        </w:rPr>
        <w:t>材料费=∑分项工程量×分项工程定额材料费</w:t>
      </w:r>
    </w:p>
    <w:p>
      <w:pPr>
        <w:ind w:firstLine="480"/>
      </w:pPr>
      <w:r>
        <w:rPr>
          <w:rFonts w:hint="eastAsia"/>
        </w:rPr>
        <w:t>施工机械使用费=∑分项工程量×分项工程定额机械费</w:t>
      </w:r>
    </w:p>
    <w:p>
      <w:pPr>
        <w:ind w:firstLine="480"/>
      </w:pPr>
      <w:r>
        <w:rPr>
          <w:rFonts w:hint="eastAsia"/>
        </w:rPr>
        <w:t>人工费是指直接从事工程施工的生产工人开支的各项费用，内容包括基本工资、辅助工资和工资附加费。本方案人工费单价参照《土地开发整理项目预算定额标准》和《土地复垦方案编制实务》中人工费的计算办法，同时结合《新疆维吾尔自治区最低工资标准》新政发</w:t>
      </w:r>
      <w:r>
        <w:rPr>
          <w:rFonts w:hint="eastAsia" w:ascii="宋体" w:hAnsi="宋体" w:eastAsia="宋体" w:cs="宋体"/>
        </w:rPr>
        <w:t>﹝</w:t>
      </w:r>
      <w:r>
        <w:rPr>
          <w:rFonts w:hint="eastAsia"/>
        </w:rPr>
        <w:t>2021</w:t>
      </w:r>
      <w:r>
        <w:rPr>
          <w:rFonts w:hint="eastAsia" w:ascii="宋体" w:hAnsi="宋体" w:eastAsia="宋体" w:cs="宋体"/>
        </w:rPr>
        <w:t>﹞</w:t>
      </w:r>
      <w:r>
        <w:rPr>
          <w:rFonts w:hint="eastAsia"/>
        </w:rPr>
        <w:t>21号文件规定，最终确定本方案甲类工和乙类工日工资。依据新疆维吾尔自治区生活补贴费地区分类情况，项目所属泽普县属于四类津贴区，地区生活补贴标准按78元/月。</w:t>
      </w:r>
    </w:p>
    <w:p>
      <w:pPr>
        <w:ind w:firstLine="480"/>
      </w:pPr>
      <w:r>
        <w:rPr>
          <w:rFonts w:hint="eastAsia"/>
        </w:rPr>
        <w:t>材料费是指工程项目上的消耗性材料费、装置性材料费和周转性材料摊销费。材料预算价格包括材料原价、运杂费、采购及保管费等费用构成。</w:t>
      </w:r>
    </w:p>
    <w:p>
      <w:pPr>
        <w:ind w:firstLine="480"/>
      </w:pPr>
      <w:r>
        <w:rPr>
          <w:rFonts w:hint="eastAsia"/>
        </w:rPr>
        <w:t>定额材料费是定额中各种材料估算价格与定额消耗量的乘积之和，计算办法根据《土地开发整理项目预算定额标准》（2012年）以及《新疆维吾尔自治区公路工程建设项目估概预算编制办法补充规定》（新交规</w:t>
      </w:r>
      <w:r>
        <w:rPr>
          <w:rFonts w:hint="eastAsia" w:ascii="宋体" w:hAnsi="宋体" w:eastAsia="宋体" w:cs="宋体"/>
        </w:rPr>
        <w:t>﹝</w:t>
      </w:r>
      <w:r>
        <w:rPr>
          <w:rFonts w:hint="eastAsia"/>
        </w:rPr>
        <w:t>2021</w:t>
      </w:r>
      <w:r>
        <w:rPr>
          <w:rFonts w:hint="eastAsia" w:ascii="宋体" w:hAnsi="宋体" w:eastAsia="宋体" w:cs="宋体"/>
        </w:rPr>
        <w:t>﹞</w:t>
      </w:r>
      <w:r>
        <w:rPr>
          <w:rFonts w:hint="eastAsia"/>
        </w:rPr>
        <w:t>1号）规定，材料原价参照自治区工程造价信息网发布的材料价格及市场价格确定，材料运杂费率依据《新疆维吾尔自治区公路工程基本建设项目概算预算编制办法补充规定》进行计取，采购及保管费按材料原价及运杂费的2%计取。</w:t>
      </w:r>
    </w:p>
    <w:p>
      <w:pPr>
        <w:ind w:firstLine="480"/>
      </w:pPr>
      <w:r>
        <w:rPr>
          <w:rFonts w:hint="eastAsia"/>
        </w:rPr>
        <w:t>施工机械使用费是指消耗在工程项目上的机械磨损、维修和动力燃料费用等。具体计算办法参照《土地开发整理项目预算定额标准》（2012年）进行估算。</w:t>
      </w:r>
    </w:p>
    <w:p>
      <w:pPr>
        <w:ind w:firstLine="480"/>
      </w:pPr>
      <w:r>
        <w:rPr>
          <w:rFonts w:hint="eastAsia"/>
        </w:rPr>
        <w:t>b）措施费</w:t>
      </w:r>
    </w:p>
    <w:p>
      <w:pPr>
        <w:ind w:firstLine="480"/>
      </w:pPr>
      <w:r>
        <w:rPr>
          <w:rFonts w:hint="eastAsia"/>
        </w:rPr>
        <w:t>措施费是指为完成工程项目施工，发生与该工程施工前和施工过程中非工程实体项目的费用。主要包括临时设施费、冬雨季施工增加费、夜间施工增加费、施工辅助费和特殊地区施工增加费。费率根据《土地开发整理项目预算定额标准》的规定，结合本项目施工特点，措施费按直接工程费的3.6%计取。</w:t>
      </w:r>
    </w:p>
    <w:p>
      <w:pPr>
        <w:ind w:firstLine="480"/>
      </w:pPr>
      <w:r>
        <w:rPr>
          <w:rFonts w:hint="eastAsia"/>
        </w:rPr>
        <w:t>2）间接费</w:t>
      </w:r>
    </w:p>
    <w:p>
      <w:pPr>
        <w:ind w:firstLine="480"/>
      </w:pPr>
      <w:r>
        <w:rPr>
          <w:rFonts w:hint="eastAsia"/>
        </w:rPr>
        <w:t>间接费由规费和企业管理费组成。结合项目土地复垦工程特点，间接费可按直接工程费的5.0%计算。</w:t>
      </w:r>
    </w:p>
    <w:p>
      <w:pPr>
        <w:ind w:firstLine="480"/>
      </w:pPr>
      <w:r>
        <w:rPr>
          <w:rFonts w:hint="eastAsia"/>
        </w:rPr>
        <w:t>3）利润</w:t>
      </w:r>
    </w:p>
    <w:p>
      <w:pPr>
        <w:ind w:firstLine="480"/>
      </w:pPr>
      <w:r>
        <w:rPr>
          <w:rFonts w:hint="eastAsia"/>
        </w:rPr>
        <w:t>利润是指施工企业完成所承包工程获得的盈利，按直接费和间接费之和的3.0%计算。</w:t>
      </w:r>
    </w:p>
    <w:p>
      <w:pPr>
        <w:ind w:firstLine="480"/>
      </w:pPr>
      <w:r>
        <w:rPr>
          <w:rFonts w:hint="eastAsia"/>
        </w:rPr>
        <w:t>4）税金</w:t>
      </w:r>
    </w:p>
    <w:p>
      <w:pPr>
        <w:ind w:firstLine="480"/>
      </w:pPr>
      <w:r>
        <w:rPr>
          <w:rFonts w:hint="eastAsia"/>
        </w:rPr>
        <w:t>税金是指按国家税法应计入造价内的营业税、城市管护建设税和教育费附加。依据《新疆维吾尔自治区住房和城乡建设厅关于调整我区建设工程计价依据增值税税率的通知》（新建标〔2019〕4号）及《住房和城乡建设部办公厅关于调整建设工程计价依据增值税税率的通知》（建办标〔2019〕193号）文件规定，建设项目在市区或县城以外的综合税率为9%。</w:t>
      </w:r>
    </w:p>
    <w:p>
      <w:pPr>
        <w:ind w:firstLine="480"/>
      </w:pPr>
      <w:r>
        <w:rPr>
          <w:rFonts w:hint="eastAsia"/>
        </w:rPr>
        <w:t>税金=（直接费+间接费+利润）×综合税率。</w:t>
      </w:r>
    </w:p>
    <w:p>
      <w:pPr>
        <w:ind w:firstLine="480"/>
      </w:pPr>
      <w:r>
        <w:rPr>
          <w:rFonts w:hint="eastAsia"/>
        </w:rPr>
        <w:t>b）设备购置费</w:t>
      </w:r>
    </w:p>
    <w:p>
      <w:pPr>
        <w:ind w:firstLine="480"/>
      </w:pPr>
      <w:r>
        <w:rPr>
          <w:rFonts w:hint="eastAsia"/>
        </w:rPr>
        <w:t>设备购置费是指在土地复垦过程中，因需要购置各种永久性设备所发生的费用。根据本项目的实际情况，土地复垦过程中所涉及到的复垦机械设备均由复垦工程具体施工单位提供或采用租用方式，故本方案不存在购买设备费用。</w:t>
      </w:r>
    </w:p>
    <w:p>
      <w:pPr>
        <w:ind w:firstLine="480"/>
      </w:pPr>
      <w:r>
        <w:rPr>
          <w:rFonts w:hint="eastAsia"/>
        </w:rPr>
        <w:t>c）其他费用</w:t>
      </w:r>
    </w:p>
    <w:p>
      <w:pPr>
        <w:ind w:firstLine="480"/>
      </w:pPr>
      <w:r>
        <w:rPr>
          <w:rFonts w:hint="eastAsia"/>
        </w:rPr>
        <w:t>其他费用包括前期工作费、工程监理费、竣工验收费和业主管理费。</w:t>
      </w:r>
    </w:p>
    <w:p>
      <w:pPr>
        <w:ind w:firstLine="480"/>
      </w:pPr>
      <w:r>
        <w:rPr>
          <w:rFonts w:hint="eastAsia"/>
        </w:rPr>
        <w:t>1）前期工作费</w:t>
      </w:r>
    </w:p>
    <w:p>
      <w:pPr>
        <w:ind w:firstLine="480"/>
      </w:pPr>
      <w:r>
        <w:rPr>
          <w:rFonts w:hint="eastAsia"/>
        </w:rPr>
        <w:t>前期工作费是指土地复垦工程在施工前所发生的各项支出，包括土地利用与生态现状调查费、阶段性实施方案编制费、科研实验费和其他费用等。</w:t>
      </w:r>
    </w:p>
    <w:p>
      <w:pPr>
        <w:ind w:firstLine="480"/>
      </w:pPr>
      <w:r>
        <w:rPr>
          <w:rFonts w:hint="eastAsia"/>
        </w:rPr>
        <w:t>对于生产建设项目，前期工作费主要包括两大费用：一是生产项目审批之前发生的与土地复垦相关的费用，包括土地勘测费、土地复垦方案编制费等，该费用纳入企业成本，不纳入复垦专项资金；二是生产项目开始之后，复垦实施之前的复垦相关的费用，计入复垦专项资金。</w:t>
      </w:r>
    </w:p>
    <w:p>
      <w:pPr>
        <w:ind w:firstLine="480"/>
      </w:pPr>
      <w:r>
        <w:rPr>
          <w:rFonts w:hint="eastAsia"/>
          <w:szCs w:val="28"/>
        </w:rPr>
        <w:t>本项目土地勘测、土地复垦方案编制等已委托，且复垦施工由企业自行完成，项目复垦涉及的前期费用已全部列支计提，不再重复计入复垦投资。</w:t>
      </w:r>
    </w:p>
    <w:p>
      <w:pPr>
        <w:ind w:firstLine="480"/>
      </w:pPr>
      <w:r>
        <w:rPr>
          <w:rFonts w:hint="eastAsia"/>
        </w:rPr>
        <w:t>2）工程监理费</w:t>
      </w:r>
    </w:p>
    <w:p>
      <w:pPr>
        <w:ind w:firstLine="480"/>
      </w:pPr>
      <w:r>
        <w:rPr>
          <w:szCs w:val="28"/>
        </w:rPr>
        <w:t>工程监理费是指项目承担单位委托具有工程监理资质的单位，按国家有关规定进行全过程的监督与管理所发生的费用，</w:t>
      </w:r>
      <w:r>
        <w:rPr>
          <w:rFonts w:hint="eastAsia"/>
          <w:szCs w:val="28"/>
        </w:rPr>
        <w:t>按照实际产生费用预估为0.8万元</w:t>
      </w:r>
      <w:r>
        <w:rPr>
          <w:szCs w:val="28"/>
        </w:rPr>
        <w:t>。</w:t>
      </w:r>
    </w:p>
    <w:p>
      <w:pPr>
        <w:ind w:firstLine="480"/>
      </w:pPr>
      <w:r>
        <w:rPr>
          <w:rFonts w:hint="eastAsia"/>
        </w:rPr>
        <w:t>3）竣工验收费</w:t>
      </w:r>
    </w:p>
    <w:p>
      <w:pPr>
        <w:ind w:firstLine="480"/>
      </w:pPr>
      <w:r>
        <w:t>是指项目工程竣工后，因项目竣工验收、决算、成果的管理等发生的各项支出，包括竣工验收与决算费、项目决算审计费、土地重估与登记费等费用</w:t>
      </w:r>
      <w:r>
        <w:rPr>
          <w:szCs w:val="28"/>
        </w:rPr>
        <w:t>。</w:t>
      </w:r>
      <w:r>
        <w:rPr>
          <w:rFonts w:hint="eastAsia"/>
          <w:szCs w:val="28"/>
        </w:rPr>
        <w:t>按照实际产生费用预估为1.2万元。</w:t>
      </w:r>
    </w:p>
    <w:p>
      <w:pPr>
        <w:ind w:firstLine="480"/>
      </w:pPr>
      <w:r>
        <w:rPr>
          <w:rFonts w:hint="eastAsia"/>
        </w:rPr>
        <w:t>4）业主管理费</w:t>
      </w:r>
    </w:p>
    <w:p>
      <w:pPr>
        <w:ind w:firstLine="480"/>
      </w:pPr>
      <w:r>
        <w:t>业主管理费指项目承担单位为项目的组织、管理所发生的各项管理性支出。</w:t>
      </w:r>
      <w:r>
        <w:rPr>
          <w:rFonts w:hint="eastAsia"/>
          <w:szCs w:val="28"/>
        </w:rPr>
        <w:t>按照实际产生费用预估为0.6万元。</w:t>
      </w:r>
    </w:p>
    <w:p>
      <w:pPr>
        <w:ind w:firstLine="480"/>
      </w:pPr>
      <w:r>
        <w:rPr>
          <w:rFonts w:hint="eastAsia"/>
        </w:rPr>
        <w:t>d）复垦监测费</w:t>
      </w:r>
    </w:p>
    <w:p>
      <w:pPr>
        <w:ind w:firstLine="480"/>
      </w:pPr>
      <w:r>
        <w:rPr>
          <w:rFonts w:hint="eastAsia"/>
        </w:rPr>
        <w:t>1）监测费</w:t>
      </w:r>
    </w:p>
    <w:p>
      <w:pPr>
        <w:ind w:firstLine="480"/>
        <w:rPr>
          <w:szCs w:val="28"/>
        </w:rPr>
      </w:pPr>
      <w:r>
        <w:rPr>
          <w:szCs w:val="28"/>
        </w:rPr>
        <w:t>本方案监测费主要是土地损毁监测费用和复垦效果监测费用。本项目监测过程中使用的相关仪器的费用纳入监测费估算中。监测费用估算标准主要参照</w:t>
      </w:r>
      <w:r>
        <w:rPr>
          <w:rFonts w:hint="eastAsia"/>
          <w:szCs w:val="28"/>
        </w:rPr>
        <w:t>泽普县以</w:t>
      </w:r>
      <w:r>
        <w:rPr>
          <w:szCs w:val="28"/>
        </w:rPr>
        <w:t>往</w:t>
      </w:r>
      <w:r>
        <w:rPr>
          <w:rFonts w:hint="eastAsia"/>
          <w:szCs w:val="28"/>
        </w:rPr>
        <w:t>土地复垦的</w:t>
      </w:r>
      <w:r>
        <w:rPr>
          <w:szCs w:val="28"/>
        </w:rPr>
        <w:t>生态环境监测费用的调查结果为依据。调查结果为：</w:t>
      </w:r>
      <w:r>
        <w:rPr>
          <w:rFonts w:hint="eastAsia"/>
          <w:szCs w:val="28"/>
        </w:rPr>
        <w:t>根据本项目的监测工作量，</w:t>
      </w:r>
      <w:r>
        <w:rPr>
          <w:szCs w:val="28"/>
        </w:rPr>
        <w:t>进行监测的费用标准为</w:t>
      </w:r>
      <w:r>
        <w:rPr>
          <w:rFonts w:hint="eastAsia"/>
          <w:szCs w:val="28"/>
        </w:rPr>
        <w:t>土地损毁监测为500</w:t>
      </w:r>
      <w:r>
        <w:rPr>
          <w:szCs w:val="28"/>
        </w:rPr>
        <w:t>元</w:t>
      </w:r>
      <w:r>
        <w:rPr>
          <w:rFonts w:hint="eastAsia"/>
          <w:szCs w:val="28"/>
        </w:rPr>
        <w:t>/点，土壤质量监测为600元/点，植被恢复监测为500元/点</w:t>
      </w:r>
      <w:r>
        <w:rPr>
          <w:szCs w:val="28"/>
        </w:rPr>
        <w:t>；包括监测过程中发生的人工费、仪器使用费和交通费等。</w:t>
      </w:r>
    </w:p>
    <w:p>
      <w:pPr>
        <w:snapToGrid w:val="0"/>
        <w:ind w:firstLine="480"/>
        <w:jc w:val="left"/>
        <w:rPr>
          <w:szCs w:val="28"/>
        </w:rPr>
      </w:pPr>
      <w:r>
        <w:rPr>
          <w:szCs w:val="28"/>
        </w:rPr>
        <w:t>2）管护费</w:t>
      </w:r>
    </w:p>
    <w:p>
      <w:pPr>
        <w:snapToGrid w:val="0"/>
        <w:ind w:firstLine="480"/>
        <w:jc w:val="left"/>
        <w:rPr>
          <w:szCs w:val="28"/>
        </w:rPr>
      </w:pPr>
      <w:r>
        <w:rPr>
          <w:szCs w:val="28"/>
        </w:rPr>
        <w:t>本方案复垦</w:t>
      </w:r>
      <w:r>
        <w:rPr>
          <w:rFonts w:hint="eastAsia"/>
          <w:szCs w:val="28"/>
        </w:rPr>
        <w:t>林地、</w:t>
      </w:r>
      <w:r>
        <w:rPr>
          <w:rFonts w:hint="eastAsia"/>
          <w:szCs w:val="21"/>
        </w:rPr>
        <w:t>草地</w:t>
      </w:r>
      <w:r>
        <w:rPr>
          <w:rFonts w:hint="eastAsia"/>
        </w:rPr>
        <w:t>0.2442</w:t>
      </w:r>
      <w:r>
        <w:rPr>
          <w:szCs w:val="21"/>
        </w:rPr>
        <w:t>hm</w:t>
      </w:r>
      <w:r>
        <w:rPr>
          <w:szCs w:val="21"/>
          <w:vertAlign w:val="superscript"/>
        </w:rPr>
        <w:t>2</w:t>
      </w:r>
      <w:r>
        <w:rPr>
          <w:rFonts w:hint="eastAsia"/>
          <w:szCs w:val="21"/>
        </w:rPr>
        <w:t>。</w:t>
      </w:r>
      <w:r>
        <w:rPr>
          <w:szCs w:val="28"/>
        </w:rPr>
        <w:t>其管护费用主要由洒水费用、补</w:t>
      </w:r>
      <w:r>
        <w:rPr>
          <w:rFonts w:hint="eastAsia"/>
          <w:szCs w:val="28"/>
        </w:rPr>
        <w:t>种</w:t>
      </w:r>
      <w:r>
        <w:rPr>
          <w:szCs w:val="28"/>
        </w:rPr>
        <w:t>费用组成。本方案设计采用洒水车从</w:t>
      </w:r>
      <w:r>
        <w:rPr>
          <w:rFonts w:hint="eastAsia"/>
          <w:szCs w:val="28"/>
        </w:rPr>
        <w:t>就近灌溉渠道</w:t>
      </w:r>
      <w:r>
        <w:rPr>
          <w:szCs w:val="28"/>
        </w:rPr>
        <w:t>拉水进行灌溉，根据新疆维吾尔自治区地方标准《农业灌溉用水定额》（DB</w:t>
      </w:r>
      <w:r>
        <w:rPr>
          <w:rFonts w:hint="eastAsia"/>
          <w:szCs w:val="28"/>
        </w:rPr>
        <w:t>65/3611—2014</w:t>
      </w:r>
      <w:r>
        <w:rPr>
          <w:szCs w:val="28"/>
        </w:rPr>
        <w:t>），</w:t>
      </w:r>
      <w:r>
        <w:rPr>
          <w:rFonts w:hint="eastAsia"/>
          <w:szCs w:val="28"/>
        </w:rPr>
        <w:t>全年灌水量</w:t>
      </w:r>
      <w:r>
        <w:rPr>
          <w:rFonts w:hint="eastAsia"/>
        </w:rPr>
        <w:t>3300m</w:t>
      </w:r>
      <w:r>
        <w:rPr>
          <w:rFonts w:hint="eastAsia"/>
          <w:vertAlign w:val="superscript"/>
        </w:rPr>
        <w:t>3</w:t>
      </w:r>
      <w:r>
        <w:rPr>
          <w:rFonts w:hint="eastAsia"/>
        </w:rPr>
        <w:t>/hm</w:t>
      </w:r>
      <w:r>
        <w:rPr>
          <w:rFonts w:hint="eastAsia"/>
          <w:vertAlign w:val="superscript"/>
        </w:rPr>
        <w:t>2</w:t>
      </w:r>
      <w:r>
        <w:rPr>
          <w:rFonts w:hint="eastAsia"/>
        </w:rPr>
        <w:t>，每次洒水灌溉825m</w:t>
      </w:r>
      <w:r>
        <w:rPr>
          <w:rFonts w:hint="eastAsia"/>
          <w:vertAlign w:val="superscript"/>
        </w:rPr>
        <w:t>3</w:t>
      </w:r>
      <w:r>
        <w:rPr>
          <w:rFonts w:hint="eastAsia"/>
        </w:rPr>
        <w:t>/hm</w:t>
      </w:r>
      <w:r>
        <w:rPr>
          <w:rFonts w:hint="eastAsia"/>
          <w:vertAlign w:val="superscript"/>
        </w:rPr>
        <w:t>2</w:t>
      </w:r>
      <w:r>
        <w:rPr>
          <w:rFonts w:hint="eastAsia"/>
          <w:szCs w:val="28"/>
        </w:rPr>
        <w:t>，全年灌水4次。</w:t>
      </w:r>
      <w:r>
        <w:rPr>
          <w:szCs w:val="28"/>
        </w:rPr>
        <w:t>参照参公路8007041定额，灌溉一车水大约需要</w:t>
      </w:r>
      <w:r>
        <w:rPr>
          <w:rFonts w:hint="eastAsia"/>
          <w:szCs w:val="28"/>
        </w:rPr>
        <w:t>12</w:t>
      </w:r>
      <w:r>
        <w:rPr>
          <w:szCs w:val="28"/>
        </w:rPr>
        <w:t>分钟，同时考虑</w:t>
      </w:r>
      <w:r>
        <w:rPr>
          <w:rFonts w:hint="eastAsia"/>
          <w:szCs w:val="28"/>
        </w:rPr>
        <w:t>工作过程中的损耗</w:t>
      </w:r>
      <w:r>
        <w:rPr>
          <w:szCs w:val="28"/>
        </w:rPr>
        <w:t>，综合计算每公顷灌溉需要</w:t>
      </w:r>
      <w:r>
        <w:rPr>
          <w:rFonts w:hint="eastAsia"/>
          <w:szCs w:val="28"/>
        </w:rPr>
        <w:t>12</w:t>
      </w:r>
      <w:r>
        <w:rPr>
          <w:szCs w:val="28"/>
        </w:rPr>
        <w:t>个台班，</w:t>
      </w:r>
      <w:r>
        <w:rPr>
          <w:rFonts w:hint="eastAsia"/>
          <w:szCs w:val="28"/>
        </w:rPr>
        <w:t>按照《喀什地区2024年7月建设工程除税综合价格信息》水价为3.8元/m</w:t>
      </w:r>
      <w:r>
        <w:rPr>
          <w:rFonts w:hint="eastAsia"/>
          <w:szCs w:val="28"/>
          <w:vertAlign w:val="superscript"/>
        </w:rPr>
        <w:t>3</w:t>
      </w:r>
      <w:r>
        <w:rPr>
          <w:szCs w:val="28"/>
        </w:rPr>
        <w:t>，</w:t>
      </w:r>
      <w:r>
        <w:rPr>
          <w:rFonts w:hint="eastAsia"/>
          <w:szCs w:val="28"/>
        </w:rPr>
        <w:t>平均拉运距离1km，运率2.189元/t·km（除税价9%），最终折合</w:t>
      </w:r>
      <w:r>
        <w:rPr>
          <w:szCs w:val="28"/>
        </w:rPr>
        <w:t>水价为</w:t>
      </w:r>
      <w:r>
        <w:rPr>
          <w:rFonts w:hint="eastAsia"/>
          <w:szCs w:val="28"/>
        </w:rPr>
        <w:t>5.99元/m</w:t>
      </w:r>
      <w:r>
        <w:rPr>
          <w:rFonts w:hint="eastAsia"/>
          <w:szCs w:val="28"/>
          <w:vertAlign w:val="superscript"/>
        </w:rPr>
        <w:t>3</w:t>
      </w:r>
      <w:r>
        <w:rPr>
          <w:rFonts w:hint="eastAsia"/>
          <w:szCs w:val="28"/>
        </w:rPr>
        <w:t>。</w:t>
      </w:r>
    </w:p>
    <w:p>
      <w:pPr>
        <w:ind w:firstLine="480"/>
        <w:rPr>
          <w:szCs w:val="28"/>
        </w:rPr>
      </w:pPr>
      <w:r>
        <w:rPr>
          <w:szCs w:val="28"/>
        </w:rPr>
        <w:t>补</w:t>
      </w:r>
      <w:r>
        <w:rPr>
          <w:rFonts w:hint="eastAsia"/>
          <w:szCs w:val="28"/>
        </w:rPr>
        <w:t>种</w:t>
      </w:r>
      <w:r>
        <w:rPr>
          <w:szCs w:val="28"/>
        </w:rPr>
        <w:t>措施主要是撒播草籽，其费用估算依据定额90030执行。</w:t>
      </w:r>
    </w:p>
    <w:p>
      <w:pPr>
        <w:ind w:firstLine="480"/>
      </w:pPr>
      <w:r>
        <w:rPr>
          <w:rFonts w:hint="eastAsia"/>
        </w:rPr>
        <w:t>e）预备费</w:t>
      </w:r>
    </w:p>
    <w:p>
      <w:pPr>
        <w:ind w:firstLine="480"/>
      </w:pPr>
      <w:r>
        <w:rPr>
          <w:rFonts w:hint="eastAsia"/>
        </w:rPr>
        <w:t>预备费是在考虑了土地复垦期间可能发生的风险因素，从而导致复垦费用增加的一项费用。本方案预备费主要包括基本预备费和价差预备费。</w:t>
      </w:r>
    </w:p>
    <w:p>
      <w:pPr>
        <w:ind w:firstLine="480"/>
      </w:pPr>
      <w:r>
        <w:rPr>
          <w:rFonts w:hint="eastAsia"/>
        </w:rPr>
        <w:t>1）基本预备费</w:t>
      </w:r>
    </w:p>
    <w:p>
      <w:pPr>
        <w:ind w:firstLine="480"/>
      </w:pPr>
      <w:r>
        <w:rPr>
          <w:rFonts w:hint="eastAsia"/>
        </w:rPr>
        <w:t>指为解决在工程施工过程中因自然灾害、设计变更等所增加的费用。根据《土地开发整理项目预算定额标准》，基本预备费按工程施工费和其他费用之和的3.0%计取。</w:t>
      </w:r>
    </w:p>
    <w:p>
      <w:pPr>
        <w:ind w:firstLine="480"/>
      </w:pPr>
      <w:r>
        <w:rPr>
          <w:rFonts w:hint="eastAsia"/>
        </w:rPr>
        <w:t>2）价差预备费</w:t>
      </w:r>
    </w:p>
    <w:p>
      <w:pPr>
        <w:ind w:firstLine="480"/>
      </w:pPr>
      <w:r>
        <w:rPr>
          <w:rFonts w:hint="eastAsia"/>
        </w:rPr>
        <w:t>价差预备费指为解决在工程施工过程中，因物价（人工、材料和设备价格）上涨、国家宏观调控以及地方经济发展等因素而增加的费用。</w:t>
      </w:r>
    </w:p>
    <w:p>
      <w:pPr>
        <w:ind w:firstLine="480"/>
      </w:pPr>
      <w:r>
        <w:rPr>
          <w:rFonts w:hint="eastAsia"/>
        </w:rPr>
        <w:t>本方案价差预备费按国家计委《关于加强基本建设大中型项目概算中“价差预备费”管理的有关通知》计投资〔1999〕1340号文件暂停统计，执行规定价差预备费率为“0”。</w:t>
      </w:r>
    </w:p>
    <w:p>
      <w:pPr>
        <w:ind w:firstLine="480"/>
      </w:pPr>
      <w:r>
        <w:rPr>
          <w:rFonts w:hint="eastAsia"/>
        </w:rPr>
        <w:t>3）风险金</w:t>
      </w:r>
    </w:p>
    <w:p>
      <w:pPr>
        <w:ind w:firstLine="480"/>
      </w:pPr>
      <w:r>
        <w:rPr>
          <w:rFonts w:hint="eastAsia"/>
        </w:rPr>
        <w:t>指可预见而目前技术上无法完全避免的土地复垦过程中可能发生的风险的备用金。据项目初步设计报告及环境影响报告书中环境风险因素分析，结合《土地复垦方案编制规程》中对复垦工程风险金计取的要求：“金属矿山和开采年限较长的非金属矿等复垦工程按可能性大小，以复垦施工费为基数计取风险金”，本项目不计取风险金费用。</w:t>
      </w:r>
    </w:p>
    <w:p>
      <w:pPr>
        <w:ind w:firstLine="0" w:firstLineChars="0"/>
        <w:outlineLvl w:val="1"/>
        <w:rPr>
          <w:rFonts w:eastAsia="黑体"/>
          <w:bCs/>
          <w:sz w:val="30"/>
          <w:szCs w:val="32"/>
        </w:rPr>
      </w:pPr>
      <w:bookmarkStart w:id="722" w:name="_Toc31665"/>
      <w:bookmarkStart w:id="723" w:name="_Toc116061675"/>
      <w:bookmarkStart w:id="724" w:name="_Toc25552"/>
      <w:r>
        <w:rPr>
          <w:rFonts w:hint="eastAsia" w:eastAsia="黑体"/>
          <w:bCs/>
          <w:sz w:val="30"/>
          <w:szCs w:val="32"/>
        </w:rPr>
        <w:t>8.2估算成果</w:t>
      </w:r>
      <w:bookmarkEnd w:id="722"/>
      <w:bookmarkEnd w:id="723"/>
      <w:bookmarkEnd w:id="724"/>
    </w:p>
    <w:p>
      <w:pPr>
        <w:ind w:firstLine="480"/>
      </w:pPr>
      <w:r>
        <w:rPr>
          <w:rFonts w:hint="eastAsia"/>
        </w:rPr>
        <w:t>本项目复垦投资依据复垦工程内容及工程量进行估算，</w:t>
      </w:r>
      <w:r>
        <w:rPr>
          <w:rFonts w:hint="eastAsia"/>
          <w:snapToGrid w:val="0"/>
          <w:kern w:val="0"/>
        </w:rPr>
        <w:t>复垦静态总投资13.</w:t>
      </w:r>
      <w:r>
        <w:rPr>
          <w:rFonts w:hint="eastAsia"/>
          <w:snapToGrid w:val="0"/>
          <w:kern w:val="0"/>
          <w:lang w:val="en-US" w:eastAsia="zh-CN"/>
        </w:rPr>
        <w:t>5</w:t>
      </w:r>
      <w:r>
        <w:rPr>
          <w:rFonts w:hint="eastAsia"/>
          <w:snapToGrid w:val="0"/>
          <w:kern w:val="0"/>
        </w:rPr>
        <w:t>4万元，静态亩均投资2056.45元。其中：工程施工费7.31万元，其他费用2.</w:t>
      </w:r>
      <w:r>
        <w:rPr>
          <w:rFonts w:hint="eastAsia"/>
          <w:snapToGrid w:val="0"/>
          <w:kern w:val="0"/>
          <w:lang w:val="en-US" w:eastAsia="zh-CN"/>
        </w:rPr>
        <w:t>7</w:t>
      </w:r>
      <w:r>
        <w:rPr>
          <w:rFonts w:hint="eastAsia"/>
          <w:snapToGrid w:val="0"/>
          <w:kern w:val="0"/>
        </w:rPr>
        <w:t>0万元，监测费2.37万元，管护费0.86万元，预备费0.30万元。</w:t>
      </w:r>
    </w:p>
    <w:p>
      <w:pPr>
        <w:ind w:firstLine="480"/>
      </w:pPr>
      <w:r>
        <w:rPr>
          <w:rFonts w:hint="eastAsia"/>
        </w:rPr>
        <w:t>由于价差预备费按零计列，故本项目土地复垦静态总投资13.</w:t>
      </w:r>
      <w:r>
        <w:rPr>
          <w:rFonts w:hint="eastAsia"/>
          <w:lang w:val="en-US" w:eastAsia="zh-CN"/>
        </w:rPr>
        <w:t>5</w:t>
      </w:r>
      <w:r>
        <w:rPr>
          <w:rFonts w:hint="eastAsia"/>
        </w:rPr>
        <w:t>4万元。</w:t>
      </w:r>
    </w:p>
    <w:p>
      <w:pPr>
        <w:ind w:firstLine="480"/>
      </w:pPr>
      <w:r>
        <w:rPr>
          <w:rFonts w:hint="eastAsia"/>
        </w:rPr>
        <w:t>土地复垦工程投资估算汇总见表8.2-1；工程施工费估算见表8.2-2；其他费用估算见表8.2-3；基本预备费估算见表8.2-4；监测费与管护费估算见表8.2-5；综合定额单价估算见表8.2-6；人工费日单价计算见表8.2-7；预算材料费价格见表8.2-8；主要材料运杂费计算见表8.2-9；土地复垦机械台班费见表8.2-10。</w:t>
      </w:r>
    </w:p>
    <w:p>
      <w:pPr>
        <w:snapToGrid w:val="0"/>
        <w:ind w:firstLine="0" w:firstLineChars="0"/>
        <w:jc w:val="center"/>
        <w:rPr>
          <w:rFonts w:eastAsia="黑体"/>
          <w:sz w:val="21"/>
        </w:rPr>
      </w:pPr>
      <w:r>
        <w:rPr>
          <w:rFonts w:hint="eastAsia" w:eastAsia="黑体"/>
          <w:sz w:val="21"/>
        </w:rPr>
        <w:t>表8.2-1土地复垦工程投资估算汇总表</w:t>
      </w:r>
    </w:p>
    <w:tbl>
      <w:tblPr>
        <w:tblStyle w:val="88"/>
        <w:tblW w:w="9072" w:type="dxa"/>
        <w:jc w:val="center"/>
        <w:tblInd w:w="0" w:type="dxa"/>
        <w:tblLayout w:type="fixed"/>
        <w:tblCellMar>
          <w:top w:w="0" w:type="dxa"/>
          <w:left w:w="0" w:type="dxa"/>
          <w:bottom w:w="0" w:type="dxa"/>
          <w:right w:w="0" w:type="dxa"/>
        </w:tblCellMar>
      </w:tblPr>
      <w:tblGrid>
        <w:gridCol w:w="1532"/>
        <w:gridCol w:w="3203"/>
        <w:gridCol w:w="2891"/>
        <w:gridCol w:w="1446"/>
      </w:tblGrid>
      <w:tr>
        <w:tblPrEx>
          <w:tblLayout w:type="fixed"/>
          <w:tblCellMar>
            <w:top w:w="0" w:type="dxa"/>
            <w:left w:w="0" w:type="dxa"/>
            <w:bottom w:w="0" w:type="dxa"/>
            <w:right w:w="0" w:type="dxa"/>
          </w:tblCellMar>
        </w:tblPrEx>
        <w:trPr>
          <w:trHeight w:val="312" w:hRule="atLeast"/>
          <w:jc w:val="center"/>
        </w:trPr>
        <w:tc>
          <w:tcPr>
            <w:tcW w:w="1532"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序号</w:t>
            </w:r>
          </w:p>
        </w:tc>
        <w:tc>
          <w:tcPr>
            <w:tcW w:w="3203"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工程或费用名称</w:t>
            </w:r>
          </w:p>
        </w:tc>
        <w:tc>
          <w:tcPr>
            <w:tcW w:w="289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预算费用</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费率</w:t>
            </w:r>
          </w:p>
        </w:tc>
      </w:tr>
      <w:tr>
        <w:tblPrEx>
          <w:tblLayout w:type="fixed"/>
          <w:tblCellMar>
            <w:top w:w="0" w:type="dxa"/>
            <w:left w:w="0" w:type="dxa"/>
            <w:bottom w:w="0" w:type="dxa"/>
            <w:right w:w="0" w:type="dxa"/>
          </w:tblCellMar>
        </w:tblPrEx>
        <w:trPr>
          <w:trHeight w:val="312" w:hRule="atLeast"/>
          <w:jc w:val="center"/>
        </w:trPr>
        <w:tc>
          <w:tcPr>
            <w:tcW w:w="1532"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p>
        </w:tc>
        <w:tc>
          <w:tcPr>
            <w:tcW w:w="320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p>
        </w:tc>
        <w:tc>
          <w:tcPr>
            <w:tcW w:w="289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万元</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宋体"/>
                <w:sz w:val="21"/>
                <w:szCs w:val="20"/>
              </w:rPr>
            </w:pPr>
            <w:r>
              <w:rPr>
                <w:rFonts w:eastAsia="宋体"/>
                <w:sz w:val="21"/>
                <w:szCs w:val="20"/>
              </w:rPr>
              <w:t>%</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一</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工程施工费</w:t>
            </w:r>
          </w:p>
        </w:tc>
        <w:tc>
          <w:tcPr>
            <w:tcW w:w="289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7.31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53.98</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二</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设备费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0.00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0.00</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三</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其他费用</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2.70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19.93</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四</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监测与管护费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3.23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23.87</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（一）</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复垦监测费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2.37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17.50</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（二）</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管护费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0.86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6.37</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五</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预备费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0.30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2.22</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（一）</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基本预备费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0.30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2.22</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（二）</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价差预备费</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0.00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0.00</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（三）</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风险金</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0.00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0.00</w:t>
            </w:r>
          </w:p>
        </w:tc>
      </w:tr>
      <w:tr>
        <w:tblPrEx>
          <w:tblLayout w:type="fixed"/>
          <w:tblCellMar>
            <w:top w:w="0" w:type="dxa"/>
            <w:left w:w="0" w:type="dxa"/>
            <w:bottom w:w="0" w:type="dxa"/>
            <w:right w:w="0" w:type="dxa"/>
          </w:tblCellMar>
        </w:tblPrEx>
        <w:trPr>
          <w:trHeight w:val="312" w:hRule="atLeast"/>
          <w:jc w:val="center"/>
        </w:trPr>
        <w:tc>
          <w:tcPr>
            <w:tcW w:w="153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rFonts w:hint="eastAsia"/>
                <w:sz w:val="21"/>
                <w:szCs w:val="20"/>
              </w:rPr>
              <w:t>六</w:t>
            </w:r>
          </w:p>
        </w:tc>
        <w:tc>
          <w:tcPr>
            <w:tcW w:w="320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静态总投资</w:t>
            </w:r>
          </w:p>
        </w:tc>
        <w:tc>
          <w:tcPr>
            <w:tcW w:w="28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 xml:space="preserve">13.54 </w:t>
            </w:r>
          </w:p>
        </w:tc>
        <w:tc>
          <w:tcPr>
            <w:tcW w:w="144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cs="Times New Roman"/>
                <w:sz w:val="21"/>
                <w:szCs w:val="20"/>
              </w:rPr>
            </w:pPr>
            <w:r>
              <w:rPr>
                <w:rFonts w:hint="default" w:ascii="Times New Roman" w:hAnsi="Times New Roman" w:cs="Times New Roman"/>
                <w:sz w:val="21"/>
                <w:szCs w:val="20"/>
                <w:lang w:val="en-US" w:eastAsia="zh-CN"/>
              </w:rPr>
              <w:t>100.00</w:t>
            </w:r>
          </w:p>
        </w:tc>
      </w:tr>
    </w:tbl>
    <w:p>
      <w:pPr>
        <w:snapToGrid w:val="0"/>
        <w:ind w:firstLine="0" w:firstLineChars="0"/>
        <w:jc w:val="center"/>
        <w:rPr>
          <w:rFonts w:eastAsia="黑体"/>
          <w:sz w:val="21"/>
        </w:rPr>
      </w:pPr>
    </w:p>
    <w:p>
      <w:pPr>
        <w:ind w:firstLine="480"/>
      </w:pPr>
    </w:p>
    <w:p>
      <w:pPr>
        <w:ind w:firstLine="480"/>
      </w:pPr>
    </w:p>
    <w:p>
      <w:pPr>
        <w:ind w:firstLine="480"/>
      </w:pPr>
    </w:p>
    <w:p>
      <w:pPr>
        <w:ind w:firstLine="480"/>
      </w:pPr>
    </w:p>
    <w:p>
      <w:pPr>
        <w:ind w:firstLine="480"/>
      </w:pPr>
    </w:p>
    <w:p>
      <w:pPr>
        <w:ind w:firstLine="480"/>
      </w:pPr>
    </w:p>
    <w:p>
      <w:pPr>
        <w:ind w:firstLine="480"/>
      </w:pPr>
      <w:r>
        <w:rPr>
          <w:rFonts w:hint="eastAsia"/>
        </w:rPr>
        <w:br w:type="page"/>
      </w:r>
    </w:p>
    <w:p>
      <w:pPr>
        <w:snapToGrid w:val="0"/>
        <w:ind w:firstLine="0" w:firstLineChars="0"/>
        <w:jc w:val="center"/>
        <w:rPr>
          <w:rFonts w:eastAsia="黑体"/>
          <w:sz w:val="21"/>
        </w:rPr>
      </w:pPr>
      <w:r>
        <w:rPr>
          <w:rFonts w:hint="eastAsia" w:eastAsia="黑体"/>
          <w:sz w:val="21"/>
        </w:rPr>
        <w:t>表8.2-2工程施工费估算表</w:t>
      </w:r>
    </w:p>
    <w:tbl>
      <w:tblPr>
        <w:tblStyle w:val="88"/>
        <w:tblW w:w="9093"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27"/>
        <w:gridCol w:w="1352"/>
        <w:gridCol w:w="1139"/>
        <w:gridCol w:w="709"/>
        <w:gridCol w:w="784"/>
        <w:gridCol w:w="977"/>
        <w:gridCol w:w="1162"/>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序号</w:t>
            </w:r>
          </w:p>
        </w:tc>
        <w:tc>
          <w:tcPr>
            <w:tcW w:w="92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定额</w:t>
            </w:r>
          </w:p>
          <w:p>
            <w:pPr>
              <w:widowControl/>
              <w:snapToGrid w:val="0"/>
              <w:spacing w:line="240" w:lineRule="auto"/>
              <w:ind w:firstLine="0" w:firstLineChars="0"/>
              <w:jc w:val="center"/>
              <w:rPr>
                <w:color w:val="000000"/>
                <w:sz w:val="21"/>
                <w:szCs w:val="21"/>
              </w:rPr>
            </w:pPr>
            <w:r>
              <w:rPr>
                <w:color w:val="000000"/>
                <w:kern w:val="0"/>
                <w:sz w:val="21"/>
                <w:szCs w:val="21"/>
                <w:lang w:bidi="ar"/>
              </w:rPr>
              <w:t>编号</w:t>
            </w: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工程名称</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单位</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工程量</w:t>
            </w:r>
          </w:p>
        </w:tc>
        <w:tc>
          <w:tcPr>
            <w:tcW w:w="977" w:type="dxa"/>
            <w:shd w:val="clear" w:color="auto" w:fill="auto"/>
            <w:noWrap/>
            <w:vAlign w:val="center"/>
          </w:tcPr>
          <w:p>
            <w:pPr>
              <w:widowControl/>
              <w:snapToGrid w:val="0"/>
              <w:spacing w:line="240" w:lineRule="auto"/>
              <w:ind w:firstLine="0" w:firstLineChars="0"/>
              <w:jc w:val="center"/>
              <w:rPr>
                <w:color w:val="000000"/>
                <w:kern w:val="0"/>
                <w:sz w:val="21"/>
                <w:szCs w:val="21"/>
                <w:lang w:bidi="ar"/>
              </w:rPr>
            </w:pPr>
            <w:r>
              <w:rPr>
                <w:color w:val="000000"/>
                <w:kern w:val="0"/>
                <w:sz w:val="21"/>
                <w:szCs w:val="21"/>
                <w:lang w:bidi="ar"/>
              </w:rPr>
              <w:t>综合</w:t>
            </w:r>
          </w:p>
          <w:p>
            <w:pPr>
              <w:widowControl/>
              <w:snapToGrid w:val="0"/>
              <w:spacing w:line="240" w:lineRule="auto"/>
              <w:ind w:firstLine="0" w:firstLineChars="0"/>
              <w:jc w:val="center"/>
              <w:rPr>
                <w:color w:val="000000"/>
                <w:sz w:val="21"/>
                <w:szCs w:val="21"/>
              </w:rPr>
            </w:pPr>
            <w:r>
              <w:rPr>
                <w:color w:val="000000"/>
                <w:kern w:val="0"/>
                <w:sz w:val="21"/>
                <w:szCs w:val="21"/>
                <w:lang w:bidi="ar"/>
              </w:rPr>
              <w:t>单价</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小计（元）</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小计（万元）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土壤重构工程</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72234.18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表土剥离工程（耕地区）</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9485.96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10305</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推土机推土-二类土-10m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20.13</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471.23</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9485.96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表土剥离工程（</w:t>
            </w:r>
            <w:r>
              <w:rPr>
                <w:rFonts w:hint="eastAsia"/>
                <w:color w:val="000000"/>
                <w:kern w:val="0"/>
                <w:sz w:val="21"/>
                <w:szCs w:val="21"/>
                <w:lang w:eastAsia="zh-CN" w:bidi="ar"/>
              </w:rPr>
              <w:t>林地及草地区</w:t>
            </w:r>
            <w:r>
              <w:rPr>
                <w:color w:val="000000"/>
                <w:kern w:val="0"/>
                <w:sz w:val="21"/>
                <w:szCs w:val="21"/>
                <w:lang w:bidi="ar"/>
              </w:rPr>
              <w:t>）</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8055.29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10305</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推土机推土-二类土-10m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17.09</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471.23</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8055.29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（三）</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表土回覆工程（耕地区）</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9485.96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10305</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推土机推土-二类土-10m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20.13</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471.23</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9485.96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（四）</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表土回覆工程（</w:t>
            </w:r>
            <w:r>
              <w:rPr>
                <w:rFonts w:hint="eastAsia"/>
                <w:color w:val="000000"/>
                <w:kern w:val="0"/>
                <w:sz w:val="21"/>
                <w:szCs w:val="21"/>
                <w:lang w:eastAsia="zh-CN" w:bidi="ar"/>
              </w:rPr>
              <w:t>林地及草地区</w:t>
            </w:r>
            <w:r>
              <w:rPr>
                <w:color w:val="000000"/>
                <w:kern w:val="0"/>
                <w:sz w:val="21"/>
                <w:szCs w:val="21"/>
                <w:lang w:bidi="ar"/>
              </w:rPr>
              <w:t>）</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8055.29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10305</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推土机推土-二类土-10m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17.09</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471.23</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8055.29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（五）</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土地平整工程</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24254.72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10313</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推土机推土-三类土-10m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43.59</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556.44</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24254.72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（六）</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土壤培肥（耕地区）</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7518.95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参90030</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施有机-无机混合肥-1500kg</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1.0131</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7421.73</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7518.95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（七）</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土壤培肥（</w:t>
            </w:r>
            <w:r>
              <w:rPr>
                <w:rFonts w:hint="eastAsia"/>
                <w:color w:val="000000"/>
                <w:kern w:val="0"/>
                <w:sz w:val="21"/>
                <w:szCs w:val="21"/>
                <w:lang w:eastAsia="zh-CN" w:bidi="ar"/>
              </w:rPr>
              <w:t>林地及草地区</w:t>
            </w:r>
            <w:r>
              <w:rPr>
                <w:color w:val="000000"/>
                <w:kern w:val="0"/>
                <w:sz w:val="21"/>
                <w:szCs w:val="21"/>
                <w:lang w:bidi="ar"/>
              </w:rPr>
              <w:t>）</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601.54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参90030</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施有机-无机混合肥-450kg</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0.2442</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2463.30</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601.54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（八）</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土地翻耕工程</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4359.92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10043</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土地翻耕-二类土</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1.2573</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3467.68</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4359.92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（九）</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修建挡水梗</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416.57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10302</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推土机推土-二类土-10m</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2.20</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189.54</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416.57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927" w:type="dxa"/>
            <w:shd w:val="clear" w:color="auto" w:fill="auto"/>
            <w:noWrap/>
            <w:vAlign w:val="center"/>
          </w:tcPr>
          <w:p>
            <w:pPr>
              <w:widowControl/>
              <w:snapToGrid w:val="0"/>
              <w:spacing w:line="240" w:lineRule="auto"/>
              <w:ind w:firstLine="0" w:firstLineChars="0"/>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植被恢复工程</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873.74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2491" w:type="dxa"/>
            <w:gridSpan w:val="2"/>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撒播草籽（</w:t>
            </w:r>
            <w:r>
              <w:rPr>
                <w:rFonts w:hint="eastAsia"/>
                <w:color w:val="000000"/>
                <w:kern w:val="0"/>
                <w:sz w:val="21"/>
                <w:szCs w:val="21"/>
                <w:lang w:eastAsia="zh-CN" w:bidi="ar"/>
              </w:rPr>
              <w:t>林地及草地区</w:t>
            </w:r>
            <w:r>
              <w:rPr>
                <w:color w:val="000000"/>
                <w:kern w:val="0"/>
                <w:sz w:val="21"/>
                <w:szCs w:val="21"/>
                <w:lang w:bidi="ar"/>
              </w:rPr>
              <w:t>）</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873.74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5"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92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90031</w:t>
            </w:r>
          </w:p>
        </w:tc>
        <w:tc>
          <w:tcPr>
            <w:tcW w:w="135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供水管线用地</w:t>
            </w:r>
          </w:p>
        </w:tc>
        <w:tc>
          <w:tcPr>
            <w:tcW w:w="1139" w:type="dxa"/>
            <w:shd w:val="clear" w:color="auto" w:fill="auto"/>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撒播-覆土-草籽35kg</w:t>
            </w:r>
          </w:p>
        </w:tc>
        <w:tc>
          <w:tcPr>
            <w:tcW w:w="709"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784"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0.2442</w:t>
            </w:r>
          </w:p>
        </w:tc>
        <w:tc>
          <w:tcPr>
            <w:tcW w:w="977"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3577.98</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873.74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673" w:type="dxa"/>
            <w:gridSpan w:val="7"/>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合计</w:t>
            </w:r>
          </w:p>
        </w:tc>
        <w:tc>
          <w:tcPr>
            <w:tcW w:w="1162"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73107.93 </w:t>
            </w:r>
          </w:p>
        </w:tc>
        <w:tc>
          <w:tcPr>
            <w:tcW w:w="1258" w:type="dxa"/>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7.31</w:t>
            </w:r>
          </w:p>
        </w:tc>
      </w:tr>
    </w:tbl>
    <w:p>
      <w:pPr>
        <w:ind w:firstLine="480"/>
        <w:jc w:val="center"/>
      </w:pPr>
      <w:r>
        <w:rPr>
          <w:rFonts w:hint="eastAsia"/>
        </w:rPr>
        <w:t>表8.2-3其他费用估算表</w:t>
      </w:r>
    </w:p>
    <w:tbl>
      <w:tblPr>
        <w:tblStyle w:val="88"/>
        <w:tblW w:w="9106" w:type="dxa"/>
        <w:tblInd w:w="76" w:type="dxa"/>
        <w:tblLayout w:type="fixed"/>
        <w:tblCellMar>
          <w:top w:w="0" w:type="dxa"/>
          <w:left w:w="108" w:type="dxa"/>
          <w:bottom w:w="0" w:type="dxa"/>
          <w:right w:w="108" w:type="dxa"/>
        </w:tblCellMar>
      </w:tblPr>
      <w:tblGrid>
        <w:gridCol w:w="973"/>
        <w:gridCol w:w="2758"/>
        <w:gridCol w:w="2129"/>
        <w:gridCol w:w="1676"/>
        <w:gridCol w:w="1570"/>
      </w:tblGrid>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27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费用名称</w:t>
            </w:r>
          </w:p>
        </w:tc>
        <w:tc>
          <w:tcPr>
            <w:tcW w:w="212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费基（万元）</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费率（％）</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金额（万元）</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一</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前期工作费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土地与生态现状调查费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土地勘测费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土地复垦方案编制费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阶段实施方案编制费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科研试验费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6</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工程招标代理费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0.00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二</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工程监理费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0.90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三</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竣工验收费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1.20</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工程复核费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工程验收费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工程决算编制与审计费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复垦后土地重估与登记费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标识设定费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7.31</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r>
      <w:tr>
        <w:tblPrEx>
          <w:tblLayout w:type="fixed"/>
          <w:tblCellMar>
            <w:top w:w="0" w:type="dxa"/>
            <w:left w:w="108" w:type="dxa"/>
            <w:bottom w:w="0" w:type="dxa"/>
            <w:right w:w="108" w:type="dxa"/>
          </w:tblCellMar>
        </w:tblPrEx>
        <w:trPr>
          <w:trHeight w:val="312" w:hRule="atLeast"/>
        </w:trPr>
        <w:tc>
          <w:tcPr>
            <w:tcW w:w="9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四</w:t>
            </w:r>
          </w:p>
        </w:tc>
        <w:tc>
          <w:tcPr>
            <w:tcW w:w="2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业主管理费</w:t>
            </w:r>
          </w:p>
        </w:tc>
        <w:tc>
          <w:tcPr>
            <w:tcW w:w="21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sz w:val="21"/>
                <w:szCs w:val="21"/>
                <w:lang w:val="en-US" w:eastAsia="zh-CN"/>
              </w:rPr>
              <w:t xml:space="preserve">7.31 </w:t>
            </w:r>
          </w:p>
        </w:tc>
        <w:tc>
          <w:tcPr>
            <w:tcW w:w="167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按照实际发生</w:t>
            </w:r>
          </w:p>
        </w:tc>
        <w:tc>
          <w:tcPr>
            <w:tcW w:w="15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0.60</w:t>
            </w:r>
          </w:p>
        </w:tc>
      </w:tr>
      <w:tr>
        <w:tblPrEx>
          <w:tblLayout w:type="fixed"/>
          <w:tblCellMar>
            <w:top w:w="0" w:type="dxa"/>
            <w:left w:w="108" w:type="dxa"/>
            <w:bottom w:w="0" w:type="dxa"/>
            <w:right w:w="108" w:type="dxa"/>
          </w:tblCellMar>
        </w:tblPrEx>
        <w:trPr>
          <w:trHeight w:val="312" w:hRule="atLeast"/>
        </w:trPr>
        <w:tc>
          <w:tcPr>
            <w:tcW w:w="7536"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sz w:val="21"/>
                <w:szCs w:val="21"/>
              </w:rPr>
            </w:pPr>
            <w:r>
              <w:rPr>
                <w:sz w:val="21"/>
                <w:szCs w:val="21"/>
              </w:rPr>
              <w:t>总计</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sz w:val="21"/>
                <w:szCs w:val="21"/>
              </w:rPr>
            </w:pPr>
            <w:r>
              <w:rPr>
                <w:sz w:val="21"/>
                <w:szCs w:val="21"/>
              </w:rPr>
              <w:t>2.</w:t>
            </w:r>
            <w:r>
              <w:rPr>
                <w:rFonts w:hint="eastAsia"/>
                <w:sz w:val="21"/>
                <w:szCs w:val="21"/>
                <w:lang w:val="en-US" w:eastAsia="zh-CN"/>
              </w:rPr>
              <w:t>7</w:t>
            </w:r>
            <w:r>
              <w:rPr>
                <w:sz w:val="21"/>
                <w:szCs w:val="21"/>
              </w:rPr>
              <w:t>0</w:t>
            </w:r>
          </w:p>
        </w:tc>
      </w:tr>
    </w:tbl>
    <w:p>
      <w:pPr>
        <w:snapToGrid w:val="0"/>
        <w:ind w:firstLine="0" w:firstLineChars="0"/>
        <w:jc w:val="center"/>
        <w:rPr>
          <w:rFonts w:eastAsia="黑体"/>
          <w:sz w:val="21"/>
        </w:rPr>
      </w:pPr>
      <w:r>
        <w:rPr>
          <w:rFonts w:hint="eastAsia" w:eastAsia="黑体"/>
          <w:sz w:val="21"/>
        </w:rPr>
        <w:t>表8.2-4土地复垦基本预备费估算表</w:t>
      </w:r>
    </w:p>
    <w:tbl>
      <w:tblPr>
        <w:tblStyle w:val="88"/>
        <w:tblW w:w="9072" w:type="dxa"/>
        <w:jc w:val="center"/>
        <w:tblInd w:w="0" w:type="dxa"/>
        <w:tblLayout w:type="fixed"/>
        <w:tblCellMar>
          <w:top w:w="0" w:type="dxa"/>
          <w:left w:w="0" w:type="dxa"/>
          <w:bottom w:w="0" w:type="dxa"/>
          <w:right w:w="0" w:type="dxa"/>
        </w:tblCellMar>
      </w:tblPr>
      <w:tblGrid>
        <w:gridCol w:w="1477"/>
        <w:gridCol w:w="1683"/>
        <w:gridCol w:w="1478"/>
        <w:gridCol w:w="1478"/>
        <w:gridCol w:w="1478"/>
        <w:gridCol w:w="1478"/>
      </w:tblGrid>
      <w:tr>
        <w:tblPrEx>
          <w:tblLayout w:type="fixed"/>
          <w:tblCellMar>
            <w:top w:w="0" w:type="dxa"/>
            <w:left w:w="0" w:type="dxa"/>
            <w:bottom w:w="0" w:type="dxa"/>
            <w:right w:w="0" w:type="dxa"/>
          </w:tblCellMar>
        </w:tblPrEx>
        <w:trPr>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序号</w:t>
            </w:r>
          </w:p>
        </w:tc>
        <w:tc>
          <w:tcPr>
            <w:tcW w:w="1683" w:type="dxa"/>
            <w:vMerge w:val="restart"/>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费用名称</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工程施工费</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其他费用</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费率</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合计</w:t>
            </w:r>
          </w:p>
        </w:tc>
      </w:tr>
      <w:tr>
        <w:tblPrEx>
          <w:tblLayout w:type="fixed"/>
          <w:tblCellMar>
            <w:top w:w="0" w:type="dxa"/>
            <w:left w:w="0" w:type="dxa"/>
            <w:bottom w:w="0" w:type="dxa"/>
            <w:right w:w="0" w:type="dxa"/>
          </w:tblCellMar>
        </w:tblPrEx>
        <w:trPr>
          <w:jc w:val="center"/>
        </w:trPr>
        <w:tc>
          <w:tcPr>
            <w:tcW w:w="147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sz w:val="21"/>
                <w:szCs w:val="20"/>
              </w:rPr>
            </w:pPr>
          </w:p>
        </w:tc>
        <w:tc>
          <w:tcPr>
            <w:tcW w:w="168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sz w:val="21"/>
                <w:szCs w:val="20"/>
              </w:rPr>
            </w:pP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万元</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万元</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eastAsia="宋体"/>
                <w:sz w:val="21"/>
                <w:szCs w:val="20"/>
              </w:rPr>
            </w:pPr>
            <w:r>
              <w:rPr>
                <w:rFonts w:eastAsia="宋体"/>
                <w:sz w:val="21"/>
                <w:szCs w:val="20"/>
              </w:rPr>
              <w:t>%</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万元</w:t>
            </w:r>
          </w:p>
        </w:tc>
      </w:tr>
      <w:tr>
        <w:tblPrEx>
          <w:tblLayout w:type="fixed"/>
          <w:tblCellMar>
            <w:top w:w="0" w:type="dxa"/>
            <w:left w:w="0" w:type="dxa"/>
            <w:bottom w:w="0" w:type="dxa"/>
            <w:right w:w="0" w:type="dxa"/>
          </w:tblCellMar>
        </w:tblPrEx>
        <w:trPr>
          <w:jc w:val="center"/>
        </w:trPr>
        <w:tc>
          <w:tcPr>
            <w:tcW w:w="1477"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eastAsia="宋体"/>
                <w:sz w:val="21"/>
                <w:szCs w:val="20"/>
              </w:rPr>
            </w:pPr>
            <w:r>
              <w:rPr>
                <w:rFonts w:eastAsia="宋体"/>
                <w:sz w:val="21"/>
                <w:szCs w:val="20"/>
              </w:rPr>
              <w:t>1</w:t>
            </w:r>
          </w:p>
        </w:tc>
        <w:tc>
          <w:tcPr>
            <w:tcW w:w="168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基本预备费</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7.31</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2.70</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3</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0.30</w:t>
            </w:r>
          </w:p>
        </w:tc>
      </w:tr>
      <w:tr>
        <w:tblPrEx>
          <w:tblLayout w:type="fixed"/>
          <w:tblCellMar>
            <w:top w:w="0" w:type="dxa"/>
            <w:left w:w="0" w:type="dxa"/>
            <w:bottom w:w="0" w:type="dxa"/>
            <w:right w:w="0" w:type="dxa"/>
          </w:tblCellMar>
        </w:tblPrEx>
        <w:trPr>
          <w:jc w:val="center"/>
        </w:trPr>
        <w:tc>
          <w:tcPr>
            <w:tcW w:w="3160" w:type="dxa"/>
            <w:gridSpan w:val="2"/>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0"/>
              </w:rPr>
            </w:pPr>
            <w:r>
              <w:rPr>
                <w:rFonts w:hint="eastAsia"/>
                <w:sz w:val="21"/>
                <w:szCs w:val="20"/>
              </w:rPr>
              <w:t>总</w:t>
            </w:r>
            <w:r>
              <w:rPr>
                <w:sz w:val="21"/>
                <w:szCs w:val="20"/>
              </w:rPr>
              <w:t>计</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w:t>
            </w:r>
          </w:p>
        </w:tc>
        <w:tc>
          <w:tcPr>
            <w:tcW w:w="147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rFonts w:ascii="Times New Roman" w:hAnsi="Times New Roman" w:cs="Times New Roman"/>
                <w:sz w:val="21"/>
                <w:szCs w:val="20"/>
              </w:rPr>
            </w:pPr>
            <w:r>
              <w:rPr>
                <w:rFonts w:hint="default" w:ascii="Times New Roman" w:hAnsi="Times New Roman" w:cs="Times New Roman"/>
                <w:sz w:val="21"/>
                <w:szCs w:val="20"/>
                <w:lang w:val="en-US" w:eastAsia="zh-CN"/>
              </w:rPr>
              <w:t>0.30</w:t>
            </w:r>
          </w:p>
        </w:tc>
      </w:tr>
    </w:tbl>
    <w:p>
      <w:pPr>
        <w:snapToGrid w:val="0"/>
        <w:ind w:firstLine="0" w:firstLineChars="0"/>
        <w:jc w:val="center"/>
        <w:rPr>
          <w:rFonts w:eastAsia="黑体"/>
          <w:sz w:val="21"/>
        </w:rPr>
      </w:pPr>
      <w:r>
        <w:rPr>
          <w:rFonts w:hint="eastAsia" w:eastAsia="黑体"/>
          <w:sz w:val="21"/>
        </w:rPr>
        <w:t>表8.2-5复垦监测费与管护费用估算表</w:t>
      </w:r>
    </w:p>
    <w:tbl>
      <w:tblPr>
        <w:tblStyle w:val="88"/>
        <w:tblW w:w="9119" w:type="dxa"/>
        <w:tblInd w:w="77" w:type="dxa"/>
        <w:tblLayout w:type="fixed"/>
        <w:tblCellMar>
          <w:top w:w="0" w:type="dxa"/>
          <w:left w:w="108" w:type="dxa"/>
          <w:bottom w:w="0" w:type="dxa"/>
          <w:right w:w="108" w:type="dxa"/>
        </w:tblCellMar>
      </w:tblPr>
      <w:tblGrid>
        <w:gridCol w:w="758"/>
        <w:gridCol w:w="995"/>
        <w:gridCol w:w="1128"/>
        <w:gridCol w:w="1500"/>
        <w:gridCol w:w="792"/>
        <w:gridCol w:w="826"/>
        <w:gridCol w:w="999"/>
        <w:gridCol w:w="1114"/>
        <w:gridCol w:w="1007"/>
      </w:tblGrid>
      <w:tr>
        <w:tblPrEx>
          <w:tblLayout w:type="fixed"/>
          <w:tblCellMar>
            <w:top w:w="0" w:type="dxa"/>
            <w:left w:w="108" w:type="dxa"/>
            <w:bottom w:w="0" w:type="dxa"/>
            <w:right w:w="108" w:type="dxa"/>
          </w:tblCellMar>
        </w:tblPrEx>
        <w:trPr>
          <w:trHeight w:val="312" w:hRule="atLeast"/>
          <w:tblHeader/>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定额</w:t>
            </w:r>
          </w:p>
          <w:p>
            <w:pPr>
              <w:widowControl/>
              <w:snapToGrid w:val="0"/>
              <w:spacing w:line="240" w:lineRule="auto"/>
              <w:ind w:firstLine="0" w:firstLineChars="0"/>
              <w:jc w:val="center"/>
              <w:rPr>
                <w:sz w:val="21"/>
                <w:szCs w:val="21"/>
              </w:rPr>
            </w:pPr>
            <w:r>
              <w:rPr>
                <w:kern w:val="0"/>
                <w:sz w:val="21"/>
                <w:szCs w:val="21"/>
                <w:lang w:bidi="ar"/>
              </w:rPr>
              <w:t>编号</w:t>
            </w: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工程名称</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单位</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工程量</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综合</w:t>
            </w:r>
          </w:p>
          <w:p>
            <w:pPr>
              <w:widowControl/>
              <w:snapToGrid w:val="0"/>
              <w:spacing w:line="240" w:lineRule="auto"/>
              <w:ind w:firstLine="0" w:firstLineChars="0"/>
              <w:jc w:val="center"/>
              <w:rPr>
                <w:sz w:val="21"/>
                <w:szCs w:val="21"/>
              </w:rPr>
            </w:pPr>
            <w:r>
              <w:rPr>
                <w:kern w:val="0"/>
                <w:sz w:val="21"/>
                <w:szCs w:val="21"/>
                <w:lang w:bidi="ar"/>
              </w:rPr>
              <w:t>单价</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小计（元）</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小计</w:t>
            </w:r>
          </w:p>
          <w:p>
            <w:pPr>
              <w:widowControl/>
              <w:snapToGrid w:val="0"/>
              <w:spacing w:line="240" w:lineRule="auto"/>
              <w:ind w:firstLine="0" w:firstLineChars="0"/>
              <w:jc w:val="center"/>
              <w:rPr>
                <w:sz w:val="21"/>
                <w:szCs w:val="21"/>
              </w:rPr>
            </w:pPr>
            <w:r>
              <w:rPr>
                <w:kern w:val="0"/>
                <w:sz w:val="21"/>
                <w:szCs w:val="21"/>
                <w:lang w:bidi="ar"/>
              </w:rPr>
              <w:t>（万元）</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995" w:type="dxa"/>
            <w:tcBorders>
              <w:top w:val="single" w:color="000000" w:sz="4" w:space="0"/>
              <w:left w:val="single" w:color="000000" w:sz="4" w:space="0"/>
              <w:bottom w:val="single" w:color="000000" w:sz="4" w:space="0"/>
              <w:right w:val="nil"/>
            </w:tcBorders>
            <w:noWrap/>
            <w:vAlign w:val="center"/>
          </w:tcPr>
          <w:p>
            <w:pPr>
              <w:widowControl/>
              <w:snapToGrid w:val="0"/>
              <w:spacing w:line="240" w:lineRule="auto"/>
              <w:ind w:firstLine="0" w:firstLineChars="0"/>
              <w:jc w:val="center"/>
              <w:rPr>
                <w:kern w:val="0"/>
                <w:sz w:val="21"/>
                <w:szCs w:val="21"/>
                <w:lang w:bidi="ar"/>
              </w:rPr>
            </w:pP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监测工程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23700.00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2.37</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项目区</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土地损毁监测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500.00</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3000.00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0.30</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12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1"/>
                <w:szCs w:val="21"/>
                <w:lang w:bidi="ar"/>
              </w:rPr>
            </w:pPr>
            <w:r>
              <w:rPr>
                <w:kern w:val="0"/>
                <w:sz w:val="21"/>
                <w:szCs w:val="21"/>
                <w:lang w:bidi="ar"/>
              </w:rPr>
              <w:t>复垦效果监测</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植被监测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27</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500.00</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13500.00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1.35</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1"/>
                <w:szCs w:val="21"/>
                <w:lang w:bidi="ar"/>
              </w:rPr>
            </w:pP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土壤监测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600.00</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7200.00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0.72</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w:t>
            </w:r>
          </w:p>
        </w:tc>
        <w:tc>
          <w:tcPr>
            <w:tcW w:w="995" w:type="dxa"/>
            <w:tcBorders>
              <w:top w:val="single" w:color="000000" w:sz="4" w:space="0"/>
              <w:left w:val="single" w:color="000000" w:sz="4" w:space="0"/>
              <w:bottom w:val="single" w:color="000000" w:sz="4" w:space="0"/>
              <w:right w:val="nil"/>
            </w:tcBorders>
            <w:noWrap/>
            <w:vAlign w:val="center"/>
          </w:tcPr>
          <w:p>
            <w:pPr>
              <w:widowControl/>
              <w:snapToGrid w:val="0"/>
              <w:spacing w:line="240" w:lineRule="auto"/>
              <w:ind w:firstLine="0" w:firstLineChars="0"/>
              <w:jc w:val="center"/>
              <w:rPr>
                <w:kern w:val="0"/>
                <w:sz w:val="21"/>
                <w:szCs w:val="21"/>
                <w:lang w:bidi="ar"/>
              </w:rPr>
            </w:pP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管护工程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8631.02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0.86</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995" w:type="dxa"/>
            <w:tcBorders>
              <w:top w:val="single" w:color="000000" w:sz="4" w:space="0"/>
              <w:left w:val="single" w:color="000000" w:sz="4" w:space="0"/>
              <w:bottom w:val="single" w:color="000000" w:sz="4" w:space="0"/>
              <w:right w:val="nil"/>
            </w:tcBorders>
            <w:noWrap/>
            <w:vAlign w:val="center"/>
          </w:tcPr>
          <w:p>
            <w:pPr>
              <w:widowControl/>
              <w:snapToGrid w:val="0"/>
              <w:spacing w:line="240" w:lineRule="auto"/>
              <w:ind w:firstLine="0" w:firstLineChars="0"/>
              <w:jc w:val="center"/>
              <w:rPr>
                <w:kern w:val="0"/>
                <w:sz w:val="21"/>
                <w:szCs w:val="21"/>
                <w:lang w:bidi="ar"/>
              </w:rPr>
            </w:pP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洒水灌溉工程</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8427.24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0.84</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参公路8007041</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洒水</w:t>
            </w:r>
            <w:r>
              <w:rPr>
                <w:kern w:val="0"/>
                <w:sz w:val="21"/>
                <w:szCs w:val="21"/>
                <w:lang w:bidi="ar"/>
              </w:rPr>
              <w:t>-3300m</w:t>
            </w:r>
            <w:r>
              <w:rPr>
                <w:kern w:val="0"/>
                <w:sz w:val="21"/>
                <w:szCs w:val="21"/>
                <w:vertAlign w:val="superscript"/>
                <w:lang w:bidi="ar"/>
              </w:rPr>
              <w:t>3</w:t>
            </w:r>
            <w:r>
              <w:rPr>
                <w:kern w:val="0"/>
                <w:sz w:val="21"/>
                <w:szCs w:val="21"/>
                <w:lang w:bidi="ar"/>
              </w:rPr>
              <w:t>/hm</w:t>
            </w:r>
            <w:r>
              <w:rPr>
                <w:kern w:val="0"/>
                <w:sz w:val="21"/>
                <w:szCs w:val="21"/>
                <w:vertAlign w:val="superscript"/>
                <w:lang w:bidi="ar"/>
              </w:rPr>
              <w:t>2</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34509.58</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8427.24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0.84</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w:t>
            </w:r>
          </w:p>
        </w:tc>
        <w:tc>
          <w:tcPr>
            <w:tcW w:w="995" w:type="dxa"/>
            <w:tcBorders>
              <w:top w:val="single" w:color="000000" w:sz="4" w:space="0"/>
              <w:left w:val="single" w:color="000000" w:sz="4" w:space="0"/>
              <w:bottom w:val="single" w:color="000000" w:sz="4" w:space="0"/>
              <w:right w:val="nil"/>
            </w:tcBorders>
            <w:noWrap/>
            <w:vAlign w:val="center"/>
          </w:tcPr>
          <w:p>
            <w:pPr>
              <w:widowControl/>
              <w:snapToGrid w:val="0"/>
              <w:spacing w:line="240" w:lineRule="auto"/>
              <w:ind w:firstLine="0" w:firstLineChars="0"/>
              <w:jc w:val="center"/>
              <w:rPr>
                <w:kern w:val="0"/>
                <w:sz w:val="21"/>
                <w:szCs w:val="21"/>
                <w:lang w:bidi="ar"/>
              </w:rPr>
            </w:pP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补播种草（</w:t>
            </w:r>
            <w:r>
              <w:rPr>
                <w:rFonts w:hint="eastAsia"/>
                <w:kern w:val="0"/>
                <w:sz w:val="21"/>
                <w:szCs w:val="21"/>
                <w:lang w:eastAsia="zh-CN" w:bidi="ar"/>
              </w:rPr>
              <w:t>林地及草地区</w:t>
            </w:r>
            <w:r>
              <w:rPr>
                <w:rFonts w:hint="eastAsia"/>
                <w:kern w:val="0"/>
                <w:sz w:val="21"/>
                <w:szCs w:val="21"/>
                <w:lang w:bidi="ar"/>
              </w:rPr>
              <w:t>）</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203.78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w:t>
            </w:r>
          </w:p>
        </w:tc>
      </w:tr>
      <w:tr>
        <w:tblPrEx>
          <w:tblLayout w:type="fixed"/>
          <w:tblCellMar>
            <w:top w:w="0" w:type="dxa"/>
            <w:left w:w="108" w:type="dxa"/>
            <w:bottom w:w="0" w:type="dxa"/>
            <w:right w:w="108" w:type="dxa"/>
          </w:tblCellMar>
        </w:tblPrEx>
        <w:trPr>
          <w:trHeight w:val="312" w:hRule="atLeast"/>
        </w:trPr>
        <w:tc>
          <w:tcPr>
            <w:tcW w:w="7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90030</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撒播</w:t>
            </w:r>
            <w:r>
              <w:rPr>
                <w:kern w:val="0"/>
                <w:sz w:val="21"/>
                <w:szCs w:val="21"/>
                <w:lang w:bidi="ar"/>
              </w:rPr>
              <w:t>-</w:t>
            </w:r>
            <w:r>
              <w:rPr>
                <w:rFonts w:hint="eastAsia"/>
                <w:kern w:val="0"/>
                <w:sz w:val="21"/>
                <w:szCs w:val="21"/>
                <w:lang w:bidi="ar"/>
              </w:rPr>
              <w:t>不覆土</w:t>
            </w:r>
            <w:r>
              <w:rPr>
                <w:kern w:val="0"/>
                <w:sz w:val="21"/>
                <w:szCs w:val="21"/>
                <w:lang w:bidi="ar"/>
              </w:rPr>
              <w:t>-</w:t>
            </w:r>
            <w:r>
              <w:rPr>
                <w:rFonts w:hint="eastAsia"/>
                <w:kern w:val="0"/>
                <w:sz w:val="21"/>
                <w:szCs w:val="21"/>
                <w:lang w:bidi="ar"/>
              </w:rPr>
              <w:t>草籽</w:t>
            </w:r>
            <w:r>
              <w:rPr>
                <w:kern w:val="0"/>
                <w:sz w:val="21"/>
                <w:szCs w:val="21"/>
                <w:lang w:bidi="ar"/>
              </w:rPr>
              <w:t>35kg</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0.0855</w:t>
            </w:r>
          </w:p>
        </w:tc>
        <w:tc>
          <w:tcPr>
            <w:tcW w:w="99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2384.24</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203.78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0.02</w:t>
            </w:r>
          </w:p>
        </w:tc>
      </w:tr>
      <w:tr>
        <w:tblPrEx>
          <w:tblLayout w:type="fixed"/>
          <w:tblCellMar>
            <w:top w:w="0" w:type="dxa"/>
            <w:left w:w="108" w:type="dxa"/>
            <w:bottom w:w="0" w:type="dxa"/>
            <w:right w:w="108" w:type="dxa"/>
          </w:tblCellMar>
        </w:tblPrEx>
        <w:trPr>
          <w:trHeight w:val="312" w:hRule="atLeast"/>
        </w:trPr>
        <w:tc>
          <w:tcPr>
            <w:tcW w:w="6998" w:type="dxa"/>
            <w:gridSpan w:val="7"/>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合计</w:t>
            </w:r>
          </w:p>
        </w:tc>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 xml:space="preserve">32331.02 </w:t>
            </w:r>
          </w:p>
        </w:tc>
        <w:tc>
          <w:tcPr>
            <w:tcW w:w="100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3.23</w:t>
            </w:r>
          </w:p>
        </w:tc>
      </w:tr>
    </w:tbl>
    <w:p>
      <w:pPr>
        <w:ind w:firstLine="480"/>
      </w:pPr>
      <w:r>
        <w:rPr>
          <w:rFonts w:hint="eastAsia"/>
        </w:rPr>
        <w:br w:type="page"/>
      </w:r>
    </w:p>
    <w:p>
      <w:pPr>
        <w:ind w:firstLine="0" w:firstLineChars="0"/>
        <w:jc w:val="center"/>
        <w:rPr>
          <w:rFonts w:eastAsia="黑体"/>
          <w:sz w:val="21"/>
        </w:rPr>
      </w:pPr>
      <w:r>
        <w:rPr>
          <w:rFonts w:hint="eastAsia" w:eastAsia="黑体"/>
          <w:sz w:val="21"/>
        </w:rPr>
        <w:t>表8.2-6综合定额单价分析表</w:t>
      </w:r>
    </w:p>
    <w:tbl>
      <w:tblPr>
        <w:tblStyle w:val="88"/>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0"/>
        <w:gridCol w:w="3107"/>
        <w:gridCol w:w="770"/>
        <w:gridCol w:w="1311"/>
        <w:gridCol w:w="1311"/>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128"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定额编号：10043</w:t>
            </w:r>
            <w:r>
              <w:rPr>
                <w:rFonts w:hint="eastAsia"/>
                <w:kern w:val="0"/>
              </w:rPr>
              <w:t xml:space="preserve">                  </w:t>
            </w:r>
            <w:r>
              <w:rPr>
                <w:kern w:val="0"/>
              </w:rPr>
              <w:t>土地翻耕-二类土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128"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工作内容：松土。</w:t>
            </w:r>
            <w:r>
              <w:rPr>
                <w:rFonts w:hint="eastAsia"/>
                <w:kern w:val="0"/>
              </w:rPr>
              <w:t xml:space="preserve">                                                </w:t>
            </w:r>
            <w:r>
              <w:rPr>
                <w:kern w:val="0"/>
              </w:rPr>
              <w:t>单位：hm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7"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7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11"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11"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49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2702.91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直接工程费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2608.99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人工费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1793.63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甲类工</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0.60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155.69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乙类工</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11.40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149.14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1700.22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机械费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802.38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拖拉机59kw</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台班</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657.28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788.73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三骅犁</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台班</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11.37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3</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4</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其他费用</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0.50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2596.01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措施费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3.60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2608.99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间接费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2702.91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三</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利润</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2838.06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85.14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四</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材料价差</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258.16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柴油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kg</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66.00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3.91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258.16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五</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税金</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3181.36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286.32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合计</w:t>
            </w:r>
          </w:p>
        </w:tc>
        <w:tc>
          <w:tcPr>
            <w:tcW w:w="3107" w:type="dxa"/>
            <w:noWrap/>
            <w:vAlign w:val="center"/>
          </w:tcPr>
          <w:p>
            <w:pPr>
              <w:widowControl/>
              <w:snapToGrid w:val="0"/>
              <w:spacing w:line="240" w:lineRule="auto"/>
              <w:ind w:firstLine="0" w:firstLineChars="0"/>
              <w:jc w:val="center"/>
              <w:textAlignment w:val="auto"/>
              <w:rPr>
                <w:kern w:val="0"/>
                <w:sz w:val="20"/>
                <w:szCs w:val="20"/>
              </w:rPr>
            </w:pP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3467.68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34" w:type="dxa"/>
        <w:tblInd w:w="77" w:type="dxa"/>
        <w:tblLayout w:type="fixed"/>
        <w:tblCellMar>
          <w:top w:w="0" w:type="dxa"/>
          <w:left w:w="108" w:type="dxa"/>
          <w:bottom w:w="0" w:type="dxa"/>
          <w:right w:w="108" w:type="dxa"/>
        </w:tblCellMar>
      </w:tblPr>
      <w:tblGrid>
        <w:gridCol w:w="1121"/>
        <w:gridCol w:w="3113"/>
        <w:gridCol w:w="764"/>
        <w:gridCol w:w="1317"/>
        <w:gridCol w:w="1277"/>
        <w:gridCol w:w="1542"/>
      </w:tblGrid>
      <w:tr>
        <w:tblPrEx>
          <w:tblLayout w:type="fixed"/>
          <w:tblCellMar>
            <w:top w:w="0" w:type="dxa"/>
            <w:left w:w="108" w:type="dxa"/>
            <w:bottom w:w="0" w:type="dxa"/>
            <w:right w:w="108" w:type="dxa"/>
          </w:tblCellMar>
        </w:tblPrEx>
        <w:trPr>
          <w:trHeight w:val="312" w:hRule="atLeast"/>
        </w:trPr>
        <w:tc>
          <w:tcPr>
            <w:tcW w:w="9134" w:type="dxa"/>
            <w:gridSpan w:val="6"/>
            <w:tcBorders>
              <w:top w:val="nil"/>
              <w:left w:val="nil"/>
              <w:bottom w:val="nil"/>
              <w:right w:val="nil"/>
            </w:tcBorders>
            <w:noWrap/>
            <w:vAlign w:val="center"/>
          </w:tcPr>
          <w:p>
            <w:pPr>
              <w:widowControl/>
              <w:snapToGrid w:val="0"/>
              <w:spacing w:line="240" w:lineRule="auto"/>
              <w:ind w:firstLine="0" w:firstLineChars="0"/>
              <w:jc w:val="left"/>
            </w:pPr>
            <w:r>
              <w:rPr>
                <w:kern w:val="0"/>
                <w:lang w:bidi="ar"/>
              </w:rPr>
              <w:t>定额编号：10302</w:t>
            </w:r>
            <w:r>
              <w:rPr>
                <w:rFonts w:hint="eastAsia"/>
                <w:kern w:val="0"/>
                <w:lang w:bidi="ar"/>
              </w:rPr>
              <w:t xml:space="preserve">             </w:t>
            </w:r>
            <w:r>
              <w:rPr>
                <w:kern w:val="0"/>
                <w:lang w:bidi="ar"/>
              </w:rPr>
              <w:t>推土机推土-二类土-推距10米</w:t>
            </w:r>
          </w:p>
        </w:tc>
      </w:tr>
      <w:tr>
        <w:tblPrEx>
          <w:tblLayout w:type="fixed"/>
          <w:tblCellMar>
            <w:top w:w="0" w:type="dxa"/>
            <w:left w:w="108" w:type="dxa"/>
            <w:bottom w:w="0" w:type="dxa"/>
            <w:right w:w="108" w:type="dxa"/>
          </w:tblCellMar>
        </w:tblPrEx>
        <w:trPr>
          <w:trHeight w:val="336" w:hRule="atLeast"/>
        </w:trPr>
        <w:tc>
          <w:tcPr>
            <w:tcW w:w="9134" w:type="dxa"/>
            <w:gridSpan w:val="6"/>
            <w:tcBorders>
              <w:top w:val="nil"/>
              <w:left w:val="nil"/>
              <w:bottom w:val="single" w:color="000000" w:sz="4" w:space="0"/>
              <w:right w:val="nil"/>
            </w:tcBorders>
            <w:noWrap/>
            <w:vAlign w:val="center"/>
          </w:tcPr>
          <w:p>
            <w:pPr>
              <w:widowControl/>
              <w:snapToGrid w:val="0"/>
              <w:spacing w:line="240" w:lineRule="auto"/>
              <w:ind w:firstLine="0" w:firstLineChars="0"/>
              <w:jc w:val="left"/>
            </w:pPr>
            <w:r>
              <w:rPr>
                <w:kern w:val="0"/>
                <w:lang w:bidi="ar"/>
              </w:rPr>
              <w:t>工作内容：推松、运送、卸除、拖平、空回。</w:t>
            </w:r>
            <w:r>
              <w:rPr>
                <w:rFonts w:hint="eastAsia"/>
                <w:kern w:val="0"/>
                <w:lang w:bidi="ar"/>
              </w:rPr>
              <w:t xml:space="preserve">                       </w:t>
            </w:r>
            <w:r>
              <w:rPr>
                <w:kern w:val="0"/>
                <w:lang w:bidi="ar"/>
              </w:rPr>
              <w:t>单位：100m</w:t>
            </w:r>
            <w:r>
              <w:rPr>
                <w:kern w:val="0"/>
                <w:vertAlign w:val="superscript"/>
                <w:lang w:bidi="ar"/>
              </w:rPr>
              <w:t>3</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132.94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直接工程费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128.32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人工费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甲类工</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155.69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乙类工</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0.10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149.14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机械费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107.29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推土机74kw</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台班</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0.14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766.37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107.29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3</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4</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其他费用</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122.21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6.11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措施费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3.60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128.32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4.62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间接费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132.94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6.65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三</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利润</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139.58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4.19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四</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材料价差</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30.12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柴油</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kg</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7.70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3.91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30.12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五</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税金</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9.00 </w:t>
            </w: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173.89 </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15.65 </w:t>
            </w:r>
          </w:p>
        </w:tc>
      </w:tr>
      <w:tr>
        <w:tblPrEx>
          <w:tblLayout w:type="fixed"/>
          <w:tblCellMar>
            <w:top w:w="0" w:type="dxa"/>
            <w:left w:w="108" w:type="dxa"/>
            <w:bottom w:w="0" w:type="dxa"/>
            <w:right w:w="108" w:type="dxa"/>
          </w:tblCellMar>
        </w:tblPrEx>
        <w:trPr>
          <w:trHeight w:val="312"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合计</w:t>
            </w:r>
          </w:p>
        </w:tc>
        <w:tc>
          <w:tcPr>
            <w:tcW w:w="311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31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p>
        </w:tc>
        <w:tc>
          <w:tcPr>
            <w:tcW w:w="15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189.54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0"/>
        <w:gridCol w:w="3107"/>
        <w:gridCol w:w="770"/>
        <w:gridCol w:w="1311"/>
        <w:gridCol w:w="1311"/>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128"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定额编号：10305</w:t>
            </w:r>
            <w:r>
              <w:rPr>
                <w:rFonts w:hint="eastAsia"/>
                <w:kern w:val="0"/>
              </w:rPr>
              <w:t xml:space="preserve">               </w:t>
            </w:r>
            <w:r>
              <w:rPr>
                <w:kern w:val="0"/>
              </w:rPr>
              <w:t>推土机推土-二类土-推距40米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128"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工作内容：推松、运送、卸除、拖平、空回。</w:t>
            </w:r>
            <w:r>
              <w:rPr>
                <w:rFonts w:hint="eastAsia"/>
                <w:kern w:val="0"/>
              </w:rPr>
              <w:t xml:space="preserve">                       </w:t>
            </w:r>
            <w:r>
              <w:rPr>
                <w:kern w:val="0"/>
              </w:rPr>
              <w:t>单位：100m</w:t>
            </w:r>
            <w:r>
              <w:rPr>
                <w:kern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7"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7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11"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11"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49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332.11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直接工程费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320.57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人工费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甲类工</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155.69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乙类工</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0.30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149.14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机械费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推土机74kw</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台班</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0.34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766.37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3</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材料费</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4</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其他费用</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305.31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措施费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3.60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320.57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间接费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332.11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三</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利润</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348.72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四</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材料价差</w:t>
            </w: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柴油</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kg</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18.70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3.91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73.15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五</w:t>
            </w:r>
          </w:p>
        </w:tc>
        <w:tc>
          <w:tcPr>
            <w:tcW w:w="310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税金</w:t>
            </w:r>
          </w:p>
        </w:tc>
        <w:tc>
          <w:tcPr>
            <w:tcW w:w="77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9.00 </w:t>
            </w:r>
          </w:p>
        </w:tc>
        <w:tc>
          <w:tcPr>
            <w:tcW w:w="1311"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432.33 </w:t>
            </w: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合计</w:t>
            </w:r>
          </w:p>
        </w:tc>
        <w:tc>
          <w:tcPr>
            <w:tcW w:w="3107" w:type="dxa"/>
            <w:noWrap/>
            <w:vAlign w:val="center"/>
          </w:tcPr>
          <w:p>
            <w:pPr>
              <w:widowControl/>
              <w:snapToGrid w:val="0"/>
              <w:spacing w:line="240" w:lineRule="auto"/>
              <w:ind w:firstLine="0" w:firstLineChars="0"/>
              <w:jc w:val="center"/>
              <w:textAlignment w:val="auto"/>
              <w:rPr>
                <w:kern w:val="0"/>
                <w:sz w:val="20"/>
                <w:szCs w:val="20"/>
              </w:rPr>
            </w:pPr>
          </w:p>
        </w:tc>
        <w:tc>
          <w:tcPr>
            <w:tcW w:w="770"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311" w:type="dxa"/>
            <w:noWrap/>
            <w:vAlign w:val="center"/>
          </w:tcPr>
          <w:p>
            <w:pPr>
              <w:widowControl/>
              <w:snapToGrid w:val="0"/>
              <w:spacing w:line="240" w:lineRule="auto"/>
              <w:ind w:firstLine="0" w:firstLineChars="0"/>
              <w:jc w:val="center"/>
              <w:textAlignment w:val="auto"/>
              <w:rPr>
                <w:kern w:val="0"/>
                <w:sz w:val="20"/>
                <w:szCs w:val="20"/>
              </w:rPr>
            </w:pPr>
          </w:p>
        </w:tc>
        <w:tc>
          <w:tcPr>
            <w:tcW w:w="149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471.23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32" w:type="dxa"/>
        <w:tblInd w:w="60" w:type="dxa"/>
        <w:tblLayout w:type="fixed"/>
        <w:tblCellMar>
          <w:top w:w="0" w:type="dxa"/>
          <w:left w:w="108" w:type="dxa"/>
          <w:bottom w:w="0" w:type="dxa"/>
          <w:right w:w="108" w:type="dxa"/>
        </w:tblCellMar>
      </w:tblPr>
      <w:tblGrid>
        <w:gridCol w:w="1481"/>
        <w:gridCol w:w="2440"/>
        <w:gridCol w:w="1142"/>
        <w:gridCol w:w="1255"/>
        <w:gridCol w:w="1448"/>
        <w:gridCol w:w="1366"/>
      </w:tblGrid>
      <w:tr>
        <w:tblPrEx>
          <w:tblLayout w:type="fixed"/>
          <w:tblCellMar>
            <w:top w:w="0" w:type="dxa"/>
            <w:left w:w="108" w:type="dxa"/>
            <w:bottom w:w="0" w:type="dxa"/>
            <w:right w:w="108" w:type="dxa"/>
          </w:tblCellMar>
        </w:tblPrEx>
        <w:trPr>
          <w:trHeight w:val="312" w:hRule="atLeast"/>
        </w:trPr>
        <w:tc>
          <w:tcPr>
            <w:tcW w:w="9132" w:type="dxa"/>
            <w:gridSpan w:val="6"/>
            <w:tcBorders>
              <w:top w:val="nil"/>
              <w:left w:val="nil"/>
              <w:bottom w:val="nil"/>
              <w:right w:val="nil"/>
            </w:tcBorders>
            <w:shd w:val="clear" w:color="auto" w:fill="auto"/>
            <w:noWrap/>
            <w:vAlign w:val="center"/>
          </w:tcPr>
          <w:p>
            <w:pPr>
              <w:widowControl/>
              <w:snapToGrid w:val="0"/>
              <w:spacing w:line="240" w:lineRule="auto"/>
              <w:ind w:firstLine="0" w:firstLineChars="0"/>
              <w:jc w:val="left"/>
              <w:rPr>
                <w:color w:val="000000"/>
              </w:rPr>
            </w:pPr>
            <w:r>
              <w:rPr>
                <w:color w:val="000000"/>
                <w:kern w:val="0"/>
                <w:lang w:bidi="ar"/>
              </w:rPr>
              <w:t>定额编号：10313                推土机推土-三类土-推距40米</w:t>
            </w:r>
          </w:p>
        </w:tc>
      </w:tr>
      <w:tr>
        <w:tblPrEx>
          <w:tblLayout w:type="fixed"/>
          <w:tblCellMar>
            <w:top w:w="0" w:type="dxa"/>
            <w:left w:w="108" w:type="dxa"/>
            <w:bottom w:w="0" w:type="dxa"/>
            <w:right w:w="108" w:type="dxa"/>
          </w:tblCellMar>
        </w:tblPrEx>
        <w:trPr>
          <w:trHeight w:val="336" w:hRule="atLeast"/>
        </w:trPr>
        <w:tc>
          <w:tcPr>
            <w:tcW w:w="9132" w:type="dxa"/>
            <w:gridSpan w:val="6"/>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left"/>
              <w:rPr>
                <w:color w:val="000000"/>
              </w:rPr>
            </w:pPr>
            <w:r>
              <w:rPr>
                <w:color w:val="000000"/>
                <w:kern w:val="0"/>
                <w:lang w:bidi="ar"/>
              </w:rPr>
              <w:t>工作内容：推松、运送、卸除、拖平、空回</w:t>
            </w:r>
            <w:r>
              <w:rPr>
                <w:rFonts w:hint="eastAsia"/>
                <w:color w:val="000000"/>
                <w:kern w:val="0"/>
                <w:lang w:bidi="ar"/>
              </w:rPr>
              <w:t xml:space="preserve"> </w:t>
            </w:r>
            <w:r>
              <w:rPr>
                <w:color w:val="000000"/>
                <w:kern w:val="0"/>
                <w:lang w:bidi="ar"/>
              </w:rPr>
              <w:t xml:space="preserve">                       单位：100m</w:t>
            </w:r>
            <w:r>
              <w:rPr>
                <w:color w:val="000000"/>
                <w:kern w:val="0"/>
                <w:vertAlign w:val="superscript"/>
                <w:lang w:bidi="ar"/>
              </w:rPr>
              <w:t>3</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序号</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项目名称</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单位</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单价</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直接费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390.47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直接工程费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376.90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人工费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44.74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甲类工</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工日</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155.69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乙类工</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工日</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0.30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149.14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44.74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机械费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314.21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推土机74kw</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台班</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0.41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766.37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314.21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材料费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4</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其他费用</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358.95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17.95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措施费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3.60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376.90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13.57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间接费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390.47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19.52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三</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利润</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409.99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12.30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四</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材料价差</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88.20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柴油</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kg</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22.55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3.91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88.20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五</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税金</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510.50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45.94 </w:t>
            </w:r>
          </w:p>
        </w:tc>
      </w:tr>
      <w:tr>
        <w:tblPrEx>
          <w:tblLayout w:type="fixed"/>
          <w:tblCellMar>
            <w:top w:w="0" w:type="dxa"/>
            <w:left w:w="108" w:type="dxa"/>
            <w:bottom w:w="0" w:type="dxa"/>
            <w:right w:w="108" w:type="dxa"/>
          </w:tblCellMar>
        </w:tblPrEx>
        <w:trPr>
          <w:trHeight w:val="312"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合计</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rPr>
                <w:color w:val="000000"/>
                <w:sz w:val="21"/>
                <w:szCs w:val="21"/>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556.44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0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1"/>
        <w:gridCol w:w="3105"/>
        <w:gridCol w:w="770"/>
        <w:gridCol w:w="1310"/>
        <w:gridCol w:w="1310"/>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9059"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定额编号：90030</w:t>
            </w:r>
            <w:r>
              <w:rPr>
                <w:rFonts w:hint="eastAsia"/>
                <w:kern w:val="0"/>
              </w:rPr>
              <w:t xml:space="preserve">               </w:t>
            </w:r>
            <w:r>
              <w:rPr>
                <w:kern w:val="0"/>
              </w:rPr>
              <w:t>撒播-不覆土-草籽3</w:t>
            </w:r>
            <w:r>
              <w:rPr>
                <w:rFonts w:hint="eastAsia"/>
                <w:kern w:val="0"/>
              </w:rPr>
              <w:t>5</w:t>
            </w:r>
            <w:r>
              <w:rPr>
                <w:kern w:val="0"/>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059"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工作内容：人工撒播草籽、覆土。</w:t>
            </w:r>
            <w:r>
              <w:rPr>
                <w:rFonts w:hint="eastAsia"/>
                <w:kern w:val="0"/>
              </w:rPr>
              <w:t xml:space="preserve">                                  </w:t>
            </w:r>
            <w:r>
              <w:rPr>
                <w:kern w:val="0"/>
              </w:rPr>
              <w:t>单位：hm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5"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7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1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1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433"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一</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直接费</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2022.54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（一）</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直接工程费</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1952.26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1</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人工费</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（1）</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甲类工</w:t>
            </w:r>
          </w:p>
        </w:tc>
        <w:tc>
          <w:tcPr>
            <w:tcW w:w="770"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工日</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155.69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（2）</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乙类工</w:t>
            </w:r>
          </w:p>
        </w:tc>
        <w:tc>
          <w:tcPr>
            <w:tcW w:w="770"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工日</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2.10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149.14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2</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机械费</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3</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材料费</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1639.06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（1）</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草籽</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kg</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35.00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45.91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1606.92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（2）</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其他材料费</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1606.92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（二）</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措施费</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3.60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1952.26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70.28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二</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间接费</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5.00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2022.54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101.13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三</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利润</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2123.67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63.71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四</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材料价差</w:t>
            </w: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五</w:t>
            </w:r>
          </w:p>
        </w:tc>
        <w:tc>
          <w:tcPr>
            <w:tcW w:w="3105"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税金</w:t>
            </w:r>
          </w:p>
        </w:tc>
        <w:tc>
          <w:tcPr>
            <w:tcW w:w="770" w:type="dxa"/>
            <w:noWrap/>
            <w:vAlign w:val="center"/>
          </w:tcPr>
          <w:p>
            <w:pPr>
              <w:widowControl/>
              <w:snapToGrid w:val="0"/>
              <w:spacing w:line="240" w:lineRule="auto"/>
              <w:ind w:firstLine="0" w:firstLineChars="0"/>
              <w:jc w:val="center"/>
              <w:rPr>
                <w:kern w:val="0"/>
                <w:sz w:val="20"/>
                <w:szCs w:val="20"/>
              </w:rPr>
            </w:pPr>
            <w:r>
              <w:rPr>
                <w:rFonts w:eastAsia="宋体"/>
                <w:kern w:val="0"/>
                <w:sz w:val="21"/>
                <w:szCs w:val="21"/>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9.00 </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2187.38 </w:t>
            </w: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196.86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31" w:type="dxa"/>
            <w:noWrap/>
            <w:vAlign w:val="center"/>
          </w:tcPr>
          <w:p>
            <w:pPr>
              <w:widowControl/>
              <w:snapToGrid w:val="0"/>
              <w:spacing w:line="240" w:lineRule="auto"/>
              <w:ind w:firstLine="0" w:firstLineChars="0"/>
              <w:jc w:val="center"/>
              <w:rPr>
                <w:kern w:val="0"/>
                <w:sz w:val="20"/>
                <w:szCs w:val="20"/>
              </w:rPr>
            </w:pPr>
            <w:r>
              <w:rPr>
                <w:kern w:val="0"/>
                <w:sz w:val="21"/>
                <w:szCs w:val="21"/>
                <w:lang w:bidi="ar"/>
              </w:rPr>
              <w:t>合计</w:t>
            </w:r>
          </w:p>
        </w:tc>
        <w:tc>
          <w:tcPr>
            <w:tcW w:w="3105" w:type="dxa"/>
            <w:noWrap/>
            <w:vAlign w:val="center"/>
          </w:tcPr>
          <w:p>
            <w:pPr>
              <w:widowControl/>
              <w:snapToGrid w:val="0"/>
              <w:spacing w:line="240" w:lineRule="auto"/>
              <w:ind w:firstLine="0" w:firstLineChars="0"/>
              <w:textAlignment w:val="baseline"/>
              <w:rPr>
                <w:kern w:val="0"/>
                <w:sz w:val="20"/>
                <w:szCs w:val="20"/>
              </w:rPr>
            </w:pPr>
          </w:p>
        </w:tc>
        <w:tc>
          <w:tcPr>
            <w:tcW w:w="770"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43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2384.24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8"/>
        <w:gridCol w:w="3104"/>
        <w:gridCol w:w="767"/>
        <w:gridCol w:w="1310"/>
        <w:gridCol w:w="1312"/>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9070"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定额编号：90031</w:t>
            </w:r>
            <w:r>
              <w:rPr>
                <w:rFonts w:hint="eastAsia"/>
                <w:kern w:val="0"/>
              </w:rPr>
              <w:t xml:space="preserve">                </w:t>
            </w:r>
            <w:r>
              <w:rPr>
                <w:kern w:val="0"/>
              </w:rPr>
              <w:t>撒播-轻耙覆土-草籽3</w:t>
            </w:r>
            <w:r>
              <w:rPr>
                <w:rFonts w:hint="eastAsia"/>
                <w:kern w:val="0"/>
              </w:rPr>
              <w:t>5</w:t>
            </w:r>
            <w:r>
              <w:rPr>
                <w:kern w:val="0"/>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070"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工作内容：人工撒播草籽、覆土。</w:t>
            </w:r>
            <w:r>
              <w:rPr>
                <w:rFonts w:hint="eastAsia"/>
                <w:kern w:val="0"/>
              </w:rPr>
              <w:t xml:space="preserve">                                   </w:t>
            </w:r>
            <w:r>
              <w:rPr>
                <w:kern w:val="0"/>
              </w:rPr>
              <w:t>单位：hm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4"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67"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1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12"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44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一</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直接费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3035.19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（一）</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直接工程费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2929.72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人工费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1282.62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甲类工</w:t>
            </w:r>
          </w:p>
        </w:tc>
        <w:tc>
          <w:tcPr>
            <w:tcW w:w="767"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工日</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155.69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乙类工</w:t>
            </w:r>
          </w:p>
        </w:tc>
        <w:tc>
          <w:tcPr>
            <w:tcW w:w="767"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工日</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8.60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149.14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1282.62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机械费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3</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材料费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1647.09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草籽</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kg</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35.00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45.91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1606.92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其他材料费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2.50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1606.92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40.17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（二）</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措施费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3.60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2929.72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105.47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二</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间接费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5.00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3035.19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151.76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三</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利润</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3.00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3186.94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95.61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四</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材料价差</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五</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税金</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10"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9.00 </w:t>
            </w:r>
          </w:p>
        </w:tc>
        <w:tc>
          <w:tcPr>
            <w:tcW w:w="1312"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3282.55 </w:t>
            </w: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295.43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8"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合计</w:t>
            </w:r>
          </w:p>
        </w:tc>
        <w:tc>
          <w:tcPr>
            <w:tcW w:w="3104" w:type="dxa"/>
            <w:noWrap/>
            <w:vAlign w:val="center"/>
          </w:tcPr>
          <w:p>
            <w:pPr>
              <w:widowControl/>
              <w:snapToGrid w:val="0"/>
              <w:spacing w:line="240" w:lineRule="auto"/>
              <w:ind w:firstLine="0" w:firstLineChars="0"/>
              <w:textAlignment w:val="baseline"/>
              <w:rPr>
                <w:kern w:val="0"/>
                <w:sz w:val="20"/>
                <w:szCs w:val="20"/>
              </w:rPr>
            </w:pP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10" w:type="dxa"/>
            <w:noWrap/>
            <w:vAlign w:val="center"/>
          </w:tcPr>
          <w:p>
            <w:pPr>
              <w:widowControl/>
              <w:snapToGrid w:val="0"/>
              <w:spacing w:line="240" w:lineRule="auto"/>
              <w:ind w:firstLine="0" w:firstLineChars="0"/>
              <w:jc w:val="center"/>
              <w:rPr>
                <w:kern w:val="0"/>
                <w:sz w:val="20"/>
                <w:szCs w:val="20"/>
              </w:rPr>
            </w:pPr>
          </w:p>
        </w:tc>
        <w:tc>
          <w:tcPr>
            <w:tcW w:w="1312" w:type="dxa"/>
            <w:noWrap/>
            <w:vAlign w:val="center"/>
          </w:tcPr>
          <w:p>
            <w:pPr>
              <w:widowControl/>
              <w:snapToGrid w:val="0"/>
              <w:spacing w:line="240" w:lineRule="auto"/>
              <w:ind w:firstLine="0" w:firstLineChars="0"/>
              <w:jc w:val="center"/>
              <w:rPr>
                <w:kern w:val="0"/>
                <w:sz w:val="20"/>
                <w:szCs w:val="20"/>
              </w:rPr>
            </w:pPr>
          </w:p>
        </w:tc>
        <w:tc>
          <w:tcPr>
            <w:tcW w:w="144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3577.98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6"/>
        <w:gridCol w:w="3104"/>
        <w:gridCol w:w="767"/>
        <w:gridCol w:w="1309"/>
        <w:gridCol w:w="130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128"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定额编号：参90030</w:t>
            </w:r>
            <w:r>
              <w:rPr>
                <w:rFonts w:hint="eastAsia"/>
                <w:kern w:val="0"/>
              </w:rPr>
              <w:t xml:space="preserve">                  </w:t>
            </w:r>
            <w:r>
              <w:rPr>
                <w:kern w:val="0"/>
              </w:rPr>
              <w:t>施肥(450kg/hm</w:t>
            </w:r>
            <w:r>
              <w:rPr>
                <w:kern w:val="0"/>
                <w:vertAlign w:val="superscript"/>
              </w:rPr>
              <w:t>2</w:t>
            </w: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128"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工作内容：人工施肥。</w:t>
            </w:r>
            <w:r>
              <w:rPr>
                <w:rFonts w:hint="eastAsia"/>
                <w:kern w:val="0"/>
              </w:rPr>
              <w:t xml:space="preserve">                                             </w:t>
            </w:r>
            <w:r>
              <w:rPr>
                <w:kern w:val="0"/>
              </w:rPr>
              <w:t>单位：hm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4"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67"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0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0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513"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一</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直接费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2089.61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（一）</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直接工程费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人工费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372.86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甲类工</w:t>
            </w:r>
          </w:p>
        </w:tc>
        <w:tc>
          <w:tcPr>
            <w:tcW w:w="767"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工日</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155.69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乙类工</w:t>
            </w:r>
          </w:p>
        </w:tc>
        <w:tc>
          <w:tcPr>
            <w:tcW w:w="767"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工日</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2.50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149.14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372.86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机械费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3</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材料费</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1644.14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（1）</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有机-无机复混肥料</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kg</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450.00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3.58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1611.90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（2）</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其他材料费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1611.90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（二）</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措施费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3.60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2017.00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72.61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二</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间接费</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5.00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2089.61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104.48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三</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利润</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3.00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2194.09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65.82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四</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材料价差</w:t>
            </w: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五</w:t>
            </w:r>
          </w:p>
        </w:tc>
        <w:tc>
          <w:tcPr>
            <w:tcW w:w="3104"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税金</w:t>
            </w:r>
          </w:p>
        </w:tc>
        <w:tc>
          <w:tcPr>
            <w:tcW w:w="767" w:type="dxa"/>
            <w:noWrap/>
            <w:vAlign w:val="center"/>
          </w:tcPr>
          <w:p>
            <w:pPr>
              <w:widowControl/>
              <w:snapToGrid w:val="0"/>
              <w:spacing w:line="240" w:lineRule="auto"/>
              <w:ind w:firstLine="0" w:firstLineChars="0"/>
              <w:jc w:val="center"/>
              <w:rPr>
                <w:kern w:val="0"/>
                <w:sz w:val="20"/>
                <w:szCs w:val="20"/>
              </w:rPr>
            </w:pPr>
            <w:r>
              <w:rPr>
                <w:rFonts w:eastAsia="宋体"/>
                <w:kern w:val="0"/>
                <w:sz w:val="20"/>
                <w:szCs w:val="20"/>
                <w:lang w:bidi="ar"/>
              </w:rPr>
              <w:t>%</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9.00 </w:t>
            </w:r>
          </w:p>
        </w:tc>
        <w:tc>
          <w:tcPr>
            <w:tcW w:w="1309"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2259.91 </w:t>
            </w: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203.39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6" w:type="dxa"/>
            <w:noWrap/>
            <w:vAlign w:val="center"/>
          </w:tcPr>
          <w:p>
            <w:pPr>
              <w:widowControl/>
              <w:snapToGrid w:val="0"/>
              <w:spacing w:line="240" w:lineRule="auto"/>
              <w:ind w:firstLine="0" w:firstLineChars="0"/>
              <w:jc w:val="center"/>
              <w:rPr>
                <w:kern w:val="0"/>
                <w:sz w:val="20"/>
                <w:szCs w:val="20"/>
              </w:rPr>
            </w:pPr>
            <w:r>
              <w:rPr>
                <w:kern w:val="0"/>
                <w:sz w:val="20"/>
                <w:szCs w:val="20"/>
                <w:lang w:bidi="ar"/>
              </w:rPr>
              <w:t>合计</w:t>
            </w:r>
          </w:p>
        </w:tc>
        <w:tc>
          <w:tcPr>
            <w:tcW w:w="3104" w:type="dxa"/>
            <w:noWrap/>
            <w:vAlign w:val="center"/>
          </w:tcPr>
          <w:p>
            <w:pPr>
              <w:widowControl/>
              <w:snapToGrid w:val="0"/>
              <w:spacing w:line="240" w:lineRule="auto"/>
              <w:ind w:firstLine="0" w:firstLineChars="0"/>
              <w:textAlignment w:val="baseline"/>
              <w:rPr>
                <w:kern w:val="0"/>
                <w:sz w:val="20"/>
                <w:szCs w:val="20"/>
              </w:rPr>
            </w:pPr>
          </w:p>
        </w:tc>
        <w:tc>
          <w:tcPr>
            <w:tcW w:w="767" w:type="dxa"/>
            <w:noWrap/>
            <w:vAlign w:val="center"/>
          </w:tcPr>
          <w:p>
            <w:pPr>
              <w:widowControl/>
              <w:snapToGrid w:val="0"/>
              <w:spacing w:line="240" w:lineRule="auto"/>
              <w:ind w:firstLine="0" w:firstLineChars="0"/>
              <w:jc w:val="center"/>
              <w:textAlignment w:val="baseline"/>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309" w:type="dxa"/>
            <w:noWrap/>
            <w:vAlign w:val="center"/>
          </w:tcPr>
          <w:p>
            <w:pPr>
              <w:widowControl/>
              <w:snapToGrid w:val="0"/>
              <w:spacing w:line="240" w:lineRule="auto"/>
              <w:ind w:firstLine="0" w:firstLineChars="0"/>
              <w:jc w:val="center"/>
              <w:rPr>
                <w:kern w:val="0"/>
                <w:sz w:val="20"/>
                <w:szCs w:val="20"/>
              </w:rPr>
            </w:pPr>
          </w:p>
        </w:tc>
        <w:tc>
          <w:tcPr>
            <w:tcW w:w="1513" w:type="dxa"/>
            <w:noWrap/>
            <w:vAlign w:val="center"/>
          </w:tcPr>
          <w:p>
            <w:pPr>
              <w:widowControl/>
              <w:snapToGrid w:val="0"/>
              <w:spacing w:line="240" w:lineRule="auto"/>
              <w:ind w:firstLine="0" w:firstLineChars="0"/>
              <w:jc w:val="center"/>
              <w:rPr>
                <w:kern w:val="0"/>
                <w:sz w:val="20"/>
                <w:szCs w:val="20"/>
              </w:rPr>
            </w:pPr>
            <w:r>
              <w:rPr>
                <w:kern w:val="0"/>
                <w:sz w:val="20"/>
                <w:szCs w:val="20"/>
              </w:rPr>
              <w:t xml:space="preserve">2463.30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19" w:type="dxa"/>
        <w:tblInd w:w="74" w:type="dxa"/>
        <w:tblLayout w:type="fixed"/>
        <w:tblCellMar>
          <w:top w:w="0" w:type="dxa"/>
          <w:left w:w="108" w:type="dxa"/>
          <w:bottom w:w="0" w:type="dxa"/>
          <w:right w:w="108" w:type="dxa"/>
        </w:tblCellMar>
      </w:tblPr>
      <w:tblGrid>
        <w:gridCol w:w="1111"/>
        <w:gridCol w:w="3100"/>
        <w:gridCol w:w="770"/>
        <w:gridCol w:w="1315"/>
        <w:gridCol w:w="1309"/>
        <w:gridCol w:w="1514"/>
      </w:tblGrid>
      <w:tr>
        <w:tblPrEx>
          <w:tblLayout w:type="fixed"/>
          <w:tblCellMar>
            <w:top w:w="0" w:type="dxa"/>
            <w:left w:w="108" w:type="dxa"/>
            <w:bottom w:w="0" w:type="dxa"/>
            <w:right w:w="108" w:type="dxa"/>
          </w:tblCellMar>
        </w:tblPrEx>
        <w:trPr>
          <w:trHeight w:val="312" w:hRule="atLeast"/>
        </w:trPr>
        <w:tc>
          <w:tcPr>
            <w:tcW w:w="9119" w:type="dxa"/>
            <w:gridSpan w:val="6"/>
            <w:tcBorders>
              <w:top w:val="nil"/>
              <w:left w:val="nil"/>
              <w:bottom w:val="nil"/>
              <w:right w:val="nil"/>
            </w:tcBorders>
            <w:shd w:val="clear" w:color="auto" w:fill="auto"/>
            <w:noWrap/>
            <w:vAlign w:val="center"/>
          </w:tcPr>
          <w:p>
            <w:pPr>
              <w:widowControl/>
              <w:snapToGrid w:val="0"/>
              <w:spacing w:line="240" w:lineRule="auto"/>
              <w:ind w:firstLine="0" w:firstLineChars="0"/>
              <w:jc w:val="left"/>
              <w:rPr>
                <w:color w:val="000000"/>
              </w:rPr>
            </w:pPr>
            <w:r>
              <w:rPr>
                <w:color w:val="000000"/>
                <w:kern w:val="0"/>
                <w:lang w:bidi="ar"/>
              </w:rPr>
              <w:t xml:space="preserve">定额编号：参90030        </w:t>
            </w:r>
            <w:r>
              <w:rPr>
                <w:rFonts w:hint="eastAsia"/>
                <w:color w:val="000000"/>
                <w:kern w:val="0"/>
                <w:lang w:bidi="ar"/>
              </w:rPr>
              <w:t xml:space="preserve">    </w:t>
            </w:r>
            <w:r>
              <w:rPr>
                <w:color w:val="000000"/>
                <w:kern w:val="0"/>
                <w:lang w:bidi="ar"/>
              </w:rPr>
              <w:t xml:space="preserve">   施肥(1500kg/hm</w:t>
            </w:r>
            <w:r>
              <w:rPr>
                <w:color w:val="000000"/>
                <w:kern w:val="0"/>
                <w:vertAlign w:val="superscript"/>
                <w:lang w:bidi="ar"/>
              </w:rPr>
              <w:t>2</w:t>
            </w:r>
            <w:r>
              <w:rPr>
                <w:color w:val="000000"/>
                <w:kern w:val="0"/>
                <w:lang w:bidi="ar"/>
              </w:rPr>
              <w:t>)</w:t>
            </w:r>
          </w:p>
        </w:tc>
      </w:tr>
      <w:tr>
        <w:tblPrEx>
          <w:tblLayout w:type="fixed"/>
          <w:tblCellMar>
            <w:top w:w="0" w:type="dxa"/>
            <w:left w:w="108" w:type="dxa"/>
            <w:bottom w:w="0" w:type="dxa"/>
            <w:right w:w="108" w:type="dxa"/>
          </w:tblCellMar>
        </w:tblPrEx>
        <w:trPr>
          <w:trHeight w:val="312" w:hRule="atLeast"/>
        </w:trPr>
        <w:tc>
          <w:tcPr>
            <w:tcW w:w="9119" w:type="dxa"/>
            <w:gridSpan w:val="6"/>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left"/>
              <w:rPr>
                <w:color w:val="000000"/>
              </w:rPr>
            </w:pPr>
            <w:r>
              <w:rPr>
                <w:color w:val="000000"/>
                <w:kern w:val="0"/>
                <w:lang w:bidi="ar"/>
              </w:rPr>
              <w:t xml:space="preserve">工作内容：人工施肥。                                    </w:t>
            </w:r>
            <w:r>
              <w:rPr>
                <w:rFonts w:hint="eastAsia"/>
                <w:color w:val="000000"/>
                <w:kern w:val="0"/>
                <w:lang w:bidi="ar"/>
              </w:rPr>
              <w:t xml:space="preserve"> </w:t>
            </w:r>
            <w:r>
              <w:rPr>
                <w:color w:val="000000"/>
                <w:kern w:val="0"/>
                <w:lang w:bidi="ar"/>
              </w:rPr>
              <w:t xml:space="preserve"> </w:t>
            </w:r>
            <w:r>
              <w:rPr>
                <w:rFonts w:hint="eastAsia"/>
                <w:color w:val="000000"/>
                <w:kern w:val="0"/>
                <w:lang w:bidi="ar"/>
              </w:rPr>
              <w:t xml:space="preserve">   </w:t>
            </w:r>
            <w:r>
              <w:rPr>
                <w:color w:val="000000"/>
                <w:kern w:val="0"/>
                <w:lang w:bidi="ar"/>
              </w:rPr>
              <w:t xml:space="preserve">  单位：hm</w:t>
            </w:r>
            <w:r>
              <w:rPr>
                <w:color w:val="000000"/>
                <w:kern w:val="0"/>
                <w:vertAlign w:val="superscript"/>
                <w:lang w:bidi="ar"/>
              </w:rPr>
              <w:t>2</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序号</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项目名称</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单位</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数量</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单价</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直接费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6295.81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（一）</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直接工程费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6077.04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人工费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596.57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甲类工</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工日</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155.69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乙类工</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工日</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4.00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149.14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596.57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机械费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3</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材料费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5480.47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（1）</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有机-无机复混肥料</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kg</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1500.00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3.58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5373.01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（2）</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其他材料费用</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2.00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5373.01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107.46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措施费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3.60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6077.04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218.77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二</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间接费</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5.00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6295.81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314.79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三</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利润</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3.00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6610.60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198.32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四</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材料价差</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0.00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五</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税金</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9.00 </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6808.92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612.80 </w:t>
            </w:r>
          </w:p>
        </w:tc>
      </w:tr>
      <w:tr>
        <w:tblPrEx>
          <w:tblLayout w:type="fixed"/>
          <w:tblCellMar>
            <w:top w:w="0" w:type="dxa"/>
            <w:left w:w="108" w:type="dxa"/>
            <w:bottom w:w="0" w:type="dxa"/>
            <w:right w:w="108" w:type="dxa"/>
          </w:tblCellMar>
        </w:tblPrEx>
        <w:trPr>
          <w:trHeight w:val="312" w:hRule="atLeast"/>
        </w:trPr>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合计</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rPr>
                <w:color w:val="000000"/>
                <w:sz w:val="21"/>
                <w:szCs w:val="21"/>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color w:val="000000"/>
                <w:sz w:val="21"/>
                <w:szCs w:val="21"/>
              </w:rPr>
            </w:pPr>
            <w:r>
              <w:rPr>
                <w:color w:val="000000"/>
                <w:kern w:val="0"/>
                <w:sz w:val="21"/>
                <w:szCs w:val="21"/>
                <w:lang w:bidi="ar"/>
              </w:rPr>
              <w:t xml:space="preserve">7421.73 </w:t>
            </w:r>
          </w:p>
        </w:tc>
      </w:tr>
    </w:tbl>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p>
      <w:pPr>
        <w:snapToGrid w:val="0"/>
        <w:spacing w:line="240" w:lineRule="auto"/>
        <w:ind w:firstLine="0" w:firstLineChars="0"/>
        <w:jc w:val="center"/>
        <w:textAlignment w:val="baseline"/>
        <w:rPr>
          <w:rFonts w:eastAsia="宋体"/>
          <w:szCs w:val="22"/>
        </w:rPr>
      </w:pPr>
    </w:p>
    <w:tbl>
      <w:tblPr>
        <w:tblStyle w:val="88"/>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9"/>
        <w:gridCol w:w="3105"/>
        <w:gridCol w:w="767"/>
        <w:gridCol w:w="1309"/>
        <w:gridCol w:w="131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128" w:type="dxa"/>
            <w:gridSpan w:val="6"/>
            <w:tcBorders>
              <w:top w:val="nil"/>
              <w:left w:val="nil"/>
              <w:bottom w:val="nil"/>
              <w:right w:val="nil"/>
            </w:tcBorders>
            <w:noWrap/>
            <w:vAlign w:val="center"/>
          </w:tcPr>
          <w:p>
            <w:pPr>
              <w:widowControl/>
              <w:snapToGrid w:val="0"/>
              <w:spacing w:line="240" w:lineRule="auto"/>
              <w:ind w:firstLine="0" w:firstLineChars="0"/>
              <w:jc w:val="left"/>
              <w:textAlignment w:val="auto"/>
              <w:rPr>
                <w:kern w:val="0"/>
              </w:rPr>
            </w:pPr>
            <w:r>
              <w:rPr>
                <w:kern w:val="0"/>
              </w:rPr>
              <w:t>定额编号：参公路8007041</w:t>
            </w:r>
            <w:r>
              <w:rPr>
                <w:rFonts w:hint="eastAsia"/>
                <w:kern w:val="0"/>
              </w:rPr>
              <w:t xml:space="preserve">       </w:t>
            </w:r>
            <w:r>
              <w:rPr>
                <w:kern w:val="0"/>
              </w:rPr>
              <w:t>洒水（洒水量</w:t>
            </w:r>
            <w:r>
              <w:rPr>
                <w:rFonts w:hint="eastAsia"/>
                <w:kern w:val="0"/>
              </w:rPr>
              <w:t>330</w:t>
            </w:r>
            <w:r>
              <w:rPr>
                <w:kern w:val="0"/>
              </w:rPr>
              <w:t>0m</w:t>
            </w:r>
            <w:r>
              <w:rPr>
                <w:kern w:val="0"/>
                <w:vertAlign w:val="superscript"/>
              </w:rPr>
              <w:t>3</w:t>
            </w:r>
            <w:r>
              <w:rPr>
                <w:kern w:val="0"/>
              </w:rPr>
              <w:t>/hm</w:t>
            </w:r>
            <w:r>
              <w:rPr>
                <w:kern w:val="0"/>
                <w:vertAlign w:val="superscript"/>
              </w:rPr>
              <w:t>2</w:t>
            </w: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0" w:hRule="atLeast"/>
          <w:jc w:val="center"/>
        </w:trPr>
        <w:tc>
          <w:tcPr>
            <w:tcW w:w="9128" w:type="dxa"/>
            <w:gridSpan w:val="6"/>
            <w:tcBorders>
              <w:top w:val="nil"/>
              <w:left w:val="nil"/>
              <w:bottom w:val="single" w:color="auto" w:sz="4" w:space="0"/>
              <w:right w:val="nil"/>
            </w:tcBorders>
            <w:noWrap/>
            <w:vAlign w:val="center"/>
          </w:tcPr>
          <w:p>
            <w:pPr>
              <w:widowControl/>
              <w:snapToGrid w:val="0"/>
              <w:spacing w:line="240" w:lineRule="auto"/>
              <w:ind w:firstLine="0" w:firstLineChars="0"/>
              <w:jc w:val="left"/>
              <w:textAlignment w:val="auto"/>
              <w:rPr>
                <w:kern w:val="0"/>
              </w:rPr>
            </w:pPr>
            <w:r>
              <w:rPr>
                <w:kern w:val="0"/>
              </w:rPr>
              <w:t>工作内容：吸水、运送、洒水、空回。</w:t>
            </w:r>
            <w:r>
              <w:rPr>
                <w:rFonts w:hint="eastAsia"/>
                <w:kern w:val="0"/>
              </w:rPr>
              <w:t xml:space="preserve">                               </w:t>
            </w:r>
            <w:r>
              <w:rPr>
                <w:kern w:val="0"/>
              </w:rPr>
              <w:t>单位：hm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序号</w:t>
            </w:r>
          </w:p>
        </w:tc>
        <w:tc>
          <w:tcPr>
            <w:tcW w:w="3105"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项目名称</w:t>
            </w:r>
          </w:p>
        </w:tc>
        <w:tc>
          <w:tcPr>
            <w:tcW w:w="767"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单位</w:t>
            </w:r>
          </w:p>
        </w:tc>
        <w:tc>
          <w:tcPr>
            <w:tcW w:w="1309"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数量</w:t>
            </w:r>
          </w:p>
        </w:tc>
        <w:tc>
          <w:tcPr>
            <w:tcW w:w="1310"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单价</w:t>
            </w:r>
          </w:p>
        </w:tc>
        <w:tc>
          <w:tcPr>
            <w:tcW w:w="1508" w:type="dxa"/>
            <w:tcBorders>
              <w:top w:val="single" w:color="auto" w:sz="4" w:space="0"/>
            </w:tcBorders>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直接费</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27109.89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（一）</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直接工程费</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26167.85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人工费</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甲类工</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155.69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乙类工</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工日</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149.14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2</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机械费</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5158.06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洒水车4.8m</w:t>
            </w:r>
            <w:r>
              <w:rPr>
                <w:kern w:val="0"/>
                <w:sz w:val="20"/>
                <w:szCs w:val="20"/>
                <w:vertAlign w:val="superscript"/>
              </w:rPr>
              <w:t>3</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台班</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429.84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5158.06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3</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材料费</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19763.70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水</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m</w:t>
            </w:r>
            <w:r>
              <w:rPr>
                <w:kern w:val="0"/>
                <w:sz w:val="20"/>
                <w:szCs w:val="20"/>
                <w:vertAlign w:val="superscript"/>
              </w:rPr>
              <w:t>3</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3300.00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5.99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19763.70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4</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其他费用</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24921.76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1246.09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措施费</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3.60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26167.85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942.04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二</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间接费</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27109.89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1355.49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三</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利润</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28465.38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853.96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四</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材料价差</w:t>
            </w: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2340.82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1</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汽油</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kg</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408.00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5.74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2340.82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五</w:t>
            </w:r>
          </w:p>
        </w:tc>
        <w:tc>
          <w:tcPr>
            <w:tcW w:w="3105"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税金</w:t>
            </w:r>
          </w:p>
        </w:tc>
        <w:tc>
          <w:tcPr>
            <w:tcW w:w="767"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w:t>
            </w:r>
          </w:p>
        </w:tc>
        <w:tc>
          <w:tcPr>
            <w:tcW w:w="130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9.00 </w:t>
            </w:r>
          </w:p>
        </w:tc>
        <w:tc>
          <w:tcPr>
            <w:tcW w:w="1310"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31660.17 </w:t>
            </w: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2849.41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jc w:val="center"/>
        </w:trPr>
        <w:tc>
          <w:tcPr>
            <w:tcW w:w="1129"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合计</w:t>
            </w:r>
          </w:p>
        </w:tc>
        <w:tc>
          <w:tcPr>
            <w:tcW w:w="3105" w:type="dxa"/>
            <w:noWrap/>
            <w:vAlign w:val="center"/>
          </w:tcPr>
          <w:p>
            <w:pPr>
              <w:widowControl/>
              <w:snapToGrid w:val="0"/>
              <w:spacing w:line="240" w:lineRule="auto"/>
              <w:ind w:firstLine="0" w:firstLineChars="0"/>
              <w:jc w:val="center"/>
              <w:textAlignment w:val="auto"/>
              <w:rPr>
                <w:kern w:val="0"/>
                <w:sz w:val="20"/>
                <w:szCs w:val="20"/>
              </w:rPr>
            </w:pPr>
          </w:p>
        </w:tc>
        <w:tc>
          <w:tcPr>
            <w:tcW w:w="767" w:type="dxa"/>
            <w:noWrap/>
            <w:vAlign w:val="center"/>
          </w:tcPr>
          <w:p>
            <w:pPr>
              <w:widowControl/>
              <w:snapToGrid w:val="0"/>
              <w:spacing w:line="240" w:lineRule="auto"/>
              <w:ind w:firstLine="0" w:firstLineChars="0"/>
              <w:jc w:val="center"/>
              <w:textAlignment w:val="auto"/>
              <w:rPr>
                <w:kern w:val="0"/>
                <w:sz w:val="20"/>
                <w:szCs w:val="20"/>
              </w:rPr>
            </w:pPr>
          </w:p>
        </w:tc>
        <w:tc>
          <w:tcPr>
            <w:tcW w:w="1309" w:type="dxa"/>
            <w:noWrap/>
            <w:vAlign w:val="center"/>
          </w:tcPr>
          <w:p>
            <w:pPr>
              <w:widowControl/>
              <w:snapToGrid w:val="0"/>
              <w:spacing w:line="240" w:lineRule="auto"/>
              <w:ind w:firstLine="0" w:firstLineChars="0"/>
              <w:jc w:val="center"/>
              <w:textAlignment w:val="auto"/>
              <w:rPr>
                <w:kern w:val="0"/>
                <w:sz w:val="20"/>
                <w:szCs w:val="20"/>
              </w:rPr>
            </w:pPr>
          </w:p>
        </w:tc>
        <w:tc>
          <w:tcPr>
            <w:tcW w:w="1310" w:type="dxa"/>
            <w:noWrap/>
            <w:vAlign w:val="center"/>
          </w:tcPr>
          <w:p>
            <w:pPr>
              <w:widowControl/>
              <w:snapToGrid w:val="0"/>
              <w:spacing w:line="240" w:lineRule="auto"/>
              <w:ind w:firstLine="0" w:firstLineChars="0"/>
              <w:jc w:val="center"/>
              <w:textAlignment w:val="auto"/>
              <w:rPr>
                <w:kern w:val="0"/>
                <w:sz w:val="20"/>
                <w:szCs w:val="20"/>
              </w:rPr>
            </w:pPr>
          </w:p>
        </w:tc>
        <w:tc>
          <w:tcPr>
            <w:tcW w:w="1508" w:type="dxa"/>
            <w:noWrap/>
            <w:vAlign w:val="center"/>
          </w:tcPr>
          <w:p>
            <w:pPr>
              <w:widowControl/>
              <w:snapToGrid w:val="0"/>
              <w:spacing w:line="240" w:lineRule="auto"/>
              <w:ind w:firstLine="0" w:firstLineChars="0"/>
              <w:jc w:val="center"/>
              <w:textAlignment w:val="auto"/>
              <w:rPr>
                <w:kern w:val="0"/>
                <w:sz w:val="20"/>
                <w:szCs w:val="20"/>
              </w:rPr>
            </w:pPr>
            <w:r>
              <w:rPr>
                <w:kern w:val="0"/>
                <w:sz w:val="20"/>
                <w:szCs w:val="20"/>
              </w:rPr>
              <w:t xml:space="preserve">34509.58 </w:t>
            </w:r>
          </w:p>
        </w:tc>
      </w:tr>
    </w:tbl>
    <w:p>
      <w:pPr>
        <w:ind w:firstLine="420"/>
        <w:rPr>
          <w:rFonts w:eastAsia="黑体"/>
          <w:sz w:val="21"/>
        </w:rPr>
      </w:pPr>
    </w:p>
    <w:p>
      <w:pPr>
        <w:ind w:firstLine="480"/>
        <w:jc w:val="center"/>
        <w:sectPr>
          <w:pgSz w:w="11906" w:h="16838"/>
          <w:pgMar w:top="1418" w:right="1247" w:bottom="1418" w:left="1247" w:header="851" w:footer="992" w:gutter="340"/>
          <w:cols w:space="720" w:num="1"/>
          <w:docGrid w:type="linesAndChars" w:linePitch="312" w:charSpace="0"/>
        </w:sectPr>
      </w:pPr>
    </w:p>
    <w:p>
      <w:pPr>
        <w:snapToGrid w:val="0"/>
        <w:ind w:firstLine="0" w:firstLineChars="0"/>
        <w:jc w:val="center"/>
        <w:rPr>
          <w:rFonts w:eastAsia="黑体"/>
          <w:sz w:val="21"/>
        </w:rPr>
      </w:pPr>
      <w:r>
        <w:rPr>
          <w:rFonts w:hint="eastAsia" w:eastAsia="黑体"/>
          <w:sz w:val="21"/>
        </w:rPr>
        <w:t>表8.2-7人工费估算单价计算表</w:t>
      </w:r>
    </w:p>
    <w:tbl>
      <w:tblPr>
        <w:tblStyle w:val="88"/>
        <w:tblW w:w="9072" w:type="dxa"/>
        <w:jc w:val="center"/>
        <w:tblInd w:w="0" w:type="dxa"/>
        <w:tblLayout w:type="fixed"/>
        <w:tblCellMar>
          <w:top w:w="0" w:type="dxa"/>
          <w:left w:w="0" w:type="dxa"/>
          <w:bottom w:w="0" w:type="dxa"/>
          <w:right w:w="0" w:type="dxa"/>
        </w:tblCellMar>
      </w:tblPr>
      <w:tblGrid>
        <w:gridCol w:w="1003"/>
        <w:gridCol w:w="2942"/>
        <w:gridCol w:w="4204"/>
        <w:gridCol w:w="923"/>
      </w:tblGrid>
      <w:tr>
        <w:tblPrEx>
          <w:tblLayout w:type="fixed"/>
          <w:tblCellMar>
            <w:top w:w="0" w:type="dxa"/>
            <w:left w:w="0" w:type="dxa"/>
            <w:bottom w:w="0" w:type="dxa"/>
            <w:right w:w="0" w:type="dxa"/>
          </w:tblCellMar>
        </w:tblPrEx>
        <w:trPr>
          <w:trHeight w:val="288" w:hRule="atLeast"/>
          <w:jc w:val="center"/>
        </w:trPr>
        <w:tc>
          <w:tcPr>
            <w:tcW w:w="9072" w:type="dxa"/>
            <w:gridSpan w:val="4"/>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1"/>
              </w:rPr>
            </w:pPr>
            <w:r>
              <w:rPr>
                <w:sz w:val="21"/>
                <w:szCs w:val="21"/>
              </w:rPr>
              <w:t>甲类工</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地区类别</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十一类工资区、</w:t>
            </w:r>
            <w:r>
              <w:rPr>
                <w:rFonts w:hint="eastAsia"/>
                <w:kern w:val="0"/>
                <w:sz w:val="21"/>
                <w:szCs w:val="21"/>
                <w:lang w:bidi="ar"/>
              </w:rPr>
              <w:t>四类津贴区</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定额人工等级</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金额</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项目</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计算式</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单价(元)</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基本工资</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1620元/月×12月÷(250天-10天)×1.1304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91.56</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辅助工资</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12.58</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地区津贴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7</w:t>
            </w:r>
            <w:r>
              <w:rPr>
                <w:rFonts w:hint="eastAsia"/>
                <w:kern w:val="0"/>
                <w:sz w:val="20"/>
                <w:szCs w:val="20"/>
                <w:lang w:bidi="ar"/>
              </w:rPr>
              <w:t>8</w:t>
            </w:r>
            <w:r>
              <w:rPr>
                <w:kern w:val="0"/>
                <w:sz w:val="20"/>
                <w:szCs w:val="20"/>
                <w:lang w:bidi="ar"/>
              </w:rPr>
              <w:t>元/月×12月÷(250天-10天)</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3.90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施工津贴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3.5元/天×365天×95%÷(250天-10天)</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5.06</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夜餐津贴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（4.5＋3.5）元/天÷2×0.2</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0.80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节日加班津贴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基本工资×（3-1）×11÷250天×0.35</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2.82</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工资附加费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51.55</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职工福利基金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(1+2)×14%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14.58</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工会经费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2.08</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养老保险费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(1+2)×20%</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20.83</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医疗保险费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4.17</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工伤保险费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(1+2)×1.5%</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1.56</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（6）</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职工失业保险基金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2.08</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（7）</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住房公积金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(1+2)×6%</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6.25</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人工工日预算单价</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(1+2+3)</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155.69</w:t>
            </w:r>
          </w:p>
        </w:tc>
      </w:tr>
      <w:tr>
        <w:tblPrEx>
          <w:tblLayout w:type="fixed"/>
          <w:tblCellMar>
            <w:top w:w="0" w:type="dxa"/>
            <w:left w:w="0" w:type="dxa"/>
            <w:bottom w:w="0" w:type="dxa"/>
            <w:right w:w="0" w:type="dxa"/>
          </w:tblCellMar>
        </w:tblPrEx>
        <w:trPr>
          <w:trHeight w:val="288" w:hRule="atLeast"/>
          <w:jc w:val="center"/>
        </w:trPr>
        <w:tc>
          <w:tcPr>
            <w:tcW w:w="9072" w:type="dxa"/>
            <w:gridSpan w:val="4"/>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乙类工</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地区类别</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十一类工资区、</w:t>
            </w:r>
            <w:r>
              <w:rPr>
                <w:rFonts w:hint="eastAsia"/>
                <w:kern w:val="0"/>
                <w:sz w:val="21"/>
                <w:szCs w:val="21"/>
                <w:lang w:bidi="ar"/>
              </w:rPr>
              <w:t>四类津贴区</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定额人工等级</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金额</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项目</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计算式</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单价(元)</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基本工资</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1620元/月×12月÷(250天-10天)×1.1304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91.56</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辅助工资</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8.20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地区津贴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7</w:t>
            </w:r>
            <w:r>
              <w:rPr>
                <w:rFonts w:hint="eastAsia"/>
                <w:kern w:val="0"/>
                <w:sz w:val="20"/>
                <w:szCs w:val="20"/>
                <w:lang w:bidi="ar"/>
              </w:rPr>
              <w:t>8</w:t>
            </w:r>
            <w:r>
              <w:rPr>
                <w:kern w:val="0"/>
                <w:sz w:val="20"/>
                <w:szCs w:val="20"/>
                <w:lang w:bidi="ar"/>
              </w:rPr>
              <w:t>元/月×12月÷(250天-10天)</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3.90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施工津贴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2.0元/天×365天×95%÷(250天-10天)</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2.89</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夜餐津贴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（4.5＋3.5）元/天÷2×0.05</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0.20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节日加班津贴</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基本工资×（3-1）×11÷250天×0.15</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1.21</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工资附加费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49.38</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职工福利基金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(1+2)×14%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13.97</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工会经费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2.00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养老保险费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(1+2)×20%</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19.95</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医疗保险费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(1+2)×4%</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3.99</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工伤保险费</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(1+2)×1.5%</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1.50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（6）</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职工失业保险基金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(1+2)×2%</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2.00</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（7）</w:t>
            </w: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住房公积金</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(1+2)×6%</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5.99</w:t>
            </w:r>
          </w:p>
        </w:tc>
      </w:tr>
      <w:tr>
        <w:tblPrEx>
          <w:tblLayout w:type="fixed"/>
          <w:tblCellMar>
            <w:top w:w="0" w:type="dxa"/>
            <w:left w:w="0" w:type="dxa"/>
            <w:bottom w:w="0" w:type="dxa"/>
            <w:right w:w="0" w:type="dxa"/>
          </w:tblCellMar>
        </w:tblPrEx>
        <w:trPr>
          <w:trHeight w:val="288" w:hRule="atLeast"/>
          <w:jc w:val="center"/>
        </w:trPr>
        <w:tc>
          <w:tcPr>
            <w:tcW w:w="10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p>
        </w:tc>
        <w:tc>
          <w:tcPr>
            <w:tcW w:w="294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kern w:val="0"/>
                <w:sz w:val="21"/>
                <w:szCs w:val="21"/>
                <w:lang w:bidi="ar"/>
              </w:rPr>
              <w:t>人工工日预算单价</w:t>
            </w:r>
          </w:p>
        </w:tc>
        <w:tc>
          <w:tcPr>
            <w:tcW w:w="42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left"/>
              <w:rPr>
                <w:sz w:val="21"/>
                <w:szCs w:val="21"/>
              </w:rPr>
            </w:pPr>
            <w:r>
              <w:rPr>
                <w:kern w:val="0"/>
                <w:sz w:val="20"/>
                <w:szCs w:val="20"/>
                <w:lang w:bidi="ar"/>
              </w:rPr>
              <w:t>(1+2+3)</w:t>
            </w:r>
          </w:p>
        </w:tc>
        <w:tc>
          <w:tcPr>
            <w:tcW w:w="9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sz w:val="21"/>
                <w:szCs w:val="21"/>
              </w:rPr>
            </w:pPr>
            <w:r>
              <w:rPr>
                <w:rFonts w:hint="eastAsia"/>
                <w:sz w:val="21"/>
                <w:szCs w:val="21"/>
              </w:rPr>
              <w:t>149.14</w:t>
            </w:r>
          </w:p>
        </w:tc>
      </w:tr>
    </w:tbl>
    <w:p>
      <w:pPr>
        <w:ind w:firstLine="480"/>
        <w:jc w:val="center"/>
        <w:sectPr>
          <w:pgSz w:w="11906" w:h="16838"/>
          <w:pgMar w:top="1418" w:right="1247" w:bottom="1418" w:left="1247" w:header="851" w:footer="992" w:gutter="340"/>
          <w:cols w:space="720" w:num="1"/>
          <w:docGrid w:type="linesAndChars" w:linePitch="312" w:charSpace="0"/>
        </w:sectPr>
      </w:pPr>
    </w:p>
    <w:p>
      <w:pPr>
        <w:snapToGrid w:val="0"/>
        <w:ind w:firstLine="0" w:firstLineChars="0"/>
        <w:jc w:val="center"/>
        <w:rPr>
          <w:rFonts w:eastAsia="黑体"/>
          <w:sz w:val="21"/>
        </w:rPr>
      </w:pPr>
      <w:r>
        <w:rPr>
          <w:rFonts w:hint="eastAsia" w:eastAsia="黑体"/>
          <w:sz w:val="21"/>
        </w:rPr>
        <w:t>表8.2-8预算材料费价格表</w:t>
      </w:r>
    </w:p>
    <w:tbl>
      <w:tblPr>
        <w:tblStyle w:val="88"/>
        <w:tblW w:w="14054" w:type="dxa"/>
        <w:jc w:val="center"/>
        <w:tblInd w:w="0" w:type="dxa"/>
        <w:tblLayout w:type="fixed"/>
        <w:tblCellMar>
          <w:top w:w="0" w:type="dxa"/>
          <w:left w:w="0" w:type="dxa"/>
          <w:bottom w:w="0" w:type="dxa"/>
          <w:right w:w="0" w:type="dxa"/>
        </w:tblCellMar>
      </w:tblPr>
      <w:tblGrid>
        <w:gridCol w:w="530"/>
        <w:gridCol w:w="1169"/>
        <w:gridCol w:w="530"/>
        <w:gridCol w:w="2338"/>
        <w:gridCol w:w="941"/>
        <w:gridCol w:w="1081"/>
        <w:gridCol w:w="930"/>
        <w:gridCol w:w="660"/>
        <w:gridCol w:w="953"/>
        <w:gridCol w:w="901"/>
        <w:gridCol w:w="824"/>
        <w:gridCol w:w="909"/>
        <w:gridCol w:w="693"/>
        <w:gridCol w:w="1595"/>
      </w:tblGrid>
      <w:tr>
        <w:tblPrEx>
          <w:tblLayout w:type="fixed"/>
          <w:tblCellMar>
            <w:top w:w="0" w:type="dxa"/>
            <w:left w:w="0" w:type="dxa"/>
            <w:bottom w:w="0" w:type="dxa"/>
            <w:right w:w="0" w:type="dxa"/>
          </w:tblCellMar>
        </w:tblPrEx>
        <w:trPr>
          <w:trHeight w:val="276" w:hRule="atLeast"/>
          <w:jc w:val="center"/>
        </w:trPr>
        <w:tc>
          <w:tcPr>
            <w:tcW w:w="53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序号</w:t>
            </w:r>
          </w:p>
        </w:tc>
        <w:tc>
          <w:tcPr>
            <w:tcW w:w="116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名称及规格</w:t>
            </w:r>
          </w:p>
        </w:tc>
        <w:tc>
          <w:tcPr>
            <w:tcW w:w="53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单位</w:t>
            </w:r>
          </w:p>
        </w:tc>
        <w:tc>
          <w:tcPr>
            <w:tcW w:w="233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原价依据</w:t>
            </w:r>
          </w:p>
        </w:tc>
        <w:tc>
          <w:tcPr>
            <w:tcW w:w="94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单位毛重（</w:t>
            </w:r>
            <w:r>
              <w:rPr>
                <w:rFonts w:eastAsia="宋体"/>
                <w:kern w:val="0"/>
                <w:sz w:val="20"/>
                <w:szCs w:val="20"/>
                <w:lang w:bidi="ar"/>
              </w:rPr>
              <w:t>t</w:t>
            </w:r>
            <w:r>
              <w:rPr>
                <w:kern w:val="0"/>
                <w:sz w:val="20"/>
                <w:szCs w:val="20"/>
                <w:lang w:bidi="ar"/>
              </w:rPr>
              <w:t>）</w:t>
            </w:r>
          </w:p>
        </w:tc>
        <w:tc>
          <w:tcPr>
            <w:tcW w:w="108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每吨运杂费（元）</w:t>
            </w:r>
          </w:p>
        </w:tc>
        <w:tc>
          <w:tcPr>
            <w:tcW w:w="7465" w:type="dxa"/>
            <w:gridSpan w:val="8"/>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价格（元）</w:t>
            </w:r>
          </w:p>
        </w:tc>
      </w:tr>
      <w:tr>
        <w:tblPrEx>
          <w:tblLayout w:type="fixed"/>
          <w:tblCellMar>
            <w:top w:w="0" w:type="dxa"/>
            <w:left w:w="0" w:type="dxa"/>
            <w:bottom w:w="0" w:type="dxa"/>
            <w:right w:w="0" w:type="dxa"/>
          </w:tblCellMar>
        </w:tblPrEx>
        <w:trPr>
          <w:trHeight w:val="576" w:hRule="atLeast"/>
          <w:jc w:val="center"/>
        </w:trPr>
        <w:tc>
          <w:tcPr>
            <w:tcW w:w="53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116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53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233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94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108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原价</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运杂费</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采购及保管费</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到工地价格</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保险费</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kern w:val="0"/>
                <w:sz w:val="20"/>
                <w:szCs w:val="20"/>
                <w:lang w:bidi="ar"/>
              </w:rPr>
              <w:t>预算价格</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pPr>
            <w:r>
              <w:rPr>
                <w:kern w:val="0"/>
                <w:sz w:val="20"/>
                <w:szCs w:val="20"/>
                <w:lang w:bidi="ar"/>
              </w:rPr>
              <w:t>限价</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eastAsia="宋体"/>
              </w:rPr>
            </w:pPr>
            <w:r>
              <w:rPr>
                <w:kern w:val="0"/>
                <w:sz w:val="20"/>
                <w:szCs w:val="20"/>
                <w:lang w:bidi="ar"/>
              </w:rPr>
              <w:t>价差</w:t>
            </w:r>
          </w:p>
        </w:tc>
      </w:tr>
      <w:tr>
        <w:tblPrEx>
          <w:tblLayout w:type="fixed"/>
          <w:tblCellMar>
            <w:top w:w="0" w:type="dxa"/>
            <w:left w:w="0" w:type="dxa"/>
            <w:bottom w:w="0" w:type="dxa"/>
            <w:right w:w="0" w:type="dxa"/>
          </w:tblCellMar>
        </w:tblPrEx>
        <w:trPr>
          <w:trHeight w:val="276" w:hRule="atLeast"/>
          <w:jc w:val="center"/>
        </w:trPr>
        <w:tc>
          <w:tcPr>
            <w:tcW w:w="53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116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53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233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1</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3</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4=1*2</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5=6*2%</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6=3+4</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7=6*4‰</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eastAsia="宋体"/>
              </w:rPr>
            </w:pPr>
            <w:r>
              <w:rPr>
                <w:rFonts w:eastAsia="宋体"/>
                <w:kern w:val="0"/>
                <w:sz w:val="20"/>
                <w:szCs w:val="20"/>
                <w:lang w:bidi="ar"/>
              </w:rPr>
              <w:t>8=5+6+7</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pPr>
            <w:r>
              <w:rPr>
                <w:rFonts w:eastAsia="宋体"/>
                <w:kern w:val="0"/>
                <w:sz w:val="20"/>
                <w:szCs w:val="20"/>
                <w:lang w:bidi="ar"/>
              </w:rPr>
              <w:t>9</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rFonts w:eastAsia="宋体"/>
              </w:rPr>
            </w:pPr>
            <w:r>
              <w:rPr>
                <w:rFonts w:eastAsia="宋体"/>
                <w:kern w:val="0"/>
                <w:sz w:val="20"/>
                <w:szCs w:val="20"/>
                <w:lang w:bidi="ar"/>
              </w:rPr>
              <w:t>10=8-9</w:t>
            </w:r>
          </w:p>
        </w:tc>
      </w:tr>
      <w:tr>
        <w:tblPrEx>
          <w:tblLayout w:type="fixed"/>
          <w:tblCellMar>
            <w:top w:w="0" w:type="dxa"/>
            <w:left w:w="0" w:type="dxa"/>
            <w:bottom w:w="0" w:type="dxa"/>
            <w:right w:w="0" w:type="dxa"/>
          </w:tblCellMar>
        </w:tblPrEx>
        <w:trPr>
          <w:trHeight w:val="288"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0#柴油</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t</w:t>
            </w:r>
          </w:p>
        </w:tc>
        <w:tc>
          <w:tcPr>
            <w:tcW w:w="2338" w:type="dxa"/>
            <w:vMerge w:val="restart"/>
            <w:tcBorders>
              <w:top w:val="single" w:color="000000" w:sz="4" w:space="0"/>
              <w:left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rFonts w:hint="eastAsia"/>
                <w:kern w:val="0"/>
                <w:sz w:val="20"/>
                <w:szCs w:val="20"/>
                <w:lang w:bidi="ar"/>
              </w:rPr>
              <w:t>喀什地区</w:t>
            </w:r>
            <w:r>
              <w:rPr>
                <w:kern w:val="0"/>
                <w:sz w:val="20"/>
                <w:szCs w:val="20"/>
                <w:lang w:bidi="ar"/>
              </w:rPr>
              <w:t>2024</w:t>
            </w:r>
            <w:r>
              <w:rPr>
                <w:rFonts w:hint="eastAsia"/>
                <w:kern w:val="0"/>
                <w:sz w:val="20"/>
                <w:szCs w:val="20"/>
                <w:lang w:bidi="ar"/>
              </w:rPr>
              <w:t>年7月建设工程除税综合价格信息</w:t>
            </w: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1.000</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16.57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8230.00</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16.57 </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164.93 </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8246.57 </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8411.50 </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4500.00</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0"/>
                <w:szCs w:val="20"/>
                <w:lang w:bidi="ar"/>
              </w:rPr>
            </w:pPr>
            <w:r>
              <w:rPr>
                <w:kern w:val="0"/>
                <w:sz w:val="20"/>
                <w:szCs w:val="20"/>
                <w:lang w:bidi="ar"/>
              </w:rPr>
              <w:t>3911.50</w:t>
            </w:r>
          </w:p>
        </w:tc>
      </w:tr>
      <w:tr>
        <w:tblPrEx>
          <w:tblLayout w:type="fixed"/>
          <w:tblCellMar>
            <w:top w:w="0" w:type="dxa"/>
            <w:left w:w="0" w:type="dxa"/>
            <w:bottom w:w="0" w:type="dxa"/>
            <w:right w:w="0" w:type="dxa"/>
          </w:tblCellMar>
        </w:tblPrEx>
        <w:trPr>
          <w:trHeight w:val="288"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2</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92#汽油</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t</w:t>
            </w:r>
          </w:p>
        </w:tc>
        <w:tc>
          <w:tcPr>
            <w:tcW w:w="2338" w:type="dxa"/>
            <w:vMerge w:val="continue"/>
            <w:tcBorders>
              <w:left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1.000</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16.57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10020.00</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16.57 </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200.73 </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10036.57 </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10237.30 </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4500.00</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0"/>
                <w:szCs w:val="20"/>
                <w:lang w:bidi="ar"/>
              </w:rPr>
            </w:pPr>
            <w:r>
              <w:rPr>
                <w:kern w:val="0"/>
                <w:sz w:val="20"/>
                <w:szCs w:val="20"/>
                <w:lang w:bidi="ar"/>
              </w:rPr>
              <w:t>5737.30</w:t>
            </w:r>
          </w:p>
        </w:tc>
      </w:tr>
      <w:tr>
        <w:tblPrEx>
          <w:tblLayout w:type="fixed"/>
          <w:tblCellMar>
            <w:top w:w="0" w:type="dxa"/>
            <w:left w:w="0" w:type="dxa"/>
            <w:bottom w:w="0" w:type="dxa"/>
            <w:right w:w="0" w:type="dxa"/>
          </w:tblCellMar>
        </w:tblPrEx>
        <w:trPr>
          <w:trHeight w:val="288"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3</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水</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m</w:t>
            </w:r>
            <w:r>
              <w:rPr>
                <w:kern w:val="0"/>
                <w:sz w:val="20"/>
                <w:szCs w:val="20"/>
                <w:vertAlign w:val="superscript"/>
                <w:lang w:bidi="ar"/>
              </w:rPr>
              <w:t>3</w:t>
            </w:r>
          </w:p>
        </w:tc>
        <w:tc>
          <w:tcPr>
            <w:tcW w:w="2338" w:type="dxa"/>
            <w:vMerge w:val="continue"/>
            <w:tcBorders>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1.000</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2.19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3.80</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2.19 </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5.99 </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5.99 </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r>
      <w:tr>
        <w:tblPrEx>
          <w:tblLayout w:type="fixed"/>
          <w:tblCellMar>
            <w:top w:w="0" w:type="dxa"/>
            <w:left w:w="0" w:type="dxa"/>
            <w:bottom w:w="0" w:type="dxa"/>
            <w:right w:w="0" w:type="dxa"/>
          </w:tblCellMar>
        </w:tblPrEx>
        <w:trPr>
          <w:trHeight w:val="288"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4</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草籽</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t</w:t>
            </w:r>
          </w:p>
        </w:tc>
        <w:tc>
          <w:tcPr>
            <w:tcW w:w="23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rFonts w:hint="eastAsia"/>
                <w:kern w:val="0"/>
                <w:sz w:val="20"/>
                <w:szCs w:val="20"/>
                <w:lang w:bidi="ar"/>
              </w:rPr>
              <w:t>市场价</w:t>
            </w: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1.000</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11.77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45000.00</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11.77 </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900.24 </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45011.77 </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45912.01 </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r>
      <w:tr>
        <w:tblPrEx>
          <w:tblLayout w:type="fixed"/>
          <w:tblCellMar>
            <w:top w:w="0" w:type="dxa"/>
            <w:left w:w="0" w:type="dxa"/>
            <w:bottom w:w="0" w:type="dxa"/>
            <w:right w:w="0" w:type="dxa"/>
          </w:tblCellMar>
        </w:tblPrEx>
        <w:trPr>
          <w:trHeight w:val="288"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5</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有机无机复混肥</w:t>
            </w:r>
          </w:p>
        </w:tc>
        <w:tc>
          <w:tcPr>
            <w:tcW w:w="5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t</w:t>
            </w:r>
          </w:p>
        </w:tc>
        <w:tc>
          <w:tcPr>
            <w:tcW w:w="23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rFonts w:hint="eastAsia"/>
                <w:kern w:val="0"/>
                <w:sz w:val="20"/>
                <w:szCs w:val="20"/>
                <w:lang w:bidi="ar"/>
              </w:rPr>
              <w:t>市场价</w:t>
            </w:r>
          </w:p>
        </w:tc>
        <w:tc>
          <w:tcPr>
            <w:tcW w:w="9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1.000</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11.77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3500.00</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11.77 </w:t>
            </w: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70.24 </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3511.77 </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0.00 </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 xml:space="preserve">3582.01 </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c>
          <w:tcPr>
            <w:tcW w:w="1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0"/>
                <w:szCs w:val="20"/>
                <w:lang w:bidi="ar"/>
              </w:rPr>
            </w:pPr>
            <w:r>
              <w:rPr>
                <w:kern w:val="0"/>
                <w:sz w:val="20"/>
                <w:szCs w:val="20"/>
                <w:lang w:bidi="ar"/>
              </w:rPr>
              <w:t>——</w:t>
            </w:r>
          </w:p>
        </w:tc>
      </w:tr>
    </w:tbl>
    <w:p>
      <w:pPr>
        <w:snapToGrid w:val="0"/>
        <w:ind w:firstLine="0" w:firstLineChars="0"/>
        <w:jc w:val="center"/>
        <w:rPr>
          <w:rFonts w:eastAsia="黑体"/>
          <w:sz w:val="21"/>
        </w:rPr>
      </w:pPr>
      <w:r>
        <w:rPr>
          <w:rFonts w:hint="eastAsia" w:eastAsia="黑体"/>
          <w:sz w:val="21"/>
        </w:rPr>
        <w:t>表8.2-9主要材料运杂费计算表</w:t>
      </w:r>
    </w:p>
    <w:tbl>
      <w:tblPr>
        <w:tblStyle w:val="88"/>
        <w:tblW w:w="14029" w:type="dxa"/>
        <w:jc w:val="center"/>
        <w:tblInd w:w="0" w:type="dxa"/>
        <w:tblLayout w:type="fixed"/>
        <w:tblCellMar>
          <w:top w:w="0" w:type="dxa"/>
          <w:left w:w="0" w:type="dxa"/>
          <w:bottom w:w="0" w:type="dxa"/>
          <w:right w:w="0" w:type="dxa"/>
        </w:tblCellMar>
      </w:tblPr>
      <w:tblGrid>
        <w:gridCol w:w="567"/>
        <w:gridCol w:w="1690"/>
        <w:gridCol w:w="567"/>
        <w:gridCol w:w="969"/>
        <w:gridCol w:w="2577"/>
        <w:gridCol w:w="1552"/>
        <w:gridCol w:w="1609"/>
        <w:gridCol w:w="1836"/>
        <w:gridCol w:w="1112"/>
        <w:gridCol w:w="1550"/>
      </w:tblGrid>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序号</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名称及规格</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单位</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货物等级</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运输起始地点</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运输距离</w:t>
            </w:r>
            <w:r>
              <w:rPr>
                <w:rFonts w:eastAsia="宋体"/>
                <w:sz w:val="21"/>
                <w:szCs w:val="20"/>
              </w:rPr>
              <w:t>(</w:t>
            </w:r>
            <w:r>
              <w:rPr>
                <w:sz w:val="21"/>
                <w:szCs w:val="20"/>
              </w:rPr>
              <w:t>公里</w:t>
            </w:r>
            <w:r>
              <w:rPr>
                <w:rFonts w:eastAsia="宋体"/>
                <w:sz w:val="21"/>
                <w:szCs w:val="20"/>
              </w:rPr>
              <w:t>)</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运率</w:t>
            </w:r>
            <w:r>
              <w:rPr>
                <w:rFonts w:eastAsia="宋体"/>
                <w:sz w:val="21"/>
                <w:szCs w:val="20"/>
              </w:rPr>
              <w:t>(</w:t>
            </w:r>
            <w:r>
              <w:rPr>
                <w:sz w:val="21"/>
                <w:szCs w:val="20"/>
              </w:rPr>
              <w:t>元</w:t>
            </w:r>
            <w:r>
              <w:rPr>
                <w:rFonts w:eastAsia="宋体"/>
                <w:sz w:val="21"/>
                <w:szCs w:val="20"/>
              </w:rPr>
              <w:t>/</w:t>
            </w:r>
            <w:r>
              <w:rPr>
                <w:sz w:val="21"/>
                <w:szCs w:val="20"/>
              </w:rPr>
              <w:t>吨公里</w:t>
            </w:r>
            <w:r>
              <w:rPr>
                <w:rFonts w:eastAsia="宋体"/>
                <w:sz w:val="21"/>
                <w:szCs w:val="20"/>
              </w:rPr>
              <w:t>)</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一类路区调整系数</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装卸费</w:t>
            </w:r>
            <w:r>
              <w:rPr>
                <w:rFonts w:eastAsia="宋体"/>
                <w:sz w:val="21"/>
                <w:szCs w:val="20"/>
              </w:rPr>
              <w:t>(</w:t>
            </w:r>
            <w:r>
              <w:rPr>
                <w:sz w:val="21"/>
                <w:szCs w:val="20"/>
              </w:rPr>
              <w:t>元</w:t>
            </w:r>
            <w:r>
              <w:rPr>
                <w:rFonts w:eastAsia="宋体"/>
                <w:sz w:val="21"/>
                <w:szCs w:val="20"/>
              </w:rPr>
              <w:t>)</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eastAsia="宋体"/>
                <w:sz w:val="21"/>
                <w:szCs w:val="20"/>
              </w:rPr>
            </w:pPr>
            <w:r>
              <w:rPr>
                <w:sz w:val="21"/>
                <w:szCs w:val="20"/>
              </w:rPr>
              <w:t>每吨运杂费</w:t>
            </w:r>
            <w:r>
              <w:rPr>
                <w:rFonts w:eastAsia="宋体"/>
                <w:sz w:val="21"/>
                <w:szCs w:val="20"/>
              </w:rPr>
              <w:t>(</w:t>
            </w:r>
            <w:r>
              <w:rPr>
                <w:sz w:val="21"/>
                <w:szCs w:val="20"/>
              </w:rPr>
              <w:t>元</w:t>
            </w:r>
            <w:r>
              <w:rPr>
                <w:rFonts w:eastAsia="宋体"/>
                <w:sz w:val="21"/>
                <w:szCs w:val="20"/>
              </w:rPr>
              <w:t>)</w:t>
            </w:r>
          </w:p>
        </w:tc>
      </w:tr>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1</w:t>
            </w:r>
          </w:p>
        </w:tc>
        <w:tc>
          <w:tcPr>
            <w:tcW w:w="169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0#柴油</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t</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危险</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中国石油（喀什泽普南疆加油站）</w:t>
            </w:r>
            <w:r>
              <w:rPr>
                <w:sz w:val="21"/>
                <w:szCs w:val="20"/>
              </w:rPr>
              <w:t>-复垦区</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8.00 </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1.283 </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7.80 </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16.57 </w:t>
            </w:r>
          </w:p>
        </w:tc>
      </w:tr>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2</w:t>
            </w:r>
          </w:p>
        </w:tc>
        <w:tc>
          <w:tcPr>
            <w:tcW w:w="169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92#汽油</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t</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危险</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中国石油（喀什泽普南疆加油站）</w:t>
            </w:r>
            <w:r>
              <w:rPr>
                <w:sz w:val="21"/>
                <w:szCs w:val="20"/>
              </w:rPr>
              <w:t>-复垦区</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8.00 </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1.283 </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7.80 </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16.57 </w:t>
            </w:r>
          </w:p>
        </w:tc>
      </w:tr>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3</w:t>
            </w:r>
          </w:p>
        </w:tc>
        <w:tc>
          <w:tcPr>
            <w:tcW w:w="169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水</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m3</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二等</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灌区渠道</w:t>
            </w:r>
            <w:r>
              <w:rPr>
                <w:sz w:val="21"/>
                <w:szCs w:val="20"/>
              </w:rPr>
              <w:t>-复垦区</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2.189 </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0.00 </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2.19 </w:t>
            </w:r>
          </w:p>
        </w:tc>
      </w:tr>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4</w:t>
            </w:r>
          </w:p>
        </w:tc>
        <w:tc>
          <w:tcPr>
            <w:tcW w:w="169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草籽</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t</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二等</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泽普县-复垦区</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8.00 </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1.054 </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4.40 </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11.77 </w:t>
            </w:r>
          </w:p>
        </w:tc>
      </w:tr>
      <w:tr>
        <w:tblPrEx>
          <w:tblLayout w:type="fixed"/>
          <w:tblCellMar>
            <w:top w:w="0" w:type="dxa"/>
            <w:left w:w="0" w:type="dxa"/>
            <w:bottom w:w="0" w:type="dxa"/>
            <w:right w:w="0" w:type="dxa"/>
          </w:tblCellMar>
        </w:tblPrEx>
        <w:trPr>
          <w:trHeight w:val="288"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5</w:t>
            </w:r>
          </w:p>
        </w:tc>
        <w:tc>
          <w:tcPr>
            <w:tcW w:w="169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0"/>
              </w:rPr>
            </w:pPr>
            <w:r>
              <w:rPr>
                <w:sz w:val="21"/>
                <w:szCs w:val="20"/>
              </w:rPr>
              <w:t>有机无机复混肥</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t</w:t>
            </w:r>
          </w:p>
        </w:tc>
        <w:tc>
          <w:tcPr>
            <w:tcW w:w="96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二等</w:t>
            </w:r>
          </w:p>
        </w:tc>
        <w:tc>
          <w:tcPr>
            <w:tcW w:w="25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rFonts w:hint="eastAsia"/>
                <w:sz w:val="21"/>
                <w:szCs w:val="20"/>
              </w:rPr>
              <w:t>泽普县-复垦区</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8.00 </w:t>
            </w:r>
          </w:p>
        </w:tc>
        <w:tc>
          <w:tcPr>
            <w:tcW w:w="1609"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1.054 </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1.00 </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4.40 </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sz w:val="21"/>
                <w:szCs w:val="20"/>
              </w:rPr>
            </w:pPr>
            <w:r>
              <w:rPr>
                <w:sz w:val="21"/>
                <w:szCs w:val="20"/>
              </w:rPr>
              <w:t xml:space="preserve">11.77 </w:t>
            </w:r>
          </w:p>
        </w:tc>
      </w:tr>
    </w:tbl>
    <w:p>
      <w:pPr>
        <w:ind w:firstLine="480"/>
        <w:jc w:val="center"/>
        <w:sectPr>
          <w:pgSz w:w="16838" w:h="11906" w:orient="landscape"/>
          <w:pgMar w:top="1247" w:right="1418" w:bottom="1247" w:left="1418" w:header="851" w:footer="992" w:gutter="340"/>
          <w:cols w:space="720" w:num="1"/>
          <w:docGrid w:type="linesAndChars" w:linePitch="326" w:charSpace="0"/>
        </w:sectPr>
      </w:pPr>
    </w:p>
    <w:p>
      <w:pPr>
        <w:snapToGrid w:val="0"/>
        <w:ind w:firstLine="0" w:firstLineChars="0"/>
        <w:jc w:val="center"/>
        <w:rPr>
          <w:rFonts w:eastAsia="黑体"/>
          <w:sz w:val="21"/>
        </w:rPr>
      </w:pPr>
      <w:r>
        <w:rPr>
          <w:rFonts w:hint="eastAsia" w:eastAsia="黑体"/>
          <w:sz w:val="21"/>
        </w:rPr>
        <w:t>表8.2-10土地复垦机械台班费单价估算表</w:t>
      </w:r>
    </w:p>
    <w:tbl>
      <w:tblPr>
        <w:tblStyle w:val="88"/>
        <w:tblW w:w="9240" w:type="dxa"/>
        <w:tblInd w:w="96" w:type="dxa"/>
        <w:tblLayout w:type="fixed"/>
        <w:tblCellMar>
          <w:top w:w="0" w:type="dxa"/>
          <w:left w:w="108" w:type="dxa"/>
          <w:bottom w:w="0" w:type="dxa"/>
          <w:right w:w="108" w:type="dxa"/>
        </w:tblCellMar>
      </w:tblPr>
      <w:tblGrid>
        <w:gridCol w:w="801"/>
        <w:gridCol w:w="2049"/>
        <w:gridCol w:w="768"/>
        <w:gridCol w:w="1740"/>
        <w:gridCol w:w="2172"/>
        <w:gridCol w:w="1710"/>
      </w:tblGrid>
      <w:tr>
        <w:tblPrEx>
          <w:tblLayout w:type="fixed"/>
          <w:tblCellMar>
            <w:top w:w="0" w:type="dxa"/>
            <w:left w:w="108" w:type="dxa"/>
            <w:bottom w:w="0" w:type="dxa"/>
            <w:right w:w="108" w:type="dxa"/>
          </w:tblCellMar>
        </w:tblPrEx>
        <w:trPr>
          <w:trHeight w:val="312" w:hRule="atLeast"/>
        </w:trPr>
        <w:tc>
          <w:tcPr>
            <w:tcW w:w="2850" w:type="dxa"/>
            <w:gridSpan w:val="2"/>
            <w:tcBorders>
              <w:top w:val="nil"/>
              <w:left w:val="nil"/>
              <w:bottom w:val="nil"/>
              <w:right w:val="nil"/>
            </w:tcBorders>
            <w:shd w:val="clear" w:color="auto" w:fill="auto"/>
            <w:noWrap/>
            <w:vAlign w:val="center"/>
          </w:tcPr>
          <w:p>
            <w:pPr>
              <w:widowControl/>
              <w:snapToGrid w:val="0"/>
              <w:spacing w:line="240" w:lineRule="auto"/>
              <w:ind w:firstLine="0" w:firstLineChars="0"/>
              <w:jc w:val="left"/>
              <w:rPr>
                <w:rFonts w:eastAsia="宋体"/>
                <w:sz w:val="21"/>
                <w:szCs w:val="21"/>
              </w:rPr>
            </w:pPr>
            <w:r>
              <w:rPr>
                <w:rFonts w:ascii="仿宋_GB2312" w:cs="仿宋_GB2312"/>
                <w:kern w:val="0"/>
                <w:sz w:val="21"/>
                <w:szCs w:val="21"/>
                <w:lang w:bidi="ar"/>
              </w:rPr>
              <w:t>定额编号：</w:t>
            </w:r>
            <w:r>
              <w:rPr>
                <w:rFonts w:eastAsia="宋体"/>
                <w:kern w:val="0"/>
                <w:sz w:val="21"/>
                <w:szCs w:val="21"/>
                <w:lang w:bidi="ar"/>
              </w:rPr>
              <w:t>1013</w:t>
            </w:r>
          </w:p>
        </w:tc>
        <w:tc>
          <w:tcPr>
            <w:tcW w:w="4680" w:type="dxa"/>
            <w:gridSpan w:val="3"/>
            <w:tcBorders>
              <w:top w:val="nil"/>
              <w:left w:val="nil"/>
              <w:bottom w:val="nil"/>
              <w:right w:val="nil"/>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59kw</w:t>
            </w:r>
            <w:r>
              <w:rPr>
                <w:rFonts w:ascii="仿宋_GB2312" w:cs="仿宋_GB2312"/>
                <w:kern w:val="0"/>
                <w:sz w:val="21"/>
                <w:szCs w:val="21"/>
                <w:lang w:bidi="ar"/>
              </w:rPr>
              <w:t>推土机）</w:t>
            </w:r>
          </w:p>
        </w:tc>
        <w:tc>
          <w:tcPr>
            <w:tcW w:w="1710" w:type="dxa"/>
            <w:tcBorders>
              <w:top w:val="nil"/>
              <w:left w:val="nil"/>
              <w:bottom w:val="nil"/>
              <w:right w:val="nil"/>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金额单位：元</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序号</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费用名称</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单位</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数量</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单价</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801"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1</w:t>
            </w:r>
          </w:p>
        </w:tc>
        <w:tc>
          <w:tcPr>
            <w:tcW w:w="2049"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一类费用</w:t>
            </w:r>
          </w:p>
        </w:tc>
        <w:tc>
          <w:tcPr>
            <w:tcW w:w="768"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2172"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75.46</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1</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折旧费</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33.52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33.52</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2</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修理及替换设备费</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40.42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40.42</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3</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安装拆卸费</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1.52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1.52</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2</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二类费用</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509.38</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1</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人工</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工日</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2</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155.69</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311.38</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2</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汽油</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kg</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3</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柴油</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kg</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44</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4.50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198.00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4</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电</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kwh</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5</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风</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m</w:t>
            </w:r>
            <w:r>
              <w:rPr>
                <w:rFonts w:eastAsia="宋体"/>
                <w:kern w:val="0"/>
                <w:sz w:val="21"/>
                <w:szCs w:val="21"/>
                <w:vertAlign w:val="superscript"/>
                <w:lang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6</w:t>
            </w:r>
            <w:r>
              <w:rPr>
                <w:rFonts w:ascii="仿宋_GB2312" w:cs="仿宋_GB2312"/>
                <w:kern w:val="0"/>
                <w:sz w:val="21"/>
                <w:szCs w:val="21"/>
                <w:lang w:bidi="ar"/>
              </w:rPr>
              <w:t>）</w:t>
            </w:r>
          </w:p>
        </w:tc>
        <w:tc>
          <w:tcPr>
            <w:tcW w:w="2049"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水</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m</w:t>
            </w:r>
            <w:r>
              <w:rPr>
                <w:rFonts w:eastAsia="宋体"/>
                <w:kern w:val="0"/>
                <w:sz w:val="21"/>
                <w:szCs w:val="21"/>
                <w:vertAlign w:val="superscript"/>
                <w:lang w:bidi="ar"/>
              </w:rPr>
              <w:t>3</w:t>
            </w:r>
          </w:p>
        </w:tc>
        <w:tc>
          <w:tcPr>
            <w:tcW w:w="1740"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2172"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合计</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584.84</w:t>
            </w:r>
          </w:p>
        </w:tc>
      </w:tr>
    </w:tbl>
    <w:p>
      <w:pPr>
        <w:ind w:firstLine="480"/>
      </w:pPr>
    </w:p>
    <w:p>
      <w:pPr>
        <w:ind w:firstLine="480"/>
      </w:pPr>
    </w:p>
    <w:p>
      <w:pPr>
        <w:ind w:firstLine="480"/>
      </w:pPr>
    </w:p>
    <w:p>
      <w:pPr>
        <w:ind w:firstLine="480"/>
      </w:pPr>
    </w:p>
    <w:p>
      <w:pPr>
        <w:ind w:firstLine="480"/>
      </w:pPr>
    </w:p>
    <w:tbl>
      <w:tblPr>
        <w:tblStyle w:val="88"/>
        <w:tblW w:w="9078" w:type="dxa"/>
        <w:jc w:val="center"/>
        <w:tblInd w:w="0" w:type="dxa"/>
        <w:tblLayout w:type="fixed"/>
        <w:tblCellMar>
          <w:top w:w="0" w:type="dxa"/>
          <w:left w:w="0" w:type="dxa"/>
          <w:bottom w:w="0" w:type="dxa"/>
          <w:right w:w="0" w:type="dxa"/>
        </w:tblCellMar>
      </w:tblPr>
      <w:tblGrid>
        <w:gridCol w:w="926"/>
        <w:gridCol w:w="2855"/>
        <w:gridCol w:w="953"/>
        <w:gridCol w:w="952"/>
        <w:gridCol w:w="1288"/>
        <w:gridCol w:w="2104"/>
      </w:tblGrid>
      <w:tr>
        <w:tblPrEx>
          <w:tblLayout w:type="fixed"/>
          <w:tblCellMar>
            <w:top w:w="0" w:type="dxa"/>
            <w:left w:w="0" w:type="dxa"/>
            <w:bottom w:w="0" w:type="dxa"/>
            <w:right w:w="0" w:type="dxa"/>
          </w:tblCellMar>
        </w:tblPrEx>
        <w:trPr>
          <w:trHeight w:val="348" w:hRule="atLeast"/>
          <w:jc w:val="center"/>
        </w:trPr>
        <w:tc>
          <w:tcPr>
            <w:tcW w:w="3781" w:type="dxa"/>
            <w:gridSpan w:val="2"/>
            <w:tcBorders>
              <w:top w:val="nil"/>
              <w:left w:val="nil"/>
              <w:bottom w:val="nil"/>
              <w:right w:val="nil"/>
            </w:tcBorders>
            <w:noWrap/>
            <w:vAlign w:val="center"/>
          </w:tcPr>
          <w:p>
            <w:pPr>
              <w:snapToGrid w:val="0"/>
              <w:spacing w:line="240" w:lineRule="auto"/>
              <w:ind w:firstLine="0" w:firstLineChars="0"/>
              <w:jc w:val="left"/>
              <w:rPr>
                <w:sz w:val="21"/>
                <w:szCs w:val="21"/>
              </w:rPr>
            </w:pPr>
            <w:r>
              <w:rPr>
                <w:sz w:val="21"/>
                <w:szCs w:val="21"/>
              </w:rPr>
              <w:t>定额编号：1014</w:t>
            </w:r>
          </w:p>
        </w:tc>
        <w:tc>
          <w:tcPr>
            <w:tcW w:w="3193" w:type="dxa"/>
            <w:gridSpan w:val="3"/>
            <w:tcBorders>
              <w:top w:val="nil"/>
              <w:left w:val="nil"/>
              <w:bottom w:val="nil"/>
              <w:right w:val="nil"/>
            </w:tcBorders>
            <w:noWrap/>
            <w:vAlign w:val="center"/>
          </w:tcPr>
          <w:p>
            <w:pPr>
              <w:snapToGrid w:val="0"/>
              <w:spacing w:line="240" w:lineRule="auto"/>
              <w:ind w:firstLine="0" w:firstLineChars="0"/>
              <w:jc w:val="center"/>
              <w:rPr>
                <w:sz w:val="21"/>
                <w:szCs w:val="21"/>
              </w:rPr>
            </w:pPr>
            <w:r>
              <w:rPr>
                <w:sz w:val="21"/>
                <w:szCs w:val="21"/>
              </w:rPr>
              <w:t>（74kw推土机）</w:t>
            </w:r>
          </w:p>
        </w:tc>
        <w:tc>
          <w:tcPr>
            <w:tcW w:w="2104" w:type="dxa"/>
            <w:tcBorders>
              <w:top w:val="nil"/>
              <w:left w:val="nil"/>
              <w:bottom w:val="nil"/>
              <w:right w:val="nil"/>
            </w:tcBorders>
            <w:noWrap/>
            <w:vAlign w:val="center"/>
          </w:tcPr>
          <w:p>
            <w:pPr>
              <w:snapToGrid w:val="0"/>
              <w:spacing w:line="240" w:lineRule="auto"/>
              <w:ind w:firstLine="0" w:firstLineChars="0"/>
              <w:jc w:val="center"/>
              <w:rPr>
                <w:sz w:val="21"/>
                <w:szCs w:val="21"/>
              </w:rPr>
            </w:pPr>
            <w:r>
              <w:rPr>
                <w:sz w:val="21"/>
                <w:szCs w:val="21"/>
              </w:rPr>
              <w:t>金额单位：元</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序号</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费用名称</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单位</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数量</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单价</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小计</w:t>
            </w:r>
          </w:p>
        </w:tc>
      </w:tr>
      <w:tr>
        <w:tblPrEx>
          <w:tblLayout w:type="fixed"/>
          <w:tblCellMar>
            <w:top w:w="0" w:type="dxa"/>
            <w:left w:w="0" w:type="dxa"/>
            <w:bottom w:w="0" w:type="dxa"/>
            <w:right w:w="0" w:type="dxa"/>
          </w:tblCellMar>
        </w:tblPrEx>
        <w:trPr>
          <w:trHeight w:val="357" w:hRule="atLeast"/>
          <w:jc w:val="center"/>
        </w:trPr>
        <w:tc>
          <w:tcPr>
            <w:tcW w:w="926"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2855"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一类费用</w:t>
            </w:r>
          </w:p>
        </w:tc>
        <w:tc>
          <w:tcPr>
            <w:tcW w:w="953"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952"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1288"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nil"/>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207.49</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折旧费</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元</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92.39</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92.39</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修理及替换设备费</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元</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110.92</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110.92</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（3）</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安装拆卸费</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元</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4.18</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4.18</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二类费用</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558.88</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人工</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工日</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155.69</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311.38</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汽油</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kg</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0</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0.00</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（3）</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柴油</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kg</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55</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4.50</w:t>
            </w: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247.50</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（4）</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电</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kwh</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0.00</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（5）</w:t>
            </w:r>
          </w:p>
        </w:tc>
        <w:tc>
          <w:tcPr>
            <w:tcW w:w="2855"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风</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m</w:t>
            </w:r>
            <w:r>
              <w:rPr>
                <w:sz w:val="21"/>
                <w:szCs w:val="21"/>
                <w:vertAlign w:val="superscript"/>
              </w:rPr>
              <w:t>3</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0</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0.00</w:t>
            </w:r>
          </w:p>
        </w:tc>
      </w:tr>
      <w:tr>
        <w:tblPrEx>
          <w:tblLayout w:type="fixed"/>
          <w:tblCellMar>
            <w:top w:w="0" w:type="dxa"/>
            <w:left w:w="0" w:type="dxa"/>
            <w:bottom w:w="0" w:type="dxa"/>
            <w:right w:w="0" w:type="dxa"/>
          </w:tblCellMar>
        </w:tblPrEx>
        <w:trPr>
          <w:trHeight w:val="357" w:hRule="atLeast"/>
          <w:jc w:val="center"/>
        </w:trPr>
        <w:tc>
          <w:tcPr>
            <w:tcW w:w="926"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r>
              <w:rPr>
                <w:sz w:val="21"/>
                <w:szCs w:val="21"/>
              </w:rPr>
              <w:t>（6）</w:t>
            </w:r>
          </w:p>
        </w:tc>
        <w:tc>
          <w:tcPr>
            <w:tcW w:w="2855"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r>
              <w:rPr>
                <w:sz w:val="21"/>
                <w:szCs w:val="21"/>
              </w:rPr>
              <w:t>水</w:t>
            </w:r>
          </w:p>
        </w:tc>
        <w:tc>
          <w:tcPr>
            <w:tcW w:w="953"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r>
              <w:rPr>
                <w:sz w:val="21"/>
                <w:szCs w:val="21"/>
              </w:rPr>
              <w:t>m</w:t>
            </w:r>
            <w:r>
              <w:rPr>
                <w:sz w:val="21"/>
                <w:szCs w:val="21"/>
                <w:vertAlign w:val="superscript"/>
              </w:rPr>
              <w:t>3</w:t>
            </w:r>
          </w:p>
        </w:tc>
        <w:tc>
          <w:tcPr>
            <w:tcW w:w="952"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r>
              <w:rPr>
                <w:sz w:val="21"/>
                <w:szCs w:val="21"/>
              </w:rPr>
              <w:t>0</w:t>
            </w:r>
          </w:p>
        </w:tc>
        <w:tc>
          <w:tcPr>
            <w:tcW w:w="1288"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nil"/>
              <w:right w:val="single" w:color="000000" w:sz="4" w:space="0"/>
            </w:tcBorders>
            <w:noWrap/>
            <w:vAlign w:val="center"/>
          </w:tcPr>
          <w:p>
            <w:pPr>
              <w:snapToGrid w:val="0"/>
              <w:spacing w:line="240" w:lineRule="auto"/>
              <w:ind w:firstLine="0" w:firstLineChars="0"/>
              <w:jc w:val="center"/>
              <w:rPr>
                <w:sz w:val="21"/>
                <w:szCs w:val="21"/>
              </w:rPr>
            </w:pPr>
            <w:r>
              <w:rPr>
                <w:sz w:val="21"/>
                <w:szCs w:val="21"/>
              </w:rPr>
              <w:t>0.00</w:t>
            </w:r>
          </w:p>
        </w:tc>
      </w:tr>
      <w:tr>
        <w:tblPrEx>
          <w:tblLayout w:type="fixed"/>
          <w:tblCellMar>
            <w:top w:w="0" w:type="dxa"/>
            <w:left w:w="0" w:type="dxa"/>
            <w:bottom w:w="0" w:type="dxa"/>
            <w:right w:w="0" w:type="dxa"/>
          </w:tblCellMar>
        </w:tblPrEx>
        <w:trPr>
          <w:trHeight w:val="366" w:hRule="atLeast"/>
          <w:jc w:val="center"/>
        </w:trPr>
        <w:tc>
          <w:tcPr>
            <w:tcW w:w="3781" w:type="dxa"/>
            <w:gridSpan w:val="2"/>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合计</w:t>
            </w:r>
          </w:p>
        </w:tc>
        <w:tc>
          <w:tcPr>
            <w:tcW w:w="953"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95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p>
        </w:tc>
        <w:tc>
          <w:tcPr>
            <w:tcW w:w="2104" w:type="dxa"/>
            <w:tcBorders>
              <w:top w:val="single" w:color="000000" w:sz="4" w:space="0"/>
              <w:left w:val="single" w:color="000000" w:sz="4" w:space="0"/>
              <w:bottom w:val="single" w:color="000000" w:sz="4" w:space="0"/>
              <w:right w:val="single" w:color="000000" w:sz="4" w:space="0"/>
            </w:tcBorders>
            <w:noWrap/>
            <w:vAlign w:val="center"/>
          </w:tcPr>
          <w:p>
            <w:pPr>
              <w:snapToGrid w:val="0"/>
              <w:spacing w:line="240" w:lineRule="auto"/>
              <w:ind w:firstLine="0" w:firstLineChars="0"/>
              <w:jc w:val="center"/>
              <w:rPr>
                <w:sz w:val="21"/>
                <w:szCs w:val="21"/>
              </w:rPr>
            </w:pPr>
            <w:r>
              <w:rPr>
                <w:sz w:val="21"/>
                <w:szCs w:val="21"/>
              </w:rPr>
              <w:t>766.37</w:t>
            </w:r>
          </w:p>
        </w:tc>
      </w:tr>
    </w:tbl>
    <w:p>
      <w:pPr>
        <w:spacing w:line="240" w:lineRule="auto"/>
        <w:ind w:firstLine="0" w:firstLineChars="0"/>
        <w:jc w:val="center"/>
        <w:rPr>
          <w:sz w:val="21"/>
          <w:szCs w:val="20"/>
        </w:rPr>
      </w:pPr>
    </w:p>
    <w:p>
      <w:pPr>
        <w:ind w:firstLine="480"/>
      </w:pPr>
    </w:p>
    <w:p>
      <w:pPr>
        <w:ind w:firstLine="480"/>
      </w:pPr>
    </w:p>
    <w:p>
      <w:pPr>
        <w:ind w:firstLine="480"/>
      </w:pPr>
    </w:p>
    <w:p>
      <w:pPr>
        <w:ind w:firstLine="480"/>
      </w:pPr>
    </w:p>
    <w:tbl>
      <w:tblPr>
        <w:tblStyle w:val="88"/>
        <w:tblW w:w="9065" w:type="dxa"/>
        <w:tblInd w:w="105" w:type="dxa"/>
        <w:tblLayout w:type="fixed"/>
        <w:tblCellMar>
          <w:top w:w="0" w:type="dxa"/>
          <w:left w:w="108" w:type="dxa"/>
          <w:bottom w:w="0" w:type="dxa"/>
          <w:right w:w="108" w:type="dxa"/>
        </w:tblCellMar>
      </w:tblPr>
      <w:tblGrid>
        <w:gridCol w:w="761"/>
        <w:gridCol w:w="2229"/>
        <w:gridCol w:w="1430"/>
        <w:gridCol w:w="1429"/>
        <w:gridCol w:w="1786"/>
        <w:gridCol w:w="1430"/>
      </w:tblGrid>
      <w:tr>
        <w:tblPrEx>
          <w:tblLayout w:type="fixed"/>
          <w:tblCellMar>
            <w:top w:w="0" w:type="dxa"/>
            <w:left w:w="108" w:type="dxa"/>
            <w:bottom w:w="0" w:type="dxa"/>
            <w:right w:w="108" w:type="dxa"/>
          </w:tblCellMar>
        </w:tblPrEx>
        <w:trPr>
          <w:trHeight w:val="312" w:hRule="atLeast"/>
        </w:trPr>
        <w:tc>
          <w:tcPr>
            <w:tcW w:w="2990" w:type="dxa"/>
            <w:gridSpan w:val="2"/>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left"/>
              <w:rPr>
                <w:sz w:val="21"/>
                <w:szCs w:val="21"/>
              </w:rPr>
            </w:pPr>
            <w:r>
              <w:rPr>
                <w:kern w:val="0"/>
                <w:sz w:val="21"/>
                <w:szCs w:val="21"/>
                <w:lang w:bidi="ar"/>
              </w:rPr>
              <w:t>定额编号：1021</w:t>
            </w:r>
          </w:p>
        </w:tc>
        <w:tc>
          <w:tcPr>
            <w:tcW w:w="4645" w:type="dxa"/>
            <w:gridSpan w:val="3"/>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（59kw履带式拖拉机）</w:t>
            </w:r>
          </w:p>
        </w:tc>
        <w:tc>
          <w:tcPr>
            <w:tcW w:w="1430" w:type="dxa"/>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right"/>
              <w:rPr>
                <w:sz w:val="21"/>
                <w:szCs w:val="21"/>
              </w:rPr>
            </w:pPr>
            <w:r>
              <w:rPr>
                <w:kern w:val="0"/>
                <w:sz w:val="21"/>
                <w:szCs w:val="21"/>
                <w:lang w:bidi="ar"/>
              </w:rPr>
              <w:t>金额单位：元</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费用名称</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单位</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数量</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单价</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一类费用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98.40</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折旧费</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43.45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43.45</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修理及替换设备费</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52.13</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52.13</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安装拆卸费</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2.82</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2.82</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二类费用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558.88</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人工</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工日</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155.69</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311.38</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汽油</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kg</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柴油</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kg</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55</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4.50</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247.50</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电</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kwh</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风</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m</w:t>
            </w:r>
            <w:r>
              <w:rPr>
                <w:kern w:val="0"/>
                <w:sz w:val="21"/>
                <w:szCs w:val="21"/>
                <w:vertAlign w:val="superscript"/>
                <w:lang w:bidi="ar"/>
              </w:rPr>
              <w:t>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（6）</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水</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m</w:t>
            </w:r>
            <w:r>
              <w:rPr>
                <w:kern w:val="0"/>
                <w:sz w:val="21"/>
                <w:szCs w:val="21"/>
                <w:vertAlign w:val="superscript"/>
                <w:lang w:bidi="ar"/>
              </w:rPr>
              <w:t>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29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合计</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657.28</w:t>
            </w:r>
          </w:p>
        </w:tc>
      </w:tr>
    </w:tbl>
    <w:p>
      <w:pPr>
        <w:ind w:firstLine="480"/>
      </w:pPr>
    </w:p>
    <w:p>
      <w:pPr>
        <w:ind w:firstLine="480"/>
      </w:pPr>
    </w:p>
    <w:p>
      <w:pPr>
        <w:ind w:firstLine="480"/>
      </w:pPr>
    </w:p>
    <w:p>
      <w:pPr>
        <w:ind w:firstLine="480"/>
      </w:pPr>
    </w:p>
    <w:tbl>
      <w:tblPr>
        <w:tblStyle w:val="88"/>
        <w:tblW w:w="9032" w:type="dxa"/>
        <w:tblInd w:w="135" w:type="dxa"/>
        <w:tblLayout w:type="fixed"/>
        <w:tblCellMar>
          <w:top w:w="0" w:type="dxa"/>
          <w:left w:w="108" w:type="dxa"/>
          <w:bottom w:w="0" w:type="dxa"/>
          <w:right w:w="108" w:type="dxa"/>
        </w:tblCellMar>
      </w:tblPr>
      <w:tblGrid>
        <w:gridCol w:w="740"/>
        <w:gridCol w:w="2229"/>
        <w:gridCol w:w="1543"/>
        <w:gridCol w:w="1541"/>
        <w:gridCol w:w="1552"/>
        <w:gridCol w:w="1427"/>
      </w:tblGrid>
      <w:tr>
        <w:tblPrEx>
          <w:tblLayout w:type="fixed"/>
          <w:tblCellMar>
            <w:top w:w="0" w:type="dxa"/>
            <w:left w:w="108" w:type="dxa"/>
            <w:bottom w:w="0" w:type="dxa"/>
            <w:right w:w="108" w:type="dxa"/>
          </w:tblCellMar>
        </w:tblPrEx>
        <w:trPr>
          <w:trHeight w:val="312" w:hRule="atLeast"/>
        </w:trPr>
        <w:tc>
          <w:tcPr>
            <w:tcW w:w="2969" w:type="dxa"/>
            <w:gridSpan w:val="2"/>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left"/>
              <w:rPr>
                <w:sz w:val="21"/>
                <w:szCs w:val="21"/>
              </w:rPr>
            </w:pPr>
            <w:r>
              <w:rPr>
                <w:kern w:val="0"/>
                <w:sz w:val="21"/>
                <w:szCs w:val="21"/>
                <w:lang w:bidi="ar"/>
              </w:rPr>
              <w:t>定额编号：1049</w:t>
            </w:r>
          </w:p>
        </w:tc>
        <w:tc>
          <w:tcPr>
            <w:tcW w:w="4636" w:type="dxa"/>
            <w:gridSpan w:val="3"/>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（三铧犁）</w:t>
            </w:r>
          </w:p>
        </w:tc>
        <w:tc>
          <w:tcPr>
            <w:tcW w:w="1427" w:type="dxa"/>
            <w:tcBorders>
              <w:top w:val="nil"/>
              <w:left w:val="nil"/>
              <w:bottom w:val="single" w:color="000000" w:sz="4" w:space="0"/>
              <w:right w:val="nil"/>
            </w:tcBorders>
            <w:shd w:val="clear" w:color="auto" w:fill="auto"/>
            <w:noWrap/>
            <w:vAlign w:val="center"/>
          </w:tcPr>
          <w:p>
            <w:pPr>
              <w:widowControl/>
              <w:snapToGrid w:val="0"/>
              <w:spacing w:line="240" w:lineRule="auto"/>
              <w:ind w:firstLine="0" w:firstLineChars="0"/>
              <w:jc w:val="right"/>
              <w:rPr>
                <w:sz w:val="21"/>
                <w:szCs w:val="21"/>
              </w:rPr>
            </w:pPr>
            <w:r>
              <w:rPr>
                <w:kern w:val="0"/>
                <w:sz w:val="21"/>
                <w:szCs w:val="21"/>
                <w:lang w:bidi="ar"/>
              </w:rPr>
              <w:t>金额单位：元</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序号</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费用名称</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单位</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数量</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单价</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一类费用</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11.37</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折旧费</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3.10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3.10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修理及替换设备费</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8.27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8.27</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安装拆卸费</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元</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二类费用</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人工</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工日</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汽油</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kg</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柴油</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kg</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（4）</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电</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kwh</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（5）</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风</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m</w:t>
            </w:r>
            <w:r>
              <w:rPr>
                <w:kern w:val="0"/>
                <w:sz w:val="21"/>
                <w:szCs w:val="21"/>
                <w:vertAlign w:val="superscript"/>
                <w:lang w:bidi="ar"/>
              </w:rPr>
              <w:t>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（6）</w:t>
            </w:r>
          </w:p>
        </w:tc>
        <w:tc>
          <w:tcPr>
            <w:tcW w:w="2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水</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m</w:t>
            </w:r>
            <w:r>
              <w:rPr>
                <w:kern w:val="0"/>
                <w:sz w:val="21"/>
                <w:szCs w:val="21"/>
                <w:vertAlign w:val="superscript"/>
                <w:lang w:bidi="ar"/>
              </w:rPr>
              <w:t>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29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r>
              <w:rPr>
                <w:kern w:val="0"/>
                <w:sz w:val="21"/>
                <w:szCs w:val="21"/>
                <w:lang w:bidi="ar"/>
              </w:rPr>
              <w:t>合计</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sz w:val="21"/>
                <w:szCs w:val="21"/>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11.37</w:t>
            </w:r>
          </w:p>
        </w:tc>
      </w:tr>
    </w:tbl>
    <w:p>
      <w:pPr>
        <w:ind w:firstLine="480"/>
      </w:pPr>
    </w:p>
    <w:p>
      <w:pPr>
        <w:ind w:firstLine="480"/>
      </w:pPr>
    </w:p>
    <w:p>
      <w:pPr>
        <w:ind w:firstLine="480"/>
      </w:pPr>
    </w:p>
    <w:p>
      <w:pPr>
        <w:ind w:firstLine="480"/>
      </w:pPr>
    </w:p>
    <w:tbl>
      <w:tblPr>
        <w:tblStyle w:val="88"/>
        <w:tblW w:w="9066" w:type="dxa"/>
        <w:tblInd w:w="96" w:type="dxa"/>
        <w:tblLayout w:type="fixed"/>
        <w:tblCellMar>
          <w:top w:w="0" w:type="dxa"/>
          <w:left w:w="108" w:type="dxa"/>
          <w:bottom w:w="0" w:type="dxa"/>
          <w:right w:w="108" w:type="dxa"/>
        </w:tblCellMar>
      </w:tblPr>
      <w:tblGrid>
        <w:gridCol w:w="801"/>
        <w:gridCol w:w="2049"/>
        <w:gridCol w:w="1441"/>
        <w:gridCol w:w="1441"/>
        <w:gridCol w:w="1798"/>
        <w:gridCol w:w="1536"/>
      </w:tblGrid>
      <w:tr>
        <w:tblPrEx>
          <w:tblLayout w:type="fixed"/>
          <w:tblCellMar>
            <w:top w:w="0" w:type="dxa"/>
            <w:left w:w="108" w:type="dxa"/>
            <w:bottom w:w="0" w:type="dxa"/>
            <w:right w:w="108" w:type="dxa"/>
          </w:tblCellMar>
        </w:tblPrEx>
        <w:trPr>
          <w:trHeight w:val="312" w:hRule="atLeast"/>
        </w:trPr>
        <w:tc>
          <w:tcPr>
            <w:tcW w:w="2850" w:type="dxa"/>
            <w:gridSpan w:val="2"/>
            <w:tcBorders>
              <w:top w:val="nil"/>
              <w:left w:val="nil"/>
              <w:bottom w:val="nil"/>
              <w:right w:val="nil"/>
            </w:tcBorders>
            <w:shd w:val="clear" w:color="auto" w:fill="auto"/>
            <w:noWrap/>
            <w:vAlign w:val="center"/>
          </w:tcPr>
          <w:p>
            <w:pPr>
              <w:widowControl/>
              <w:snapToGrid w:val="0"/>
              <w:spacing w:line="240" w:lineRule="auto"/>
              <w:ind w:firstLine="0" w:firstLineChars="0"/>
              <w:jc w:val="left"/>
              <w:rPr>
                <w:rFonts w:eastAsia="宋体"/>
                <w:sz w:val="21"/>
                <w:szCs w:val="21"/>
              </w:rPr>
            </w:pPr>
            <w:r>
              <w:rPr>
                <w:rFonts w:ascii="仿宋_GB2312" w:cs="仿宋_GB2312"/>
                <w:kern w:val="0"/>
                <w:sz w:val="21"/>
                <w:szCs w:val="21"/>
                <w:lang w:bidi="ar"/>
              </w:rPr>
              <w:t>定额编号：</w:t>
            </w:r>
            <w:r>
              <w:rPr>
                <w:rFonts w:eastAsia="宋体"/>
                <w:kern w:val="0"/>
                <w:sz w:val="21"/>
                <w:szCs w:val="21"/>
                <w:lang w:bidi="ar"/>
              </w:rPr>
              <w:t>4013</w:t>
            </w:r>
          </w:p>
        </w:tc>
        <w:tc>
          <w:tcPr>
            <w:tcW w:w="4680" w:type="dxa"/>
            <w:gridSpan w:val="3"/>
            <w:tcBorders>
              <w:top w:val="nil"/>
              <w:left w:val="nil"/>
              <w:bottom w:val="nil"/>
              <w:right w:val="nil"/>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（自卸车</w:t>
            </w:r>
            <w:r>
              <w:rPr>
                <w:rFonts w:eastAsia="宋体"/>
                <w:kern w:val="0"/>
                <w:sz w:val="21"/>
                <w:szCs w:val="21"/>
                <w:lang w:bidi="ar"/>
              </w:rPr>
              <w:t>10T</w:t>
            </w:r>
            <w:r>
              <w:rPr>
                <w:rFonts w:ascii="仿宋_GB2312" w:cs="仿宋_GB2312"/>
                <w:kern w:val="0"/>
                <w:sz w:val="21"/>
                <w:szCs w:val="21"/>
                <w:lang w:bidi="ar"/>
              </w:rPr>
              <w:t>）</w:t>
            </w:r>
          </w:p>
        </w:tc>
        <w:tc>
          <w:tcPr>
            <w:tcW w:w="1536" w:type="dxa"/>
            <w:tcBorders>
              <w:top w:val="nil"/>
              <w:left w:val="nil"/>
              <w:bottom w:val="nil"/>
              <w:right w:val="nil"/>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金额单位：元</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序号</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费用名称</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单位</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数量</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单价</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801"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1</w:t>
            </w:r>
          </w:p>
        </w:tc>
        <w:tc>
          <w:tcPr>
            <w:tcW w:w="2049"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一类费用</w:t>
            </w:r>
          </w:p>
        </w:tc>
        <w:tc>
          <w:tcPr>
            <w:tcW w:w="1441"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441"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98"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nil"/>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234.46</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1</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折旧费</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146.52</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146.52</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2</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修理及替换设备费</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87.94</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87.94</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3</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安装拆卸费</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元</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2</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二类费用</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549.88</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1</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人工</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工日</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2</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155.69</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311.38</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2</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汽油</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kg</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3</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柴油</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kg</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53</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4.50</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238.50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4</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电</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kwh</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5</w:t>
            </w:r>
            <w:r>
              <w:rPr>
                <w:rFonts w:ascii="仿宋_GB2312" w:cs="仿宋_GB2312"/>
                <w:kern w:val="0"/>
                <w:sz w:val="21"/>
                <w:szCs w:val="21"/>
                <w:lang w:bidi="ar"/>
              </w:rPr>
              <w:t>）</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风</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m</w:t>
            </w:r>
            <w:r>
              <w:rPr>
                <w:rFonts w:eastAsia="宋体"/>
                <w:kern w:val="0"/>
                <w:sz w:val="21"/>
                <w:szCs w:val="21"/>
                <w:vertAlign w:val="superscript"/>
                <w:lang w:bidi="ar"/>
              </w:rPr>
              <w:t>3</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801"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w:t>
            </w:r>
            <w:r>
              <w:rPr>
                <w:rFonts w:eastAsia="宋体"/>
                <w:kern w:val="0"/>
                <w:sz w:val="21"/>
                <w:szCs w:val="21"/>
                <w:lang w:bidi="ar"/>
              </w:rPr>
              <w:t>6</w:t>
            </w:r>
            <w:r>
              <w:rPr>
                <w:rFonts w:ascii="仿宋_GB2312" w:cs="仿宋_GB2312"/>
                <w:kern w:val="0"/>
                <w:sz w:val="21"/>
                <w:szCs w:val="21"/>
                <w:lang w:bidi="ar"/>
              </w:rPr>
              <w:t>）</w:t>
            </w:r>
          </w:p>
        </w:tc>
        <w:tc>
          <w:tcPr>
            <w:tcW w:w="2049"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水</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kern w:val="0"/>
                <w:sz w:val="21"/>
                <w:szCs w:val="21"/>
                <w:lang w:bidi="ar"/>
              </w:rPr>
              <w:t>m</w:t>
            </w:r>
            <w:r>
              <w:rPr>
                <w:rFonts w:eastAsia="宋体"/>
                <w:kern w:val="0"/>
                <w:sz w:val="21"/>
                <w:szCs w:val="21"/>
                <w:vertAlign w:val="superscript"/>
                <w:lang w:bidi="ar"/>
              </w:rPr>
              <w:t>3</w:t>
            </w:r>
          </w:p>
        </w:tc>
        <w:tc>
          <w:tcPr>
            <w:tcW w:w="1441"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w:t>
            </w:r>
          </w:p>
        </w:tc>
        <w:tc>
          <w:tcPr>
            <w:tcW w:w="1798"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0.00</w:t>
            </w:r>
          </w:p>
        </w:tc>
      </w:tr>
      <w:tr>
        <w:tblPrEx>
          <w:tblLayout w:type="fixed"/>
          <w:tblCellMar>
            <w:top w:w="0" w:type="dxa"/>
            <w:left w:w="108" w:type="dxa"/>
            <w:bottom w:w="0" w:type="dxa"/>
            <w:right w:w="108" w:type="dxa"/>
          </w:tblCellMar>
        </w:tblPrEx>
        <w:trPr>
          <w:trHeight w:val="312" w:hRule="atLeast"/>
        </w:trPr>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ascii="仿宋_GB2312" w:cs="仿宋_GB2312"/>
                <w:kern w:val="0"/>
                <w:sz w:val="21"/>
                <w:szCs w:val="21"/>
                <w:lang w:bidi="ar"/>
              </w:rPr>
              <w:t>合计</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sz w:val="21"/>
                <w:szCs w:val="21"/>
              </w:rPr>
            </w:pPr>
            <w:r>
              <w:rPr>
                <w:rFonts w:eastAsia="宋体"/>
                <w:sz w:val="21"/>
                <w:szCs w:val="21"/>
              </w:rPr>
              <w:t>784.34</w:t>
            </w:r>
          </w:p>
        </w:tc>
      </w:tr>
    </w:tbl>
    <w:p>
      <w:pPr>
        <w:ind w:firstLine="480"/>
      </w:pPr>
    </w:p>
    <w:p>
      <w:pPr>
        <w:ind w:firstLine="480"/>
      </w:pPr>
    </w:p>
    <w:p>
      <w:pPr>
        <w:ind w:firstLine="480"/>
      </w:pPr>
    </w:p>
    <w:p>
      <w:pPr>
        <w:snapToGrid w:val="0"/>
        <w:spacing w:line="240" w:lineRule="auto"/>
        <w:ind w:firstLine="640"/>
        <w:jc w:val="left"/>
        <w:textAlignment w:val="auto"/>
        <w:rPr>
          <w:rFonts w:eastAsia="黑体"/>
          <w:sz w:val="32"/>
          <w:szCs w:val="32"/>
        </w:rPr>
      </w:pPr>
    </w:p>
    <w:p>
      <w:pPr>
        <w:snapToGrid w:val="0"/>
        <w:spacing w:line="240" w:lineRule="auto"/>
        <w:ind w:firstLine="640"/>
        <w:jc w:val="left"/>
        <w:textAlignment w:val="auto"/>
        <w:rPr>
          <w:rFonts w:eastAsia="黑体"/>
          <w:sz w:val="32"/>
          <w:szCs w:val="32"/>
        </w:rPr>
      </w:pPr>
    </w:p>
    <w:p>
      <w:pPr>
        <w:snapToGrid w:val="0"/>
        <w:spacing w:line="240" w:lineRule="auto"/>
        <w:ind w:firstLine="640"/>
        <w:jc w:val="left"/>
        <w:textAlignment w:val="auto"/>
        <w:rPr>
          <w:rFonts w:eastAsia="黑体"/>
          <w:sz w:val="32"/>
          <w:szCs w:val="32"/>
        </w:rPr>
      </w:pPr>
    </w:p>
    <w:tbl>
      <w:tblPr>
        <w:tblStyle w:val="88"/>
        <w:tblW w:w="9089" w:type="dxa"/>
        <w:tblInd w:w="107" w:type="dxa"/>
        <w:tblLayout w:type="fixed"/>
        <w:tblCellMar>
          <w:top w:w="0" w:type="dxa"/>
          <w:left w:w="108" w:type="dxa"/>
          <w:bottom w:w="0" w:type="dxa"/>
          <w:right w:w="108" w:type="dxa"/>
        </w:tblCellMar>
      </w:tblPr>
      <w:tblGrid>
        <w:gridCol w:w="759"/>
        <w:gridCol w:w="2229"/>
        <w:gridCol w:w="1427"/>
        <w:gridCol w:w="1427"/>
        <w:gridCol w:w="1789"/>
        <w:gridCol w:w="1458"/>
      </w:tblGrid>
      <w:tr>
        <w:tblPrEx>
          <w:tblLayout w:type="fixed"/>
          <w:tblCellMar>
            <w:top w:w="0" w:type="dxa"/>
            <w:left w:w="108" w:type="dxa"/>
            <w:bottom w:w="0" w:type="dxa"/>
            <w:right w:w="108" w:type="dxa"/>
          </w:tblCellMar>
        </w:tblPrEx>
        <w:trPr>
          <w:trHeight w:val="312" w:hRule="atLeast"/>
        </w:trPr>
        <w:tc>
          <w:tcPr>
            <w:tcW w:w="2988" w:type="dxa"/>
            <w:gridSpan w:val="2"/>
            <w:tcBorders>
              <w:top w:val="nil"/>
              <w:left w:val="nil"/>
              <w:bottom w:val="nil"/>
              <w:right w:val="nil"/>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定额编号：4038</w:t>
            </w:r>
          </w:p>
        </w:tc>
        <w:tc>
          <w:tcPr>
            <w:tcW w:w="4643" w:type="dxa"/>
            <w:gridSpan w:val="3"/>
            <w:tcBorders>
              <w:top w:val="nil"/>
              <w:left w:val="nil"/>
              <w:bottom w:val="nil"/>
              <w:right w:val="nil"/>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（4800L洒水车）</w:t>
            </w:r>
          </w:p>
        </w:tc>
        <w:tc>
          <w:tcPr>
            <w:tcW w:w="1458" w:type="dxa"/>
            <w:tcBorders>
              <w:top w:val="nil"/>
              <w:left w:val="nil"/>
              <w:bottom w:val="nil"/>
              <w:right w:val="nil"/>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金额单位：元</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序号</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费用名称</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单位</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数量</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单价</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小计</w:t>
            </w:r>
          </w:p>
        </w:tc>
      </w:tr>
      <w:tr>
        <w:tblPrEx>
          <w:tblLayout w:type="fixed"/>
          <w:tblCellMar>
            <w:top w:w="0" w:type="dxa"/>
            <w:left w:w="108" w:type="dxa"/>
            <w:bottom w:w="0" w:type="dxa"/>
            <w:right w:w="108" w:type="dxa"/>
          </w:tblCellMar>
        </w:tblPrEx>
        <w:trPr>
          <w:trHeight w:val="312" w:hRule="atLeast"/>
        </w:trPr>
        <w:tc>
          <w:tcPr>
            <w:tcW w:w="759"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2229"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一类费用</w:t>
            </w:r>
          </w:p>
        </w:tc>
        <w:tc>
          <w:tcPr>
            <w:tcW w:w="1427"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27"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789"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nil"/>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104.15</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折旧费</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元</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47.56</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47.56</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修理及替换设备费</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元</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56.59</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56.59</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安装拆卸费</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元</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二类费用</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325.69</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人工</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工日</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155.69</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155.69</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汽油</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kg</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34</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5.00</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170.00</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柴油</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kg</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电</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kwh</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（5）</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风</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m</w:t>
            </w:r>
            <w:r>
              <w:rPr>
                <w:kern w:val="0"/>
                <w:sz w:val="21"/>
                <w:szCs w:val="21"/>
                <w:vertAlign w:val="superscript"/>
                <w:lang w:bidi="ar"/>
              </w:rPr>
              <w:t>3</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7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w:t>
            </w:r>
          </w:p>
        </w:tc>
        <w:tc>
          <w:tcPr>
            <w:tcW w:w="22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水</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m</w:t>
            </w:r>
            <w:r>
              <w:rPr>
                <w:kern w:val="0"/>
                <w:sz w:val="21"/>
                <w:szCs w:val="21"/>
                <w:vertAlign w:val="superscript"/>
                <w:lang w:bidi="ar"/>
              </w:rPr>
              <w:t>3</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w:t>
            </w:r>
          </w:p>
        </w:tc>
      </w:tr>
      <w:tr>
        <w:tblPrEx>
          <w:tblLayout w:type="fixed"/>
          <w:tblCellMar>
            <w:top w:w="0" w:type="dxa"/>
            <w:left w:w="108" w:type="dxa"/>
            <w:bottom w:w="0" w:type="dxa"/>
            <w:right w:w="108" w:type="dxa"/>
          </w:tblCellMar>
        </w:tblPrEx>
        <w:trPr>
          <w:trHeight w:val="312" w:hRule="atLeast"/>
        </w:trPr>
        <w:tc>
          <w:tcPr>
            <w:tcW w:w="298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合计</w:t>
            </w: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429.84</w:t>
            </w:r>
          </w:p>
        </w:tc>
      </w:tr>
    </w:tbl>
    <w:p>
      <w:pPr>
        <w:ind w:firstLine="480"/>
        <w:jc w:val="left"/>
        <w:sectPr>
          <w:pgSz w:w="11906" w:h="16838"/>
          <w:pgMar w:top="1418" w:right="1418" w:bottom="1418" w:left="1418" w:header="851" w:footer="992" w:gutter="0"/>
          <w:cols w:space="720" w:num="1"/>
          <w:docGrid w:linePitch="326" w:charSpace="0"/>
        </w:sectPr>
      </w:pPr>
    </w:p>
    <w:p>
      <w:pPr>
        <w:keepNext/>
        <w:keepLines/>
        <w:ind w:firstLine="0" w:firstLineChars="0"/>
        <w:jc w:val="center"/>
        <w:outlineLvl w:val="0"/>
        <w:rPr>
          <w:rFonts w:eastAsia="黑体"/>
          <w:bCs/>
          <w:kern w:val="44"/>
          <w:sz w:val="32"/>
          <w:szCs w:val="44"/>
        </w:rPr>
      </w:pPr>
      <w:bookmarkStart w:id="725" w:name="_Toc116061676"/>
      <w:bookmarkStart w:id="726" w:name="_Toc12281"/>
      <w:bookmarkStart w:id="727" w:name="_Toc4059"/>
      <w:r>
        <w:rPr>
          <w:rFonts w:eastAsia="黑体"/>
          <w:bCs/>
          <w:kern w:val="44"/>
          <w:sz w:val="32"/>
          <w:szCs w:val="44"/>
        </w:rPr>
        <w:t>9土地复垦服务年限与复垦工作计划安排</w:t>
      </w:r>
      <w:bookmarkEnd w:id="725"/>
      <w:bookmarkEnd w:id="726"/>
      <w:bookmarkEnd w:id="727"/>
    </w:p>
    <w:p>
      <w:pPr>
        <w:ind w:firstLine="0" w:firstLineChars="0"/>
        <w:outlineLvl w:val="1"/>
        <w:rPr>
          <w:rFonts w:eastAsia="黑体"/>
          <w:bCs/>
          <w:sz w:val="30"/>
          <w:szCs w:val="32"/>
        </w:rPr>
      </w:pPr>
      <w:bookmarkStart w:id="728" w:name="_Toc116061677"/>
      <w:bookmarkStart w:id="729" w:name="_Toc15237"/>
      <w:bookmarkStart w:id="730" w:name="_Toc4520"/>
      <w:r>
        <w:rPr>
          <w:rFonts w:eastAsia="黑体"/>
          <w:bCs/>
          <w:sz w:val="30"/>
          <w:szCs w:val="32"/>
        </w:rPr>
        <w:t>9.1土地复垦服务年限</w:t>
      </w:r>
      <w:bookmarkEnd w:id="728"/>
      <w:bookmarkEnd w:id="729"/>
      <w:bookmarkEnd w:id="730"/>
    </w:p>
    <w:p>
      <w:pPr>
        <w:ind w:firstLine="480"/>
      </w:pPr>
      <w:r>
        <w:rPr>
          <w:rFonts w:hint="eastAsia"/>
        </w:rPr>
        <w:t>本方案针对喀什地区泽普县供水城乡一体化建设工程（泽普县农村规模化供水管道连通工程）临时用地的建设过程中实际产生的临时用地复垦及管护，恢复原有土地利用类型。本项目建设工期2年，从2024年9月至2026年8月，复垦施工期预计7个月，从2026年9月至2027年3月，监测管护期3年，从2027年4月至2030年3月。最终确定本方案的服务年限为5年7个月。</w:t>
      </w:r>
    </w:p>
    <w:p>
      <w:pPr>
        <w:ind w:firstLine="480"/>
      </w:pPr>
      <w:r>
        <w:rPr>
          <w:rFonts w:hint="eastAsia"/>
        </w:rPr>
        <w:t>故本方案复垦服务年限=</w:t>
      </w:r>
      <w:r>
        <w:t>项目建设期2年（</w:t>
      </w:r>
      <w:r>
        <w:rPr>
          <w:rFonts w:hint="eastAsia"/>
        </w:rPr>
        <w:t>2024年9月至2026年8月</w:t>
      </w:r>
      <w:r>
        <w:t>）+复垦施工期</w:t>
      </w:r>
      <w:r>
        <w:rPr>
          <w:rFonts w:hint="eastAsia"/>
        </w:rPr>
        <w:t>7</w:t>
      </w:r>
      <w:r>
        <w:t>个月（</w:t>
      </w:r>
      <w:r>
        <w:rPr>
          <w:rFonts w:hint="eastAsia"/>
        </w:rPr>
        <w:t>2026年9月至2027年3月</w:t>
      </w:r>
      <w:r>
        <w:t>）+监测管护期3年（</w:t>
      </w:r>
      <w:r>
        <w:rPr>
          <w:rFonts w:hint="eastAsia"/>
        </w:rPr>
        <w:t>2027年4月至2030年3月</w:t>
      </w:r>
      <w:r>
        <w:t>）</w:t>
      </w:r>
      <w:r>
        <w:rPr>
          <w:rFonts w:hint="eastAsia"/>
        </w:rPr>
        <w:t>。</w:t>
      </w:r>
    </w:p>
    <w:p>
      <w:pPr>
        <w:ind w:firstLine="0" w:firstLineChars="0"/>
        <w:outlineLvl w:val="1"/>
        <w:rPr>
          <w:rFonts w:eastAsia="黑体"/>
          <w:bCs/>
          <w:sz w:val="30"/>
          <w:szCs w:val="32"/>
        </w:rPr>
      </w:pPr>
      <w:bookmarkStart w:id="731" w:name="_Toc116061678"/>
      <w:bookmarkStart w:id="732" w:name="_Toc23447"/>
      <w:bookmarkStart w:id="733" w:name="_Toc27763"/>
      <w:r>
        <w:rPr>
          <w:rFonts w:eastAsia="黑体"/>
          <w:bCs/>
          <w:sz w:val="30"/>
          <w:szCs w:val="32"/>
        </w:rPr>
        <w:t>9.2土地复垦工作</w:t>
      </w:r>
      <w:r>
        <w:rPr>
          <w:rFonts w:hint="eastAsia" w:eastAsia="黑体"/>
          <w:bCs/>
          <w:sz w:val="30"/>
          <w:szCs w:val="32"/>
        </w:rPr>
        <w:t>计划</w:t>
      </w:r>
      <w:r>
        <w:rPr>
          <w:rFonts w:eastAsia="黑体"/>
          <w:bCs/>
          <w:sz w:val="30"/>
          <w:szCs w:val="32"/>
        </w:rPr>
        <w:t>安排</w:t>
      </w:r>
      <w:bookmarkEnd w:id="731"/>
      <w:bookmarkEnd w:id="732"/>
      <w:bookmarkEnd w:id="733"/>
    </w:p>
    <w:p>
      <w:pPr>
        <w:ind w:firstLine="0" w:firstLineChars="0"/>
        <w:outlineLvl w:val="2"/>
        <w:rPr>
          <w:rFonts w:eastAsia="黑体" w:cs="方正仿宋简体"/>
          <w:sz w:val="28"/>
        </w:rPr>
      </w:pPr>
      <w:bookmarkStart w:id="734" w:name="_Toc116061679"/>
      <w:bookmarkStart w:id="735" w:name="_Toc10811"/>
      <w:r>
        <w:rPr>
          <w:rFonts w:hint="eastAsia" w:eastAsia="黑体" w:cs="方正仿宋简体"/>
          <w:sz w:val="28"/>
        </w:rPr>
        <w:t>9</w:t>
      </w:r>
      <w:r>
        <w:rPr>
          <w:rFonts w:eastAsia="黑体" w:cs="方正仿宋简体"/>
          <w:sz w:val="28"/>
        </w:rPr>
        <w:t>.</w:t>
      </w:r>
      <w:r>
        <w:rPr>
          <w:rFonts w:hint="eastAsia" w:eastAsia="黑体" w:cs="方正仿宋简体"/>
          <w:sz w:val="28"/>
        </w:rPr>
        <w:t>2</w:t>
      </w:r>
      <w:r>
        <w:rPr>
          <w:rFonts w:eastAsia="黑体" w:cs="方正仿宋简体"/>
          <w:sz w:val="28"/>
        </w:rPr>
        <w:t>.1</w:t>
      </w:r>
      <w:r>
        <w:rPr>
          <w:rFonts w:hint="eastAsia" w:eastAsia="黑体" w:cs="方正仿宋简体"/>
          <w:sz w:val="28"/>
        </w:rPr>
        <w:t>土地复垦方案实施计划</w:t>
      </w:r>
      <w:bookmarkEnd w:id="734"/>
      <w:bookmarkEnd w:id="735"/>
    </w:p>
    <w:p>
      <w:pPr>
        <w:ind w:firstLine="482"/>
        <w:outlineLvl w:val="3"/>
        <w:rPr>
          <w:b/>
          <w:bCs/>
          <w:szCs w:val="28"/>
        </w:rPr>
      </w:pPr>
      <w:bookmarkStart w:id="736" w:name="_Toc20842"/>
      <w:bookmarkStart w:id="737" w:name="_Toc116061682"/>
      <w:r>
        <w:rPr>
          <w:rFonts w:hint="eastAsia"/>
          <w:b/>
          <w:bCs/>
          <w:szCs w:val="28"/>
        </w:rPr>
        <w:t>a）复垦阶段</w:t>
      </w:r>
      <w:r>
        <w:rPr>
          <w:b/>
          <w:bCs/>
          <w:szCs w:val="28"/>
        </w:rPr>
        <w:t>划分</w:t>
      </w:r>
    </w:p>
    <w:p>
      <w:pPr>
        <w:ind w:firstLine="480"/>
      </w:pPr>
      <w:r>
        <w:t>本方案土地复垦起始时间为</w:t>
      </w:r>
      <w:r>
        <w:rPr>
          <w:rFonts w:hint="eastAsia"/>
        </w:rPr>
        <w:t>2024年9月</w:t>
      </w:r>
      <w:r>
        <w:t>至</w:t>
      </w:r>
      <w:r>
        <w:rPr>
          <w:rFonts w:hint="eastAsia"/>
        </w:rPr>
        <w:t>2030年3月</w:t>
      </w:r>
      <w:r>
        <w:t>复垦完毕，服务年限共</w:t>
      </w:r>
      <w:r>
        <w:rPr>
          <w:rFonts w:hint="eastAsia"/>
        </w:rPr>
        <w:t>5年7个月</w:t>
      </w:r>
      <w:r>
        <w:t>。根据项目损毁土地用地类型、生产工艺流程和建设特点等对本项目复垦工程进行安排。</w:t>
      </w:r>
    </w:p>
    <w:p>
      <w:pPr>
        <w:ind w:firstLine="482"/>
        <w:outlineLvl w:val="3"/>
        <w:rPr>
          <w:b/>
          <w:bCs/>
          <w:szCs w:val="28"/>
        </w:rPr>
      </w:pPr>
      <w:r>
        <w:rPr>
          <w:rFonts w:hint="eastAsia"/>
          <w:b/>
          <w:bCs/>
          <w:szCs w:val="28"/>
        </w:rPr>
        <w:t>b）</w:t>
      </w:r>
      <w:r>
        <w:rPr>
          <w:b/>
          <w:bCs/>
          <w:szCs w:val="28"/>
        </w:rPr>
        <w:t>土地复垦位置、目标和任务</w:t>
      </w:r>
    </w:p>
    <w:p>
      <w:pPr>
        <w:ind w:firstLine="480"/>
      </w:pPr>
      <w:r>
        <w:rPr>
          <w:rFonts w:hint="eastAsia"/>
        </w:rPr>
        <w:t>1、第一阶段：建设项目施工阶段，2024年9月至2026年8月</w:t>
      </w:r>
      <w:r>
        <w:rPr>
          <w:rFonts w:hint="eastAsia"/>
          <w:kern w:val="0"/>
        </w:rPr>
        <w:t>，开展复垦前期工作，并对项目临时用地进行表土剥离、土地损毁监测、土壤质量监测、监管、控制，防止超范围、超期使用土地。</w:t>
      </w:r>
    </w:p>
    <w:p>
      <w:pPr>
        <w:ind w:firstLine="480"/>
      </w:pPr>
      <w:r>
        <w:rPr>
          <w:rFonts w:hint="eastAsia"/>
        </w:rPr>
        <w:t>2、第二阶段：复垦施工阶段，2026年9月至2027年3月，</w:t>
      </w:r>
      <w:r>
        <w:t>主要对项目建设临时损毁的土地采取工程</w:t>
      </w:r>
      <w:r>
        <w:rPr>
          <w:rFonts w:hint="eastAsia"/>
        </w:rPr>
        <w:t>及生物化学</w:t>
      </w:r>
      <w:r>
        <w:t>措施复垦。</w:t>
      </w:r>
    </w:p>
    <w:p>
      <w:pPr>
        <w:ind w:firstLine="480"/>
      </w:pPr>
      <w:r>
        <w:rPr>
          <w:rFonts w:hint="eastAsia"/>
        </w:rPr>
        <w:t>3、第三阶段：监测管护阶段，2027年4月至2030年3月，</w:t>
      </w:r>
      <w:r>
        <w:t>主要对项目建设临时损毁的土地采取</w:t>
      </w:r>
      <w:r>
        <w:rPr>
          <w:rFonts w:hint="eastAsia"/>
        </w:rPr>
        <w:t>复垦效果监测和管护</w:t>
      </w:r>
      <w:r>
        <w:t>措施。</w:t>
      </w:r>
    </w:p>
    <w:p>
      <w:pPr>
        <w:ind w:firstLine="482"/>
        <w:outlineLvl w:val="3"/>
        <w:rPr>
          <w:b/>
          <w:bCs/>
          <w:szCs w:val="28"/>
        </w:rPr>
      </w:pPr>
      <w:r>
        <w:rPr>
          <w:rFonts w:hint="eastAsia"/>
          <w:b/>
          <w:bCs/>
          <w:szCs w:val="28"/>
        </w:rPr>
        <w:t>c）</w:t>
      </w:r>
      <w:r>
        <w:rPr>
          <w:b/>
          <w:bCs/>
          <w:szCs w:val="28"/>
        </w:rPr>
        <w:t>各阶段土地复垦措施及工程量</w:t>
      </w:r>
    </w:p>
    <w:p>
      <w:pPr>
        <w:ind w:firstLine="480"/>
      </w:pPr>
      <w:r>
        <w:rPr>
          <w:rFonts w:hint="eastAsia"/>
        </w:rPr>
        <w:t>1、第一阶段：建设项目施工阶段</w:t>
      </w:r>
    </w:p>
    <w:p>
      <w:pPr>
        <w:ind w:firstLine="480"/>
      </w:pPr>
      <w:r>
        <w:rPr>
          <w:rFonts w:hint="eastAsia"/>
        </w:rPr>
        <w:t>开展前期工作，进行</w:t>
      </w:r>
      <w:r>
        <w:t>土地利用与生态现状调查、土地勘测、</w:t>
      </w:r>
      <w:r>
        <w:rPr>
          <w:rFonts w:hint="eastAsia"/>
        </w:rPr>
        <w:t>以及</w:t>
      </w:r>
      <w:r>
        <w:t>土地复垦方案编制</w:t>
      </w:r>
      <w:r>
        <w:rPr>
          <w:rFonts w:hint="eastAsia"/>
        </w:rPr>
        <w:t>等，</w:t>
      </w:r>
      <w:r>
        <w:rPr>
          <w:rFonts w:hint="eastAsia"/>
          <w:kern w:val="0"/>
        </w:rPr>
        <w:t>并对项目临时用地进行表土剥离、土地损毁监测、土壤质量监测、监管、控制，防止超范围、超期使用土地。</w:t>
      </w:r>
    </w:p>
    <w:p>
      <w:pPr>
        <w:ind w:firstLine="480"/>
      </w:pPr>
      <w:r>
        <w:rPr>
          <w:rFonts w:hint="eastAsia"/>
        </w:rPr>
        <w:t>2、第二阶段：复垦施工阶段</w:t>
      </w:r>
    </w:p>
    <w:p>
      <w:pPr>
        <w:ind w:firstLine="480"/>
      </w:pPr>
      <w:r>
        <w:rPr>
          <w:rFonts w:hint="eastAsia"/>
        </w:rPr>
        <w:t>主要复垦措施为地面硬化及砌体拆除清运、清理垫层、土地平整、表土回覆、土壤培肥、土地翻耕</w:t>
      </w:r>
      <w:r>
        <w:t>。</w:t>
      </w:r>
      <w:r>
        <w:rPr>
          <w:rFonts w:hint="eastAsia"/>
        </w:rPr>
        <w:t>复垦</w:t>
      </w:r>
      <w:r>
        <w:t>水浇地0.4026hm</w:t>
      </w:r>
      <w:r>
        <w:rPr>
          <w:vertAlign w:val="superscript"/>
        </w:rPr>
        <w:t>2</w:t>
      </w:r>
      <w:r>
        <w:rPr>
          <w:rFonts w:hint="eastAsia"/>
        </w:rPr>
        <w:t>，</w:t>
      </w:r>
      <w:r>
        <w:t>果园0.6105hm</w:t>
      </w:r>
      <w:r>
        <w:rPr>
          <w:vertAlign w:val="superscript"/>
        </w:rPr>
        <w:t>2</w:t>
      </w:r>
      <w:r>
        <w:rPr>
          <w:rFonts w:hint="eastAsia"/>
        </w:rPr>
        <w:t>，</w:t>
      </w:r>
      <w:r>
        <w:t>乔木林地0.2056hm</w:t>
      </w:r>
      <w:r>
        <w:rPr>
          <w:vertAlign w:val="superscript"/>
        </w:rPr>
        <w:t>2</w:t>
      </w:r>
      <w:r>
        <w:rPr>
          <w:rFonts w:hint="eastAsia"/>
        </w:rPr>
        <w:t>，</w:t>
      </w:r>
      <w:r>
        <w:t>其他林地0.0223hm</w:t>
      </w:r>
      <w:r>
        <w:rPr>
          <w:vertAlign w:val="superscript"/>
        </w:rPr>
        <w:t>2</w:t>
      </w:r>
      <w:r>
        <w:rPr>
          <w:rFonts w:hint="eastAsia"/>
        </w:rPr>
        <w:t>，</w:t>
      </w:r>
      <w:r>
        <w:t>其他草地0.0163hm</w:t>
      </w:r>
      <w:r>
        <w:rPr>
          <w:vertAlign w:val="superscript"/>
        </w:rPr>
        <w:t>2</w:t>
      </w:r>
      <w:r>
        <w:rPr>
          <w:rFonts w:hint="eastAsia"/>
        </w:rPr>
        <w:t>，</w:t>
      </w:r>
      <w:r>
        <w:t>农村道路1.2099hm</w:t>
      </w:r>
      <w:r>
        <w:rPr>
          <w:vertAlign w:val="superscript"/>
        </w:rPr>
        <w:t>2</w:t>
      </w:r>
      <w:r>
        <w:rPr>
          <w:rFonts w:hint="eastAsia"/>
        </w:rPr>
        <w:t>，</w:t>
      </w:r>
      <w:r>
        <w:t>农村宅基地0.0135hm</w:t>
      </w:r>
      <w:r>
        <w:rPr>
          <w:vertAlign w:val="superscript"/>
        </w:rPr>
        <w:t>2</w:t>
      </w:r>
      <w:r>
        <w:rPr>
          <w:rFonts w:hint="eastAsia"/>
        </w:rPr>
        <w:t>，</w:t>
      </w:r>
      <w:r>
        <w:t>采矿用地0.0094hm</w:t>
      </w:r>
      <w:r>
        <w:rPr>
          <w:vertAlign w:val="superscript"/>
        </w:rPr>
        <w:t>2</w:t>
      </w:r>
      <w:r>
        <w:rPr>
          <w:rFonts w:hint="eastAsia"/>
        </w:rPr>
        <w:t>，</w:t>
      </w:r>
      <w:r>
        <w:t>公路用地0.0319hm</w:t>
      </w:r>
      <w:r>
        <w:rPr>
          <w:vertAlign w:val="superscript"/>
        </w:rPr>
        <w:t>2</w:t>
      </w:r>
      <w:r>
        <w:rPr>
          <w:rFonts w:hint="eastAsia"/>
        </w:rPr>
        <w:t>，其他</w:t>
      </w:r>
      <w:r>
        <w:t>特殊用地0.0476hm</w:t>
      </w:r>
      <w:r>
        <w:rPr>
          <w:vertAlign w:val="superscript"/>
        </w:rPr>
        <w:t>2</w:t>
      </w:r>
      <w:r>
        <w:rPr>
          <w:rFonts w:hint="eastAsia"/>
        </w:rPr>
        <w:t>，</w:t>
      </w:r>
      <w:r>
        <w:t>沟渠</w:t>
      </w:r>
      <w:r>
        <w:rPr>
          <w:rFonts w:hint="eastAsia"/>
        </w:rPr>
        <w:t>1.8212</w:t>
      </w:r>
      <w:r>
        <w:t>hm</w:t>
      </w:r>
      <w:r>
        <w:rPr>
          <w:vertAlign w:val="superscript"/>
        </w:rPr>
        <w:t>2</w:t>
      </w:r>
      <w:r>
        <w:rPr>
          <w:rFonts w:hint="eastAsia"/>
        </w:rPr>
        <w:t>。</w:t>
      </w:r>
    </w:p>
    <w:p>
      <w:pPr>
        <w:ind w:firstLine="480"/>
      </w:pPr>
      <w:r>
        <w:rPr>
          <w:rFonts w:hint="eastAsia"/>
        </w:rPr>
        <w:t>3、第三阶段：监测管护阶段</w:t>
      </w:r>
    </w:p>
    <w:p>
      <w:pPr>
        <w:ind w:firstLine="480"/>
      </w:pPr>
      <w:r>
        <w:rPr>
          <w:rFonts w:hint="eastAsia"/>
        </w:rPr>
        <w:t>主要复垦措施为复垦效果监测和管护</w:t>
      </w:r>
      <w:r>
        <w:t>措施。</w:t>
      </w:r>
    </w:p>
    <w:p>
      <w:pPr>
        <w:snapToGrid w:val="0"/>
        <w:ind w:firstLine="0" w:firstLineChars="0"/>
        <w:jc w:val="center"/>
        <w:rPr>
          <w:rFonts w:eastAsia="黑体"/>
          <w:sz w:val="21"/>
        </w:rPr>
      </w:pPr>
      <w:r>
        <w:rPr>
          <w:rFonts w:hint="eastAsia" w:eastAsia="黑体"/>
          <w:sz w:val="21"/>
        </w:rPr>
        <w:t>表9.2.1-1各阶段复垦工作计划表</w:t>
      </w:r>
    </w:p>
    <w:tbl>
      <w:tblPr>
        <w:tblStyle w:val="88"/>
        <w:tblW w:w="91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35"/>
        <w:gridCol w:w="1361"/>
        <w:gridCol w:w="1205"/>
        <w:gridCol w:w="1205"/>
        <w:gridCol w:w="1205"/>
        <w:gridCol w:w="120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6" w:hRule="atLeast"/>
          <w:jc w:val="center"/>
        </w:trPr>
        <w:tc>
          <w:tcPr>
            <w:tcW w:w="1735" w:type="dxa"/>
            <w:vMerge w:val="restart"/>
            <w:tcBorders>
              <w:tl2br w:val="single" w:color="auto" w:sz="4" w:space="0"/>
            </w:tcBorders>
            <w:shd w:val="clear" w:color="auto" w:fill="auto"/>
          </w:tcPr>
          <w:p>
            <w:pPr>
              <w:spacing w:line="240" w:lineRule="auto"/>
              <w:ind w:firstLine="0" w:firstLineChars="0"/>
              <w:jc w:val="center"/>
              <w:rPr>
                <w:sz w:val="21"/>
                <w:szCs w:val="20"/>
              </w:rPr>
            </w:pPr>
            <w:r>
              <w:rPr>
                <w:rFonts w:hint="eastAsia"/>
                <w:sz w:val="21"/>
                <w:szCs w:val="20"/>
              </w:rPr>
              <w:t>时间</w:t>
            </w:r>
          </w:p>
          <w:p>
            <w:pPr>
              <w:spacing w:line="240" w:lineRule="auto"/>
              <w:ind w:firstLine="105" w:firstLineChars="50"/>
              <w:rPr>
                <w:sz w:val="21"/>
                <w:szCs w:val="20"/>
              </w:rPr>
            </w:pPr>
            <w:r>
              <w:rPr>
                <w:rFonts w:hint="eastAsia"/>
                <w:sz w:val="21"/>
                <w:szCs w:val="20"/>
              </w:rPr>
              <w:t>阶段</w:t>
            </w:r>
          </w:p>
        </w:tc>
        <w:tc>
          <w:tcPr>
            <w:tcW w:w="1361" w:type="dxa"/>
            <w:shd w:val="clear" w:color="auto" w:fill="auto"/>
            <w:vAlign w:val="center"/>
          </w:tcPr>
          <w:p>
            <w:pPr>
              <w:spacing w:line="240" w:lineRule="auto"/>
              <w:ind w:firstLine="0" w:firstLineChars="0"/>
              <w:jc w:val="center"/>
              <w:rPr>
                <w:sz w:val="21"/>
                <w:szCs w:val="20"/>
              </w:rPr>
            </w:pPr>
            <w:r>
              <w:rPr>
                <w:rFonts w:hint="eastAsia"/>
                <w:sz w:val="21"/>
                <w:szCs w:val="20"/>
              </w:rPr>
              <w:t>2024年度</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2026年度</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2026年度</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2027年度</w:t>
            </w:r>
          </w:p>
        </w:tc>
        <w:tc>
          <w:tcPr>
            <w:tcW w:w="1206" w:type="dxa"/>
            <w:shd w:val="clear" w:color="auto" w:fill="auto"/>
            <w:vAlign w:val="center"/>
          </w:tcPr>
          <w:p>
            <w:pPr>
              <w:spacing w:line="240" w:lineRule="auto"/>
              <w:ind w:firstLine="0" w:firstLineChars="0"/>
              <w:jc w:val="center"/>
              <w:rPr>
                <w:sz w:val="21"/>
                <w:szCs w:val="20"/>
              </w:rPr>
            </w:pPr>
            <w:r>
              <w:rPr>
                <w:rFonts w:hint="eastAsia"/>
                <w:sz w:val="21"/>
                <w:szCs w:val="20"/>
              </w:rPr>
              <w:t>2027年度</w:t>
            </w:r>
          </w:p>
        </w:tc>
        <w:tc>
          <w:tcPr>
            <w:tcW w:w="1206" w:type="dxa"/>
            <w:shd w:val="clear" w:color="auto" w:fill="auto"/>
            <w:vAlign w:val="center"/>
          </w:tcPr>
          <w:p>
            <w:pPr>
              <w:spacing w:line="240" w:lineRule="auto"/>
              <w:ind w:firstLine="0" w:firstLineChars="0"/>
              <w:jc w:val="center"/>
              <w:rPr>
                <w:sz w:val="21"/>
                <w:szCs w:val="20"/>
              </w:rPr>
            </w:pPr>
            <w:r>
              <w:rPr>
                <w:rFonts w:hint="eastAsia"/>
                <w:sz w:val="21"/>
                <w:szCs w:val="20"/>
              </w:rPr>
              <w:t>2030年度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2" w:hRule="atLeast"/>
          <w:jc w:val="center"/>
        </w:trPr>
        <w:tc>
          <w:tcPr>
            <w:tcW w:w="1735" w:type="dxa"/>
            <w:vMerge w:val="continue"/>
            <w:tcBorders>
              <w:bottom w:val="single" w:color="auto" w:sz="4" w:space="0"/>
              <w:tl2br w:val="single" w:color="auto" w:sz="4" w:space="0"/>
            </w:tcBorders>
            <w:shd w:val="clear" w:color="auto" w:fill="auto"/>
          </w:tcPr>
          <w:p>
            <w:pPr>
              <w:spacing w:line="240" w:lineRule="auto"/>
              <w:ind w:firstLine="0" w:firstLineChars="0"/>
              <w:jc w:val="center"/>
              <w:rPr>
                <w:sz w:val="21"/>
                <w:szCs w:val="20"/>
              </w:rPr>
            </w:pPr>
          </w:p>
        </w:tc>
        <w:tc>
          <w:tcPr>
            <w:tcW w:w="1361" w:type="dxa"/>
            <w:shd w:val="clear" w:color="auto" w:fill="auto"/>
            <w:vAlign w:val="center"/>
          </w:tcPr>
          <w:p>
            <w:pPr>
              <w:spacing w:line="240" w:lineRule="auto"/>
              <w:ind w:firstLine="0" w:firstLineChars="0"/>
              <w:jc w:val="center"/>
              <w:rPr>
                <w:sz w:val="21"/>
                <w:szCs w:val="20"/>
              </w:rPr>
            </w:pPr>
            <w:r>
              <w:rPr>
                <w:rFonts w:hint="eastAsia"/>
                <w:sz w:val="21"/>
                <w:szCs w:val="20"/>
              </w:rPr>
              <w:t>9月-12月</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1月-8月</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9月-12月</w:t>
            </w:r>
          </w:p>
        </w:tc>
        <w:tc>
          <w:tcPr>
            <w:tcW w:w="1205" w:type="dxa"/>
            <w:shd w:val="clear" w:color="auto" w:fill="auto"/>
            <w:vAlign w:val="center"/>
          </w:tcPr>
          <w:p>
            <w:pPr>
              <w:spacing w:line="240" w:lineRule="auto"/>
              <w:ind w:firstLine="0" w:firstLineChars="0"/>
              <w:jc w:val="center"/>
              <w:rPr>
                <w:sz w:val="21"/>
                <w:szCs w:val="20"/>
              </w:rPr>
            </w:pPr>
            <w:r>
              <w:rPr>
                <w:rFonts w:hint="eastAsia"/>
                <w:sz w:val="21"/>
                <w:szCs w:val="20"/>
              </w:rPr>
              <w:t>1月-3月</w:t>
            </w:r>
          </w:p>
        </w:tc>
        <w:tc>
          <w:tcPr>
            <w:tcW w:w="1206" w:type="dxa"/>
            <w:shd w:val="clear" w:color="auto" w:fill="auto"/>
            <w:vAlign w:val="center"/>
          </w:tcPr>
          <w:p>
            <w:pPr>
              <w:spacing w:line="240" w:lineRule="auto"/>
              <w:ind w:firstLine="0" w:firstLineChars="0"/>
              <w:jc w:val="center"/>
              <w:rPr>
                <w:sz w:val="21"/>
                <w:szCs w:val="20"/>
              </w:rPr>
            </w:pPr>
            <w:r>
              <w:rPr>
                <w:rFonts w:hint="eastAsia"/>
                <w:sz w:val="21"/>
                <w:szCs w:val="20"/>
              </w:rPr>
              <w:t>4月-12月</w:t>
            </w:r>
          </w:p>
        </w:tc>
        <w:tc>
          <w:tcPr>
            <w:tcW w:w="1206" w:type="dxa"/>
            <w:shd w:val="clear" w:color="auto" w:fill="auto"/>
            <w:vAlign w:val="center"/>
          </w:tcPr>
          <w:p>
            <w:pPr>
              <w:spacing w:line="240" w:lineRule="auto"/>
              <w:ind w:firstLine="0" w:firstLineChars="0"/>
              <w:jc w:val="center"/>
              <w:rPr>
                <w:sz w:val="21"/>
                <w:szCs w:val="20"/>
              </w:rPr>
            </w:pPr>
            <w:r>
              <w:rPr>
                <w:rFonts w:hint="eastAsia"/>
                <w:sz w:val="21"/>
                <w:szCs w:val="20"/>
              </w:rPr>
              <w:t>1月-3月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65" w:hRule="atLeast"/>
          <w:jc w:val="center"/>
        </w:trPr>
        <w:tc>
          <w:tcPr>
            <w:tcW w:w="1735" w:type="dxa"/>
            <w:shd w:val="clear" w:color="auto" w:fill="auto"/>
            <w:vAlign w:val="center"/>
          </w:tcPr>
          <w:p>
            <w:pPr>
              <w:spacing w:line="240" w:lineRule="auto"/>
              <w:ind w:firstLine="0" w:firstLineChars="0"/>
              <w:jc w:val="center"/>
              <w:rPr>
                <w:sz w:val="21"/>
                <w:szCs w:val="20"/>
              </w:rPr>
            </w:pPr>
            <w:r>
              <w:rPr>
                <w:rFonts w:hint="eastAsia"/>
                <w:sz w:val="21"/>
                <w:szCs w:val="20"/>
              </w:rPr>
              <w:t>第一阶段</w:t>
            </w:r>
          </w:p>
        </w:tc>
        <w:tc>
          <w:tcPr>
            <w:tcW w:w="1361" w:type="dxa"/>
            <w:shd w:val="clear" w:color="auto" w:fill="auto"/>
            <w:vAlign w:val="center"/>
          </w:tcPr>
          <w:p>
            <w:pPr>
              <w:spacing w:line="240" w:lineRule="auto"/>
              <w:ind w:firstLine="0" w:firstLineChars="0"/>
              <w:jc w:val="center"/>
              <w:rPr>
                <w:sz w:val="21"/>
                <w:szCs w:val="20"/>
              </w:rPr>
            </w:pPr>
            <w:r>
              <w:rPr>
                <w:sz w:val="21"/>
              </w:rPr>
              <mc:AlternateContent>
                <mc:Choice Requires="wpg">
                  <w:drawing>
                    <wp:anchor distT="0" distB="0" distL="114300" distR="114300" simplePos="0" relativeHeight="251709440" behindDoc="0" locked="0" layoutInCell="1" allowOverlap="1">
                      <wp:simplePos x="0" y="0"/>
                      <wp:positionH relativeFrom="column">
                        <wp:posOffset>-12700</wp:posOffset>
                      </wp:positionH>
                      <wp:positionV relativeFrom="paragraph">
                        <wp:posOffset>125095</wp:posOffset>
                      </wp:positionV>
                      <wp:extent cx="4689475" cy="870585"/>
                      <wp:effectExtent l="0" t="0" r="15875" b="31115"/>
                      <wp:wrapNone/>
                      <wp:docPr id="7" name="组合 7"/>
                      <wp:cNvGraphicFramePr/>
                      <a:graphic xmlns:a="http://schemas.openxmlformats.org/drawingml/2006/main">
                        <a:graphicData uri="http://schemas.microsoft.com/office/word/2010/wordprocessingGroup">
                          <wpg:wgp>
                            <wpg:cNvGrpSpPr/>
                            <wpg:grpSpPr>
                              <a:xfrm>
                                <a:off x="0" y="0"/>
                                <a:ext cx="4689475" cy="870585"/>
                                <a:chOff x="6831" y="1342018"/>
                                <a:chExt cx="7385" cy="1371"/>
                              </a:xfrm>
                            </wpg:grpSpPr>
                            <wps:wsp>
                              <wps:cNvPr id="8" name="直接箭头连接符 8"/>
                              <wps:cNvCnPr/>
                              <wps:spPr>
                                <a:xfrm flipV="1">
                                  <a:off x="9404" y="1342696"/>
                                  <a:ext cx="2329" cy="3"/>
                                </a:xfrm>
                                <a:prstGeom prst="straightConnector1">
                                  <a:avLst/>
                                </a:prstGeom>
                                <a:ln w="25400" cap="flat" cmpd="sng">
                                  <a:solidFill>
                                    <a:srgbClr val="000000"/>
                                  </a:solidFill>
                                  <a:prstDash val="solid"/>
                                  <a:headEnd type="none" w="med" len="med"/>
                                  <a:tailEnd type="none" w="med" len="med"/>
                                </a:ln>
                              </wps:spPr>
                              <wps:bodyPr/>
                            </wps:wsp>
                            <wps:wsp>
                              <wps:cNvPr id="27" name="直接箭头连接符 27"/>
                              <wps:cNvCnPr/>
                              <wps:spPr>
                                <a:xfrm flipV="1">
                                  <a:off x="6831" y="1342018"/>
                                  <a:ext cx="2556" cy="25"/>
                                </a:xfrm>
                                <a:prstGeom prst="straightConnector1">
                                  <a:avLst/>
                                </a:prstGeom>
                                <a:ln w="25400" cap="flat" cmpd="sng">
                                  <a:solidFill>
                                    <a:srgbClr val="000000"/>
                                  </a:solidFill>
                                  <a:prstDash val="solid"/>
                                  <a:headEnd type="none" w="med" len="med"/>
                                  <a:tailEnd type="none" w="med" len="med"/>
                                </a:ln>
                              </wps:spPr>
                              <wps:bodyPr/>
                            </wps:wsp>
                            <wps:wsp>
                              <wps:cNvPr id="18" name="直接箭头连接符 18"/>
                              <wps:cNvCnPr/>
                              <wps:spPr>
                                <a:xfrm flipV="1">
                                  <a:off x="11800" y="1343381"/>
                                  <a:ext cx="2417" cy="8"/>
                                </a:xfrm>
                                <a:prstGeom prst="straightConnector1">
                                  <a:avLst/>
                                </a:prstGeom>
                                <a:ln w="25400"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pt;margin-top:9.85pt;height:68.55pt;width:369.25pt;z-index:251709440;mso-width-relative:page;mso-height-relative:page;" coordorigin="6831,1342018" coordsize="7385,1371" o:gfxdata="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DpCa9kAAAAJ&#10;AQAADwAAAAAAAAABACAAAAAiAAAAZHJzL2Rvd25yZXYueG1sUEsBAhQAFAAAAAgAh07iQHn3CNHG&#10;AgAAJgkAAA4AAAAAAAAAAQAgAAAAKAEAAGRycy9lMm9Eb2MueG1sUEsFBgAAAAAGAAYAWQEAAGAG&#10;AAAAAA==&#10;">
                      <o:lock v:ext="edit" aspectratio="f"/>
                      <v:shape id="_x0000_s1026" o:spid="_x0000_s1026" o:spt="32" type="#_x0000_t32" style="position:absolute;left:9404;top:1342696;flip:y;height:3;width:2329;" filled="f" stroked="t" coordsize="21600,21600" o:gfxdata="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aG5rsAAADa&#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shape>
                      <v:shape id="_x0000_s1026" o:spid="_x0000_s1026" o:spt="32" type="#_x0000_t32" style="position:absolute;left:6831;top:1342018;flip:y;height:25;width:2556;" filled="f" stroked="t" coordsize="21600,21600" o:gfxdata="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zLZ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shape>
                      <v:shape id="_x0000_s1026" o:spid="_x0000_s1026" o:spt="32" type="#_x0000_t32" style="position:absolute;left:11800;top:1343381;flip:y;height:8;width:2417;" filled="f" stroked="t" coordsize="21600,21600" o:gfxdata="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Vq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shape>
                    </v:group>
                  </w:pict>
                </mc:Fallback>
              </mc:AlternateContent>
            </w: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65" w:hRule="atLeast"/>
          <w:jc w:val="center"/>
        </w:trPr>
        <w:tc>
          <w:tcPr>
            <w:tcW w:w="1735" w:type="dxa"/>
            <w:shd w:val="clear" w:color="auto" w:fill="auto"/>
            <w:vAlign w:val="center"/>
          </w:tcPr>
          <w:p>
            <w:pPr>
              <w:spacing w:line="240" w:lineRule="auto"/>
              <w:ind w:firstLine="0" w:firstLineChars="0"/>
              <w:jc w:val="center"/>
              <w:rPr>
                <w:sz w:val="21"/>
                <w:szCs w:val="20"/>
              </w:rPr>
            </w:pPr>
            <w:r>
              <w:rPr>
                <w:rFonts w:hint="eastAsia"/>
                <w:sz w:val="21"/>
                <w:szCs w:val="20"/>
              </w:rPr>
              <w:t>第二阶段</w:t>
            </w:r>
          </w:p>
        </w:tc>
        <w:tc>
          <w:tcPr>
            <w:tcW w:w="1361"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65" w:hRule="atLeast"/>
          <w:jc w:val="center"/>
        </w:trPr>
        <w:tc>
          <w:tcPr>
            <w:tcW w:w="1735" w:type="dxa"/>
            <w:shd w:val="clear" w:color="auto" w:fill="auto"/>
            <w:vAlign w:val="center"/>
          </w:tcPr>
          <w:p>
            <w:pPr>
              <w:spacing w:line="240" w:lineRule="auto"/>
              <w:ind w:firstLine="0" w:firstLineChars="0"/>
              <w:jc w:val="center"/>
              <w:rPr>
                <w:sz w:val="21"/>
                <w:szCs w:val="20"/>
              </w:rPr>
            </w:pPr>
            <w:r>
              <w:rPr>
                <w:rFonts w:hint="eastAsia"/>
                <w:sz w:val="21"/>
                <w:szCs w:val="20"/>
              </w:rPr>
              <w:t>第三阶段</w:t>
            </w:r>
          </w:p>
        </w:tc>
        <w:tc>
          <w:tcPr>
            <w:tcW w:w="1361"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5"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c>
          <w:tcPr>
            <w:tcW w:w="1206" w:type="dxa"/>
            <w:shd w:val="clear" w:color="auto" w:fill="auto"/>
            <w:vAlign w:val="center"/>
          </w:tcPr>
          <w:p>
            <w:pPr>
              <w:spacing w:line="240" w:lineRule="auto"/>
              <w:ind w:firstLine="0" w:firstLineChars="0"/>
              <w:jc w:val="center"/>
              <w:rPr>
                <w:sz w:val="21"/>
                <w:szCs w:val="20"/>
              </w:rPr>
            </w:pPr>
          </w:p>
        </w:tc>
      </w:tr>
    </w:tbl>
    <w:p>
      <w:pPr>
        <w:ind w:firstLine="482"/>
        <w:outlineLvl w:val="3"/>
        <w:rPr>
          <w:b/>
          <w:bCs/>
          <w:szCs w:val="28"/>
        </w:rPr>
      </w:pPr>
      <w:r>
        <w:rPr>
          <w:rFonts w:hint="eastAsia"/>
          <w:b/>
          <w:bCs/>
          <w:szCs w:val="28"/>
        </w:rPr>
        <w:t>d）</w:t>
      </w:r>
      <w:r>
        <w:rPr>
          <w:b/>
          <w:bCs/>
          <w:szCs w:val="28"/>
        </w:rPr>
        <w:t>土地复垦费用安排</w:t>
      </w:r>
    </w:p>
    <w:p>
      <w:pPr>
        <w:ind w:firstLine="480"/>
      </w:pPr>
      <w:r>
        <w:t>根据土地复垦工程投资估算成果，以及各阶段复垦措施与工程量，计算各阶段土地复垦静态投资。各复垦单元投资情况</w:t>
      </w:r>
      <w:r>
        <w:rPr>
          <w:rFonts w:hint="eastAsia"/>
        </w:rPr>
        <w:t>及明细</w:t>
      </w:r>
      <w:r>
        <w:t>见表</w:t>
      </w:r>
      <w:r>
        <w:rPr>
          <w:rFonts w:hint="eastAsia"/>
        </w:rPr>
        <w:t>9.2.1-2</w:t>
      </w:r>
      <w:r>
        <w:t>。</w:t>
      </w:r>
    </w:p>
    <w:p>
      <w:pPr>
        <w:ind w:firstLine="480"/>
      </w:pPr>
      <w:r>
        <w:br w:type="page"/>
      </w:r>
    </w:p>
    <w:p>
      <w:pPr>
        <w:snapToGrid w:val="0"/>
        <w:ind w:firstLine="0" w:firstLineChars="0"/>
        <w:jc w:val="center"/>
        <w:rPr>
          <w:rFonts w:eastAsia="黑体"/>
          <w:sz w:val="21"/>
        </w:rPr>
      </w:pPr>
      <w:r>
        <w:rPr>
          <w:rFonts w:eastAsia="黑体"/>
          <w:sz w:val="21"/>
        </w:rPr>
        <w:t>表</w:t>
      </w:r>
      <w:r>
        <w:rPr>
          <w:rFonts w:hint="eastAsia" w:eastAsia="黑体"/>
          <w:sz w:val="21"/>
        </w:rPr>
        <w:t>9.2.1-2复垦阶段</w:t>
      </w:r>
      <w:r>
        <w:rPr>
          <w:rFonts w:eastAsia="黑体"/>
          <w:sz w:val="21"/>
        </w:rPr>
        <w:t>投资情况表</w:t>
      </w:r>
    </w:p>
    <w:tbl>
      <w:tblPr>
        <w:tblStyle w:val="88"/>
        <w:tblW w:w="9281" w:type="dxa"/>
        <w:tblInd w:w="0" w:type="dxa"/>
        <w:tblLayout w:type="fixed"/>
        <w:tblCellMar>
          <w:top w:w="0" w:type="dxa"/>
          <w:left w:w="108" w:type="dxa"/>
          <w:bottom w:w="0" w:type="dxa"/>
          <w:right w:w="108" w:type="dxa"/>
        </w:tblCellMar>
      </w:tblPr>
      <w:tblGrid>
        <w:gridCol w:w="1808"/>
        <w:gridCol w:w="2001"/>
        <w:gridCol w:w="1649"/>
        <w:gridCol w:w="2007"/>
        <w:gridCol w:w="1816"/>
      </w:tblGrid>
      <w:tr>
        <w:tblPrEx>
          <w:tblLayout w:type="fixed"/>
          <w:tblCellMar>
            <w:top w:w="0" w:type="dxa"/>
            <w:left w:w="108" w:type="dxa"/>
            <w:bottom w:w="0" w:type="dxa"/>
            <w:right w:w="108" w:type="dxa"/>
          </w:tblCellMar>
        </w:tblPrEx>
        <w:trPr>
          <w:trHeight w:val="340" w:hRule="atLeast"/>
        </w:trPr>
        <w:tc>
          <w:tcPr>
            <w:tcW w:w="380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复垦阶段</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复垦面积/hm</w:t>
            </w:r>
            <w:r>
              <w:rPr>
                <w:kern w:val="0"/>
                <w:sz w:val="21"/>
                <w:szCs w:val="21"/>
                <w:vertAlign w:val="superscript"/>
                <w:lang w:bidi="ar"/>
              </w:rPr>
              <w:t>2</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复垦时间</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投资/万元</w:t>
            </w:r>
          </w:p>
        </w:tc>
      </w:tr>
      <w:tr>
        <w:tblPrEx>
          <w:tblLayout w:type="fixed"/>
          <w:tblCellMar>
            <w:top w:w="0" w:type="dxa"/>
            <w:left w:w="108" w:type="dxa"/>
            <w:bottom w:w="0" w:type="dxa"/>
            <w:right w:w="108" w:type="dxa"/>
          </w:tblCellMar>
        </w:tblPrEx>
        <w:trPr>
          <w:trHeight w:val="340" w:hRule="atLeast"/>
        </w:trPr>
        <w:tc>
          <w:tcPr>
            <w:tcW w:w="1808" w:type="dxa"/>
            <w:tcBorders>
              <w:top w:val="single" w:color="000000" w:sz="4" w:space="0"/>
              <w:left w:val="single" w:color="000000" w:sz="4" w:space="0"/>
              <w:bottom w:val="nil"/>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第一阶段</w:t>
            </w:r>
            <w:r>
              <w:rPr>
                <w:kern w:val="0"/>
                <w:sz w:val="21"/>
                <w:szCs w:val="21"/>
                <w:lang w:bidi="ar"/>
              </w:rPr>
              <w:br w:type="textWrapping"/>
            </w:r>
            <w:r>
              <w:rPr>
                <w:kern w:val="0"/>
                <w:sz w:val="21"/>
                <w:szCs w:val="21"/>
                <w:lang w:bidi="ar"/>
              </w:rPr>
              <w:t>（项目建设期）</w:t>
            </w:r>
          </w:p>
        </w:tc>
        <w:tc>
          <w:tcPr>
            <w:tcW w:w="2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2024.</w:t>
            </w:r>
            <w:r>
              <w:rPr>
                <w:rFonts w:hint="eastAsia"/>
                <w:kern w:val="0"/>
                <w:sz w:val="21"/>
                <w:szCs w:val="21"/>
                <w:lang w:bidi="ar"/>
              </w:rPr>
              <w:t>9</w:t>
            </w:r>
            <w:r>
              <w:rPr>
                <w:kern w:val="0"/>
                <w:sz w:val="21"/>
                <w:szCs w:val="21"/>
                <w:lang w:bidi="ar"/>
              </w:rPr>
              <w:t>—202</w:t>
            </w:r>
            <w:r>
              <w:rPr>
                <w:rFonts w:hint="eastAsia"/>
                <w:kern w:val="0"/>
                <w:sz w:val="21"/>
                <w:szCs w:val="21"/>
                <w:lang w:bidi="ar"/>
              </w:rPr>
              <w:t>6</w:t>
            </w:r>
            <w:r>
              <w:rPr>
                <w:kern w:val="0"/>
                <w:sz w:val="21"/>
                <w:szCs w:val="21"/>
                <w:lang w:bidi="ar"/>
              </w:rPr>
              <w:t>.</w:t>
            </w:r>
            <w:r>
              <w:rPr>
                <w:rFonts w:hint="eastAsia"/>
                <w:kern w:val="0"/>
                <w:sz w:val="21"/>
                <w:szCs w:val="21"/>
                <w:lang w:bidi="ar"/>
              </w:rPr>
              <w:t>8</w:t>
            </w:r>
          </w:p>
        </w:tc>
        <w:tc>
          <w:tcPr>
            <w:tcW w:w="1816" w:type="dxa"/>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2.41</w:t>
            </w:r>
          </w:p>
        </w:tc>
      </w:tr>
      <w:tr>
        <w:tblPrEx>
          <w:tblLayout w:type="fixed"/>
          <w:tblCellMar>
            <w:top w:w="0" w:type="dxa"/>
            <w:left w:w="108" w:type="dxa"/>
            <w:bottom w:w="0" w:type="dxa"/>
            <w:right w:w="108" w:type="dxa"/>
          </w:tblCellMar>
        </w:tblPrEx>
        <w:trPr>
          <w:trHeight w:val="340" w:hRule="atLeast"/>
        </w:trPr>
        <w:tc>
          <w:tcPr>
            <w:tcW w:w="380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小计</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2.41</w:t>
            </w:r>
          </w:p>
        </w:tc>
      </w:tr>
      <w:tr>
        <w:tblPrEx>
          <w:tblLayout w:type="fixed"/>
          <w:tblCellMar>
            <w:top w:w="0" w:type="dxa"/>
            <w:left w:w="108" w:type="dxa"/>
            <w:bottom w:w="0" w:type="dxa"/>
            <w:right w:w="108" w:type="dxa"/>
          </w:tblCellMar>
        </w:tblPrEx>
        <w:trPr>
          <w:trHeight w:val="340" w:hRule="atLeast"/>
        </w:trPr>
        <w:tc>
          <w:tcPr>
            <w:tcW w:w="1808" w:type="dxa"/>
            <w:tcBorders>
              <w:top w:val="single" w:color="000000" w:sz="4" w:space="0"/>
              <w:left w:val="single" w:color="000000" w:sz="4" w:space="0"/>
              <w:bottom w:val="nil"/>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第二阶段</w:t>
            </w:r>
            <w:r>
              <w:rPr>
                <w:kern w:val="0"/>
                <w:sz w:val="21"/>
                <w:szCs w:val="21"/>
                <w:lang w:bidi="ar"/>
              </w:rPr>
              <w:br w:type="textWrapping"/>
            </w:r>
            <w:r>
              <w:rPr>
                <w:kern w:val="0"/>
                <w:sz w:val="21"/>
                <w:szCs w:val="21"/>
                <w:lang w:bidi="ar"/>
              </w:rPr>
              <w:t>（复垦施工期）</w:t>
            </w:r>
          </w:p>
        </w:tc>
        <w:tc>
          <w:tcPr>
            <w:tcW w:w="2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202</w:t>
            </w:r>
            <w:r>
              <w:rPr>
                <w:rFonts w:hint="eastAsia"/>
                <w:kern w:val="0"/>
                <w:sz w:val="21"/>
                <w:szCs w:val="21"/>
                <w:lang w:bidi="ar"/>
              </w:rPr>
              <w:t>6</w:t>
            </w:r>
            <w:r>
              <w:rPr>
                <w:kern w:val="0"/>
                <w:sz w:val="21"/>
                <w:szCs w:val="21"/>
                <w:lang w:bidi="ar"/>
              </w:rPr>
              <w:t>.</w:t>
            </w:r>
            <w:r>
              <w:rPr>
                <w:rFonts w:hint="eastAsia"/>
                <w:kern w:val="0"/>
                <w:sz w:val="21"/>
                <w:szCs w:val="21"/>
                <w:lang w:bidi="ar"/>
              </w:rPr>
              <w:t>9</w:t>
            </w:r>
            <w:r>
              <w:rPr>
                <w:kern w:val="0"/>
                <w:sz w:val="21"/>
                <w:szCs w:val="21"/>
                <w:lang w:bidi="ar"/>
              </w:rPr>
              <w:t>—202</w:t>
            </w:r>
            <w:r>
              <w:rPr>
                <w:rFonts w:hint="eastAsia"/>
                <w:kern w:val="0"/>
                <w:sz w:val="21"/>
                <w:szCs w:val="21"/>
                <w:lang w:bidi="ar"/>
              </w:rPr>
              <w:t>7</w:t>
            </w:r>
            <w:r>
              <w:rPr>
                <w:kern w:val="0"/>
                <w:sz w:val="21"/>
                <w:szCs w:val="21"/>
                <w:lang w:bidi="ar"/>
              </w:rPr>
              <w:t>.</w:t>
            </w:r>
            <w:r>
              <w:rPr>
                <w:rFonts w:hint="eastAsia"/>
                <w:kern w:val="0"/>
                <w:sz w:val="21"/>
                <w:szCs w:val="21"/>
                <w:lang w:bidi="ar"/>
              </w:rPr>
              <w:t>3</w:t>
            </w:r>
          </w:p>
        </w:tc>
        <w:tc>
          <w:tcPr>
            <w:tcW w:w="1816" w:type="dxa"/>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8.</w:t>
            </w:r>
            <w:r>
              <w:rPr>
                <w:rFonts w:hint="eastAsia"/>
                <w:kern w:val="0"/>
                <w:sz w:val="21"/>
                <w:szCs w:val="21"/>
                <w:lang w:val="en-US" w:eastAsia="zh-CN" w:bidi="ar"/>
              </w:rPr>
              <w:t>5</w:t>
            </w:r>
            <w:r>
              <w:rPr>
                <w:rFonts w:hint="eastAsia"/>
                <w:kern w:val="0"/>
                <w:sz w:val="21"/>
                <w:szCs w:val="21"/>
                <w:lang w:bidi="ar"/>
              </w:rPr>
              <w:t>6</w:t>
            </w:r>
          </w:p>
        </w:tc>
      </w:tr>
      <w:tr>
        <w:tblPrEx>
          <w:tblLayout w:type="fixed"/>
          <w:tblCellMar>
            <w:top w:w="0" w:type="dxa"/>
            <w:left w:w="108" w:type="dxa"/>
            <w:bottom w:w="0" w:type="dxa"/>
            <w:right w:w="108" w:type="dxa"/>
          </w:tblCellMar>
        </w:tblPrEx>
        <w:trPr>
          <w:trHeight w:val="340" w:hRule="atLeast"/>
        </w:trPr>
        <w:tc>
          <w:tcPr>
            <w:tcW w:w="3809" w:type="dxa"/>
            <w:gridSpan w:val="2"/>
            <w:tcBorders>
              <w:top w:val="single" w:color="000000" w:sz="4" w:space="0"/>
              <w:left w:val="single" w:color="000000" w:sz="4" w:space="0"/>
              <w:bottom w:val="nil"/>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小计</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bottom w:val="nil"/>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8.</w:t>
            </w:r>
            <w:r>
              <w:rPr>
                <w:rFonts w:hint="eastAsia"/>
                <w:kern w:val="0"/>
                <w:sz w:val="21"/>
                <w:szCs w:val="21"/>
                <w:lang w:val="en-US" w:eastAsia="zh-CN" w:bidi="ar"/>
              </w:rPr>
              <w:t>5</w:t>
            </w:r>
            <w:r>
              <w:rPr>
                <w:rFonts w:hint="eastAsia"/>
                <w:kern w:val="0"/>
                <w:sz w:val="21"/>
                <w:szCs w:val="21"/>
                <w:lang w:bidi="ar"/>
              </w:rPr>
              <w:t>6</w:t>
            </w:r>
          </w:p>
        </w:tc>
      </w:tr>
      <w:tr>
        <w:tblPrEx>
          <w:tblLayout w:type="fixed"/>
          <w:tblCellMar>
            <w:top w:w="0" w:type="dxa"/>
            <w:left w:w="108" w:type="dxa"/>
            <w:bottom w:w="0" w:type="dxa"/>
            <w:right w:w="108" w:type="dxa"/>
          </w:tblCellMar>
        </w:tblPrEx>
        <w:trPr>
          <w:trHeight w:val="340" w:hRule="atLeast"/>
        </w:trPr>
        <w:tc>
          <w:tcPr>
            <w:tcW w:w="1808" w:type="dxa"/>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第</w:t>
            </w:r>
            <w:r>
              <w:rPr>
                <w:rFonts w:hint="eastAsia"/>
                <w:kern w:val="0"/>
                <w:sz w:val="21"/>
                <w:szCs w:val="21"/>
                <w:lang w:bidi="ar"/>
              </w:rPr>
              <w:t>三</w:t>
            </w:r>
            <w:r>
              <w:rPr>
                <w:kern w:val="0"/>
                <w:sz w:val="21"/>
                <w:szCs w:val="21"/>
                <w:lang w:bidi="ar"/>
              </w:rPr>
              <w:t>阶段</w:t>
            </w:r>
            <w:r>
              <w:rPr>
                <w:kern w:val="0"/>
                <w:sz w:val="21"/>
                <w:szCs w:val="21"/>
                <w:lang w:bidi="ar"/>
              </w:rPr>
              <w:br w:type="textWrapping"/>
            </w:r>
            <w:r>
              <w:rPr>
                <w:kern w:val="0"/>
                <w:sz w:val="21"/>
                <w:szCs w:val="21"/>
                <w:lang w:bidi="ar"/>
              </w:rPr>
              <w:t>（</w:t>
            </w:r>
            <w:r>
              <w:rPr>
                <w:rFonts w:hint="eastAsia"/>
                <w:kern w:val="0"/>
                <w:sz w:val="21"/>
                <w:szCs w:val="21"/>
                <w:lang w:bidi="ar"/>
              </w:rPr>
              <w:t>监测管护</w:t>
            </w:r>
            <w:r>
              <w:rPr>
                <w:kern w:val="0"/>
                <w:sz w:val="21"/>
                <w:szCs w:val="21"/>
                <w:lang w:bidi="ar"/>
              </w:rPr>
              <w:t>期）</w:t>
            </w:r>
          </w:p>
        </w:tc>
        <w:tc>
          <w:tcPr>
            <w:tcW w:w="2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供水管线用地</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202</w:t>
            </w:r>
            <w:r>
              <w:rPr>
                <w:rFonts w:hint="eastAsia"/>
                <w:kern w:val="0"/>
                <w:sz w:val="21"/>
                <w:szCs w:val="21"/>
                <w:lang w:bidi="ar"/>
              </w:rPr>
              <w:t>7</w:t>
            </w:r>
            <w:r>
              <w:rPr>
                <w:kern w:val="0"/>
                <w:sz w:val="21"/>
                <w:szCs w:val="21"/>
                <w:lang w:bidi="ar"/>
              </w:rPr>
              <w:t>.</w:t>
            </w:r>
            <w:r>
              <w:rPr>
                <w:rFonts w:hint="eastAsia"/>
                <w:kern w:val="0"/>
                <w:sz w:val="21"/>
                <w:szCs w:val="21"/>
                <w:lang w:bidi="ar"/>
              </w:rPr>
              <w:t>4</w:t>
            </w:r>
            <w:r>
              <w:rPr>
                <w:kern w:val="0"/>
                <w:sz w:val="21"/>
                <w:szCs w:val="21"/>
                <w:lang w:bidi="ar"/>
              </w:rPr>
              <w:t>—20</w:t>
            </w:r>
            <w:r>
              <w:rPr>
                <w:rFonts w:hint="eastAsia"/>
                <w:kern w:val="0"/>
                <w:sz w:val="21"/>
                <w:szCs w:val="21"/>
                <w:lang w:bidi="ar"/>
              </w:rPr>
              <w:t>30</w:t>
            </w:r>
            <w:r>
              <w:rPr>
                <w:kern w:val="0"/>
                <w:sz w:val="21"/>
                <w:szCs w:val="21"/>
                <w:lang w:bidi="ar"/>
              </w:rPr>
              <w:t>.</w:t>
            </w:r>
            <w:r>
              <w:rPr>
                <w:rFonts w:hint="eastAsia"/>
                <w:kern w:val="0"/>
                <w:sz w:val="21"/>
                <w:szCs w:val="21"/>
                <w:lang w:bidi="ar"/>
              </w:rPr>
              <w:t>3</w:t>
            </w:r>
          </w:p>
        </w:tc>
        <w:tc>
          <w:tcPr>
            <w:tcW w:w="1816" w:type="dxa"/>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2.57</w:t>
            </w:r>
          </w:p>
        </w:tc>
      </w:tr>
      <w:tr>
        <w:tblPrEx>
          <w:tblLayout w:type="fixed"/>
          <w:tblCellMar>
            <w:top w:w="0" w:type="dxa"/>
            <w:left w:w="108" w:type="dxa"/>
            <w:bottom w:w="0" w:type="dxa"/>
            <w:right w:w="108" w:type="dxa"/>
          </w:tblCellMar>
        </w:tblPrEx>
        <w:trPr>
          <w:trHeight w:val="340" w:hRule="atLeast"/>
        </w:trPr>
        <w:tc>
          <w:tcPr>
            <w:tcW w:w="380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小计</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4.3908</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2.57</w:t>
            </w:r>
          </w:p>
        </w:tc>
      </w:tr>
      <w:tr>
        <w:tblPrEx>
          <w:tblLayout w:type="fixed"/>
          <w:tblCellMar>
            <w:top w:w="0" w:type="dxa"/>
            <w:left w:w="108" w:type="dxa"/>
            <w:bottom w:w="0" w:type="dxa"/>
            <w:right w:w="108" w:type="dxa"/>
          </w:tblCellMar>
        </w:tblPrEx>
        <w:trPr>
          <w:trHeight w:val="340" w:hRule="atLeast"/>
        </w:trPr>
        <w:tc>
          <w:tcPr>
            <w:tcW w:w="74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总计</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hint="default" w:eastAsia="仿宋_GB2312"/>
                <w:kern w:val="0"/>
                <w:sz w:val="21"/>
                <w:szCs w:val="21"/>
                <w:lang w:val="en-US" w:eastAsia="zh-CN" w:bidi="ar"/>
              </w:rPr>
            </w:pPr>
            <w:r>
              <w:rPr>
                <w:rFonts w:hint="eastAsia"/>
                <w:kern w:val="0"/>
                <w:sz w:val="21"/>
                <w:szCs w:val="21"/>
                <w:lang w:val="en-US" w:eastAsia="zh-CN" w:bidi="ar"/>
              </w:rPr>
              <w:t>13.54</w:t>
            </w:r>
          </w:p>
        </w:tc>
      </w:tr>
    </w:tbl>
    <w:p>
      <w:pPr>
        <w:snapToGrid w:val="0"/>
        <w:ind w:firstLine="0" w:firstLineChars="0"/>
        <w:jc w:val="center"/>
        <w:rPr>
          <w:rFonts w:eastAsia="黑体"/>
          <w:sz w:val="21"/>
        </w:rPr>
      </w:pPr>
    </w:p>
    <w:p>
      <w:pPr>
        <w:ind w:firstLine="480"/>
        <w:sectPr>
          <w:pgSz w:w="11906" w:h="16838"/>
          <w:pgMar w:top="1418" w:right="1247" w:bottom="1418" w:left="1247" w:header="851" w:footer="992" w:gutter="340"/>
          <w:cols w:space="720" w:num="1"/>
          <w:docGrid w:type="linesAndChars" w:linePitch="312" w:charSpace="0"/>
        </w:sectPr>
      </w:pPr>
    </w:p>
    <w:p>
      <w:pPr>
        <w:keepNext/>
        <w:keepLines/>
        <w:ind w:firstLine="0" w:firstLineChars="0"/>
        <w:jc w:val="center"/>
        <w:outlineLvl w:val="0"/>
        <w:rPr>
          <w:rFonts w:eastAsia="黑体"/>
          <w:bCs/>
          <w:kern w:val="44"/>
          <w:sz w:val="32"/>
          <w:szCs w:val="44"/>
        </w:rPr>
      </w:pPr>
      <w:bookmarkStart w:id="738" w:name="_Toc15067"/>
      <w:r>
        <w:rPr>
          <w:rFonts w:eastAsia="黑体"/>
          <w:bCs/>
          <w:kern w:val="44"/>
          <w:sz w:val="32"/>
          <w:szCs w:val="44"/>
        </w:rPr>
        <w:t>10土地复垦效益分析</w:t>
      </w:r>
      <w:bookmarkEnd w:id="736"/>
      <w:bookmarkEnd w:id="737"/>
      <w:bookmarkEnd w:id="738"/>
    </w:p>
    <w:p>
      <w:pPr>
        <w:ind w:firstLine="0" w:firstLineChars="0"/>
        <w:outlineLvl w:val="1"/>
        <w:rPr>
          <w:rFonts w:eastAsia="黑体"/>
          <w:bCs/>
          <w:sz w:val="30"/>
          <w:szCs w:val="32"/>
        </w:rPr>
      </w:pPr>
      <w:bookmarkStart w:id="739" w:name="_Toc6227"/>
      <w:bookmarkStart w:id="740" w:name="_Toc116061683"/>
      <w:bookmarkStart w:id="741" w:name="_Toc9366"/>
      <w:r>
        <w:rPr>
          <w:rFonts w:eastAsia="黑体"/>
          <w:bCs/>
          <w:sz w:val="30"/>
          <w:szCs w:val="32"/>
        </w:rPr>
        <w:t>10.1</w:t>
      </w:r>
      <w:r>
        <w:rPr>
          <w:rFonts w:ascii="宋体" w:hAnsi="宋体" w:eastAsia="黑体"/>
          <w:bCs/>
          <w:sz w:val="30"/>
          <w:szCs w:val="32"/>
        </w:rPr>
        <w:t>经济效益</w:t>
      </w:r>
      <w:bookmarkEnd w:id="739"/>
      <w:bookmarkEnd w:id="740"/>
      <w:bookmarkEnd w:id="741"/>
    </w:p>
    <w:p>
      <w:pPr>
        <w:ind w:firstLine="480"/>
        <w:rPr>
          <w:rFonts w:ascii="仿宋_GB2312"/>
        </w:rPr>
      </w:pPr>
      <w:r>
        <w:rPr>
          <w:rFonts w:hint="eastAsia"/>
        </w:rPr>
        <w:t>1</w:t>
      </w:r>
      <w:r>
        <w:rPr>
          <w:rFonts w:hint="eastAsia" w:ascii="仿宋_GB2312"/>
        </w:rPr>
        <w:t>、项目复垦费用总投资约</w:t>
      </w:r>
      <w:r>
        <w:rPr>
          <w:rFonts w:hint="eastAsia"/>
        </w:rPr>
        <w:t>13.</w:t>
      </w:r>
      <w:r>
        <w:rPr>
          <w:rFonts w:hint="eastAsia"/>
          <w:lang w:val="en-US" w:eastAsia="zh-CN"/>
        </w:rPr>
        <w:t>5</w:t>
      </w:r>
      <w:r>
        <w:rPr>
          <w:rFonts w:hint="eastAsia"/>
        </w:rPr>
        <w:t>4</w:t>
      </w:r>
      <w:r>
        <w:rPr>
          <w:rFonts w:hint="eastAsia" w:ascii="仿宋_GB2312"/>
        </w:rPr>
        <w:t>万元，土地复垦资金投入与使用，可带动相关产业发展，并对促进社会经济发展具有积极意义。</w:t>
      </w:r>
    </w:p>
    <w:p>
      <w:pPr>
        <w:ind w:firstLine="480"/>
      </w:pPr>
      <w:r>
        <w:rPr>
          <w:rFonts w:hint="eastAsia"/>
        </w:rPr>
        <w:t>2</w:t>
      </w:r>
      <w:r>
        <w:rPr>
          <w:rFonts w:hint="eastAsia" w:ascii="仿宋_GB2312"/>
        </w:rPr>
        <w:t>、</w:t>
      </w:r>
      <w:r>
        <w:rPr>
          <w:rFonts w:ascii="仿宋_GB2312"/>
        </w:rPr>
        <w:t>通过土地复垦后，</w:t>
      </w:r>
      <w:r>
        <w:rPr>
          <w:rFonts w:hint="eastAsia" w:ascii="仿宋_GB2312"/>
        </w:rPr>
        <w:t>使项目区与周边地貌相一致，从而减少国家应对水土流失、土地沙漠化等的资金投入。</w:t>
      </w:r>
    </w:p>
    <w:p>
      <w:pPr>
        <w:ind w:firstLine="0" w:firstLineChars="0"/>
        <w:outlineLvl w:val="1"/>
        <w:rPr>
          <w:rFonts w:eastAsia="黑体"/>
          <w:bCs/>
          <w:sz w:val="30"/>
          <w:szCs w:val="32"/>
        </w:rPr>
      </w:pPr>
      <w:bookmarkStart w:id="742" w:name="_Toc16132"/>
      <w:bookmarkStart w:id="743" w:name="_Toc7264"/>
      <w:bookmarkStart w:id="744" w:name="_Toc116061684"/>
      <w:r>
        <w:rPr>
          <w:rFonts w:eastAsia="黑体"/>
          <w:bCs/>
          <w:sz w:val="30"/>
          <w:szCs w:val="32"/>
        </w:rPr>
        <w:t>10.2</w:t>
      </w:r>
      <w:r>
        <w:rPr>
          <w:rFonts w:ascii="宋体" w:hAnsi="宋体" w:eastAsia="黑体"/>
          <w:bCs/>
          <w:sz w:val="30"/>
          <w:szCs w:val="32"/>
        </w:rPr>
        <w:t>社会效益</w:t>
      </w:r>
      <w:bookmarkEnd w:id="742"/>
      <w:bookmarkEnd w:id="743"/>
      <w:bookmarkEnd w:id="744"/>
    </w:p>
    <w:p>
      <w:pPr>
        <w:ind w:firstLine="480"/>
      </w:pPr>
      <w:r>
        <w:rPr>
          <w:rFonts w:hint="eastAsia"/>
        </w:rPr>
        <w:t>土地复垦是关系国计民生的大事，不仅对生态恢复有着重大意义，而且对社会的安定团结和稳定发展也起着重要作用。本土地复垦方案实施后，将发挥以下社会效益：</w:t>
      </w:r>
    </w:p>
    <w:p>
      <w:pPr>
        <w:ind w:firstLine="480"/>
      </w:pPr>
      <w:r>
        <w:rPr>
          <w:rFonts w:hint="eastAsia"/>
        </w:rPr>
        <w:t>一是喀什地区泽普县供水城乡一体化建设工程（泽普县农村规模化供水管道连通工程）临时用地土地复垦方案实施后，可以最大程度减少建设工程对土地的损毁，保证损毁土地及时复垦，减少水土流失和土地沙化，确保项目区的安全生产。</w:t>
      </w:r>
    </w:p>
    <w:p>
      <w:pPr>
        <w:ind w:firstLine="480"/>
      </w:pPr>
      <w:r>
        <w:rPr>
          <w:rFonts w:hint="eastAsia"/>
        </w:rPr>
        <w:t>二是喀什地区泽普县供水城乡一体化建设工程（泽普县农村规模化供水管道连通工程）临时用地土地复垦方案实施后，能够减少生态环境的损毁，改善项目区区域生态环境，有利于项目区职工的身心健康，从而能够提高劳动生产率，促使当地社会生态良性发展。</w:t>
      </w:r>
    </w:p>
    <w:p>
      <w:pPr>
        <w:ind w:firstLine="480"/>
      </w:pPr>
      <w:r>
        <w:rPr>
          <w:rFonts w:hint="eastAsia"/>
        </w:rPr>
        <w:t>三是开展土地复垦工作需要较多的工作人员，能够为当地劳动力提供更多的就业机会，对于维护社会和谐稳定起到积极的促进作用。</w:t>
      </w:r>
    </w:p>
    <w:p>
      <w:pPr>
        <w:ind w:firstLine="0" w:firstLineChars="0"/>
        <w:outlineLvl w:val="1"/>
        <w:rPr>
          <w:rFonts w:eastAsia="黑体"/>
          <w:bCs/>
          <w:sz w:val="30"/>
          <w:szCs w:val="32"/>
        </w:rPr>
      </w:pPr>
      <w:bookmarkStart w:id="745" w:name="_Toc116061685"/>
      <w:bookmarkStart w:id="746" w:name="_Toc24141"/>
      <w:bookmarkStart w:id="747" w:name="_Toc16398"/>
      <w:r>
        <w:rPr>
          <w:rFonts w:eastAsia="黑体"/>
          <w:bCs/>
          <w:sz w:val="30"/>
          <w:szCs w:val="32"/>
        </w:rPr>
        <w:t>10.3</w:t>
      </w:r>
      <w:r>
        <w:rPr>
          <w:rFonts w:ascii="宋体" w:hAnsi="宋体" w:eastAsia="黑体"/>
          <w:bCs/>
          <w:sz w:val="30"/>
          <w:szCs w:val="32"/>
        </w:rPr>
        <w:t>生态效益</w:t>
      </w:r>
      <w:bookmarkEnd w:id="745"/>
      <w:bookmarkEnd w:id="746"/>
      <w:bookmarkEnd w:id="747"/>
    </w:p>
    <w:p>
      <w:pPr>
        <w:ind w:firstLine="480"/>
      </w:pPr>
      <w:r>
        <w:rPr>
          <w:rFonts w:hint="eastAsia"/>
        </w:rPr>
        <w:t>土地是一个自然、经济、社会的综合体，同时也是一个巨大的生态系统。土地复垦是与生态重建密切结合的大型工程。在作为祖国绿色屏障的地区进行土地复垦，其生态意义极其重大。土地复垦的实施对生态环境的影响表现在以下几个方面：</w:t>
      </w:r>
    </w:p>
    <w:p>
      <w:pPr>
        <w:ind w:firstLine="480"/>
      </w:pPr>
      <w:r>
        <w:rPr>
          <w:rFonts w:hint="eastAsia"/>
        </w:rPr>
        <w:t>一是防风固沙，减轻土地沙漠化。喀什地区地处塔里木盆地西部，生态环境极其脆弱，在此进行大规模建设工程，不可避免将对生态环境造成破坏，并在一定程度上加剧边缘生态系统退化与土地沙化。通过实施土地复垦工程，可以防止周边生态系统退化与土地沙漠化。</w:t>
      </w:r>
    </w:p>
    <w:p>
      <w:pPr>
        <w:ind w:firstLine="480"/>
      </w:pPr>
      <w:r>
        <w:rPr>
          <w:rFonts w:hint="eastAsia"/>
        </w:rPr>
        <w:t>二是遏制生态环境恶化，恢复和改善生态系统。项目区实施土地复垦之后，较复垦前植被覆盖率得到明显提高，将有效遏制项目区及周边生态环境的恶化。吸引周边动物群落的回迁，增加动物群落多样性，达到植物动物群落的动态平衡。</w:t>
      </w:r>
    </w:p>
    <w:p>
      <w:pPr>
        <w:ind w:firstLine="480"/>
        <w:sectPr>
          <w:pgSz w:w="11906" w:h="16838"/>
          <w:pgMar w:top="1418" w:right="1247" w:bottom="1418" w:left="1247" w:header="851" w:footer="992" w:gutter="340"/>
          <w:cols w:space="720" w:num="1"/>
          <w:docGrid w:type="linesAndChars" w:linePitch="312" w:charSpace="0"/>
        </w:sectPr>
      </w:pPr>
      <w:r>
        <w:rPr>
          <w:rFonts w:hint="eastAsia"/>
        </w:rPr>
        <w:t>三是涵养水源，改良土壤。通过土壤重构、植被重建等工程的实施，项目区土壤结构得到了改善，土地质量得到提高，涵养水源能力得到提升。</w:t>
      </w:r>
    </w:p>
    <w:p>
      <w:pPr>
        <w:keepNext/>
        <w:keepLines/>
        <w:ind w:firstLine="0" w:firstLineChars="0"/>
        <w:jc w:val="center"/>
        <w:outlineLvl w:val="0"/>
        <w:rPr>
          <w:rFonts w:eastAsia="黑体"/>
          <w:bCs/>
          <w:kern w:val="44"/>
          <w:sz w:val="32"/>
          <w:szCs w:val="44"/>
        </w:rPr>
      </w:pPr>
      <w:bookmarkStart w:id="748" w:name="_Toc22260"/>
      <w:bookmarkStart w:id="749" w:name="_Toc5221"/>
      <w:bookmarkStart w:id="750" w:name="_Toc116061686"/>
      <w:r>
        <w:rPr>
          <w:rFonts w:hint="eastAsia" w:eastAsia="黑体"/>
          <w:bCs/>
          <w:kern w:val="44"/>
          <w:sz w:val="32"/>
          <w:szCs w:val="44"/>
        </w:rPr>
        <w:t>11保障措施</w:t>
      </w:r>
      <w:bookmarkEnd w:id="748"/>
      <w:bookmarkEnd w:id="749"/>
      <w:bookmarkEnd w:id="750"/>
    </w:p>
    <w:p>
      <w:pPr>
        <w:ind w:firstLine="0" w:firstLineChars="0"/>
        <w:outlineLvl w:val="1"/>
        <w:rPr>
          <w:rFonts w:eastAsia="黑体"/>
          <w:bCs/>
          <w:sz w:val="30"/>
          <w:szCs w:val="32"/>
        </w:rPr>
      </w:pPr>
      <w:bookmarkStart w:id="751" w:name="_Toc22322"/>
      <w:bookmarkStart w:id="752" w:name="_Toc116061687"/>
      <w:bookmarkStart w:id="753" w:name="_Toc6179"/>
      <w:r>
        <w:rPr>
          <w:rFonts w:hint="eastAsia" w:eastAsia="黑体"/>
          <w:bCs/>
          <w:sz w:val="30"/>
          <w:szCs w:val="32"/>
        </w:rPr>
        <w:t>11.1组织保障措施</w:t>
      </w:r>
      <w:bookmarkEnd w:id="751"/>
      <w:bookmarkEnd w:id="752"/>
      <w:bookmarkEnd w:id="753"/>
    </w:p>
    <w:p>
      <w:pPr>
        <w:ind w:firstLine="0" w:firstLineChars="0"/>
        <w:outlineLvl w:val="2"/>
        <w:rPr>
          <w:rFonts w:eastAsia="黑体" w:cs="方正仿宋简体"/>
          <w:sz w:val="28"/>
        </w:rPr>
      </w:pPr>
      <w:bookmarkStart w:id="754" w:name="_Toc116061688"/>
      <w:bookmarkStart w:id="755" w:name="_Toc24544"/>
      <w:r>
        <w:rPr>
          <w:rFonts w:hint="eastAsia" w:eastAsia="黑体" w:cs="方正仿宋简体"/>
          <w:sz w:val="28"/>
        </w:rPr>
        <w:t>11.1.1组织保障</w:t>
      </w:r>
      <w:bookmarkEnd w:id="754"/>
      <w:bookmarkEnd w:id="755"/>
    </w:p>
    <w:p>
      <w:pPr>
        <w:ind w:firstLine="480"/>
      </w:pPr>
      <w:r>
        <w:rPr>
          <w:rFonts w:hint="eastAsia"/>
        </w:rPr>
        <w:t>由泽普县淼鑫水务有限责任公司全面负责本项目的土地复垦工作，</w:t>
      </w:r>
      <w:r>
        <w:rPr>
          <w:rFonts w:hint="eastAsia" w:ascii="仿宋_GB2312"/>
          <w:kern w:val="0"/>
        </w:rPr>
        <w:t>土地复垦方案报请自然资源行政主管部门审批后，由建设单位负责组织实施，认真贯彻、执行“谁破坏、谁复垦”的复垦方针</w:t>
      </w:r>
      <w:r>
        <w:rPr>
          <w:rFonts w:hint="eastAsia"/>
        </w:rPr>
        <w:t>。明确分工、责任到人，同时制定本复垦方案实施的目标责任制，制定单位内部自我检查、监督制，杜绝边复垦、边损毁的现象发生，定期向主管领导汇报复垦进展情况，每年向地方自然资源主管部门报告土地损毁及复垦情况，接受地方自然资源主管部门对本方案复垦工作的监督检查，定期培训土地复垦管理技术人员，提高人员素质和管理水平。</w:t>
      </w:r>
    </w:p>
    <w:p>
      <w:pPr>
        <w:ind w:firstLine="480"/>
      </w:pPr>
      <w:r>
        <w:rPr>
          <w:rFonts w:hint="eastAsia"/>
        </w:rPr>
        <w:t>喀什地区泽普县供水城乡一体化建设工程（泽普县农村规模化供水管道连通工程）临时用地的土地复垦实施方式为由泽普县淼鑫水务有限责任公司土地复垦管理部门组织采取自行复垦的方式。由泽普县淼鑫水务有限责任公司土地复垦实施管理部门应严格按照本复垦方案制定的复垦措施、复垦工作计划、复垦投资、复垦标准和复垦目标等要求，采用项目管理的方式完成喀什地区泽普县供水城乡一体化建设工程（泽普县农村规模化供水管道连通工程）临时用地复垦工作，并对复垦工程施工队伍人员的专业素质乃至本复垦项目的项目经理、工程师的经历、能力进行必要的严格的考核，保证复垦工程质量，防止质量事故、安全事故的发生，并制定本项目土地复垦实施办法。</w:t>
      </w:r>
    </w:p>
    <w:p>
      <w:pPr>
        <w:ind w:firstLine="0" w:firstLineChars="0"/>
        <w:outlineLvl w:val="2"/>
        <w:rPr>
          <w:rFonts w:eastAsia="黑体" w:cs="方正仿宋简体"/>
          <w:sz w:val="28"/>
        </w:rPr>
      </w:pPr>
      <w:bookmarkStart w:id="756" w:name="_Toc20477"/>
      <w:bookmarkStart w:id="757" w:name="_Toc116061689"/>
      <w:r>
        <w:rPr>
          <w:rFonts w:hint="eastAsia" w:eastAsia="黑体" w:cs="方正仿宋简体"/>
          <w:sz w:val="28"/>
        </w:rPr>
        <w:t>11.1.2管理保障</w:t>
      </w:r>
      <w:bookmarkEnd w:id="756"/>
      <w:bookmarkEnd w:id="757"/>
    </w:p>
    <w:p>
      <w:pPr>
        <w:ind w:firstLine="480"/>
      </w:pPr>
      <w:r>
        <w:rPr>
          <w:rFonts w:hint="eastAsia"/>
        </w:rPr>
        <w:t>a）按照本土地复垦方案制定阶段复垦计划和年度土地复垦实施计划，逐地落实，及时调整因项目区产能产生变动的复垦计划，对土地复垦实行统一管理，接受接受地方自然资源主管部门的监督管理。</w:t>
      </w:r>
    </w:p>
    <w:p>
      <w:pPr>
        <w:ind w:firstLine="480"/>
      </w:pPr>
      <w:r>
        <w:rPr>
          <w:rFonts w:hint="eastAsia"/>
        </w:rPr>
        <w:t>b）协调土地复垦工程与相关工程的关系，确保土地复垦工程正常施工。最大程度减少项目建设生产活动对土地的损毁，保证损毁土地及时复垦。</w:t>
      </w:r>
    </w:p>
    <w:p>
      <w:pPr>
        <w:ind w:firstLine="480"/>
      </w:pPr>
      <w:r>
        <w:rPr>
          <w:rFonts w:hint="eastAsia"/>
        </w:rPr>
        <w:t>c）加强土地复垦政策宣传，深入开展我国土地基本国情和国策教育，调动土地复垦的积极性。提高社会对土地复垦在保护生态环境和经济社会可持续发展中的重要作用的认识。</w:t>
      </w:r>
    </w:p>
    <w:p>
      <w:pPr>
        <w:ind w:firstLine="0" w:firstLineChars="0"/>
        <w:outlineLvl w:val="1"/>
        <w:rPr>
          <w:rFonts w:eastAsia="黑体"/>
          <w:bCs/>
          <w:sz w:val="30"/>
          <w:szCs w:val="32"/>
        </w:rPr>
      </w:pPr>
      <w:bookmarkStart w:id="758" w:name="_Toc15547"/>
      <w:bookmarkStart w:id="759" w:name="_Toc116061690"/>
      <w:bookmarkStart w:id="760" w:name="_Toc11795"/>
      <w:r>
        <w:rPr>
          <w:rFonts w:hint="eastAsia" w:eastAsia="黑体"/>
          <w:bCs/>
          <w:sz w:val="30"/>
          <w:szCs w:val="32"/>
        </w:rPr>
        <w:t>11.2费用保障措施</w:t>
      </w:r>
      <w:bookmarkEnd w:id="758"/>
      <w:bookmarkEnd w:id="759"/>
      <w:bookmarkEnd w:id="760"/>
    </w:p>
    <w:p>
      <w:pPr>
        <w:ind w:firstLine="0" w:firstLineChars="0"/>
        <w:outlineLvl w:val="2"/>
        <w:rPr>
          <w:rFonts w:eastAsia="黑体" w:cs="方正仿宋简体"/>
          <w:sz w:val="28"/>
        </w:rPr>
      </w:pPr>
      <w:bookmarkStart w:id="761" w:name="_Toc15163"/>
      <w:bookmarkStart w:id="762" w:name="_Toc116061691"/>
      <w:r>
        <w:rPr>
          <w:rFonts w:hint="eastAsia" w:eastAsia="黑体" w:cs="方正仿宋简体"/>
          <w:sz w:val="28"/>
        </w:rPr>
        <w:t>11.2.1资金来源</w:t>
      </w:r>
      <w:bookmarkEnd w:id="761"/>
      <w:bookmarkEnd w:id="762"/>
    </w:p>
    <w:p>
      <w:pPr>
        <w:ind w:firstLine="480"/>
      </w:pPr>
      <w:r>
        <w:rPr>
          <w:rFonts w:hint="eastAsia"/>
        </w:rPr>
        <w:t>复垦资金的保证是土地复垦工作顺利开展和取得成功的重要保证。没有资金支持，即使拥有再好的复垦技术和复垦条件，要想取得良好的治理效果也是非常困难的。根据我国《土地复垦条例》（国务院令〔2011〕第592号）第3条和15条的规定：生产建设活动损毁的土地，按照“谁损毁、谁复垦”的原则，由生产建设单位或者个人（土地复垦义务人）负责复垦；土地复垦义务人应当将土地复垦费用列入生产成本或者建设项目总投资。另《关于加强生产建设项目土地复垦管理工作的通知》（国土资发〔2006〕225号）也明确规定：“土地复垦费要列入生产成本或建设项目总投资并足额预算”。这都表明了土地复垦费用应由生产或建设单位全部承担并将其计入生产成本或建设总投资。因此，泽普县淼鑫水务有限责任公司全部承担喀什地区泽普县供水城乡一体化建设工程（泽普县农村规模化供水管道连通工程）临时用地的土地复垦费用并将其计入生产成本。</w:t>
      </w:r>
    </w:p>
    <w:p>
      <w:pPr>
        <w:ind w:firstLine="480"/>
      </w:pPr>
      <w:r>
        <w:rPr>
          <w:rFonts w:hint="eastAsia"/>
        </w:rPr>
        <w:t>喀什地区泽普县供水城乡一体化建设工程（泽普县农村规模化供水管道连通工程）临时用地土地复垦工程总投资13.</w:t>
      </w:r>
      <w:r>
        <w:rPr>
          <w:rFonts w:hint="eastAsia"/>
          <w:lang w:val="en-US" w:eastAsia="zh-CN"/>
        </w:rPr>
        <w:t>5</w:t>
      </w:r>
      <w:r>
        <w:rPr>
          <w:rFonts w:hint="eastAsia"/>
        </w:rPr>
        <w:t>4万元，全部为单位自筹资金，列入生产成本，由泽普县淼鑫水务有限责任公司全部承担。</w:t>
      </w:r>
    </w:p>
    <w:p>
      <w:pPr>
        <w:ind w:firstLine="0" w:firstLineChars="0"/>
        <w:outlineLvl w:val="2"/>
        <w:rPr>
          <w:rFonts w:eastAsia="黑体" w:cs="方正仿宋简体"/>
          <w:sz w:val="28"/>
        </w:rPr>
      </w:pPr>
      <w:bookmarkStart w:id="763" w:name="_Toc17785"/>
      <w:bookmarkStart w:id="764" w:name="_Toc116061692"/>
      <w:r>
        <w:rPr>
          <w:rFonts w:hint="eastAsia" w:eastAsia="黑体" w:cs="方正仿宋简体"/>
          <w:sz w:val="28"/>
        </w:rPr>
        <w:t>11.2.2费用存储</w:t>
      </w:r>
      <w:bookmarkEnd w:id="763"/>
      <w:bookmarkEnd w:id="764"/>
    </w:p>
    <w:p>
      <w:pPr>
        <w:ind w:firstLine="480"/>
      </w:pPr>
      <w:r>
        <w:rPr>
          <w:rFonts w:hint="eastAsia"/>
        </w:rPr>
        <w:t>泽普县淼鑫水务有限责任公司在当地银行建立“喀什地区泽普县供水城乡一体化建设工程（泽普县农村规模化供水管道连通工程）临时用地土地复垦费用专门账户”，按照土地复垦方案确定的资金数额及费用预存计划，在土地复垦费用专门账户中分期并足额预存土地复垦费用。预存的土地复垦费用遵循“土地复垦义务人所有，自然资源主管部门监管，专户储存专款使用”的原则。</w:t>
      </w:r>
    </w:p>
    <w:p>
      <w:pPr>
        <w:ind w:firstLine="480"/>
      </w:pPr>
      <w:r>
        <w:rPr>
          <w:rFonts w:hint="eastAsia"/>
        </w:rPr>
        <w:t>泽普县淼鑫水务有限责任公司应当与损毁土地所在地县级自然资源主管部门、银行共同签订“土地复垦费用使用监管协议”，协议中明确土地复垦费用预存和使用的时间、数额、程序、条件和违约责任等。单位应根据土地复垦费用安排计划对复垦费用进行提取，并及时存入“喀什地区泽普县供水城乡一体化建设工程（泽普县农村规模化供水管道连通工程）临时用地土地复垦费用专门账户”中。自然资源主管部门按照土地复垦计划，对土地复垦资金专门账户中的资金存储、使用情况进行监督管理。银行协助当地自然资源主管部门对喀什地区泽普县供水城乡一体化建设工程（泽普县农村规模化供水管道连通工程）临时用地土地复垦费用的存储、支取进行监督管理。</w:t>
      </w:r>
    </w:p>
    <w:p>
      <w:pPr>
        <w:ind w:firstLine="0" w:firstLineChars="0"/>
        <w:outlineLvl w:val="2"/>
        <w:rPr>
          <w:rFonts w:eastAsia="黑体" w:cs="方正仿宋简体"/>
          <w:sz w:val="28"/>
        </w:rPr>
      </w:pPr>
      <w:bookmarkStart w:id="765" w:name="_Toc22994"/>
      <w:bookmarkStart w:id="766" w:name="_Toc116061693"/>
      <w:r>
        <w:rPr>
          <w:rFonts w:hint="eastAsia" w:eastAsia="黑体" w:cs="方正仿宋简体"/>
          <w:sz w:val="28"/>
        </w:rPr>
        <w:t>11.2.3费用使用与管理</w:t>
      </w:r>
      <w:bookmarkEnd w:id="765"/>
      <w:bookmarkEnd w:id="766"/>
    </w:p>
    <w:p>
      <w:pPr>
        <w:ind w:firstLine="480"/>
      </w:pPr>
      <w:r>
        <w:rPr>
          <w:rFonts w:hint="eastAsia"/>
        </w:rPr>
        <w:t>泽普县淼鑫水务有限责任公司根据喀什地区泽普县供水城乡一体化建设工程（泽普县农村规模化供水管道连通工程）临时用地土地复垦工程的进度安排合理使用土地复垦资金，服从接受当地自然资源主管部门对该项目复垦资金的支取、使用的监管与监督。</w:t>
      </w:r>
    </w:p>
    <w:p>
      <w:pPr>
        <w:ind w:firstLine="480"/>
      </w:pPr>
      <w:r>
        <w:rPr>
          <w:rFonts w:hint="eastAsia"/>
        </w:rPr>
        <w:t>a）作为企业单位，土地复垦义务人（泽普县淼鑫水务有限责任公司）已具有科学、合理、严格的财务制度，对于土地复垦资金，在考虑国家相关法规政策的基础上，同时结合单位实际情况，泽普县淼鑫水务有限责任公司承诺将依据国家项目建设规定及现有的财务制度来制定相应的土地复垦资金管理使用办法。</w:t>
      </w:r>
    </w:p>
    <w:p>
      <w:pPr>
        <w:ind w:firstLine="480"/>
      </w:pPr>
      <w:r>
        <w:rPr>
          <w:rFonts w:hint="eastAsia"/>
        </w:rPr>
        <w:t>b）土地复垦资金管理方式严格按照项目建设规定的开支范围支出，实行专管，根据施工付款申请以及现场施工情况，按照国家和单位要求，合理支付土地复垦相关费用，保证复垦资金落实到位。</w:t>
      </w:r>
    </w:p>
    <w:p>
      <w:pPr>
        <w:ind w:firstLine="480"/>
      </w:pPr>
      <w:r>
        <w:rPr>
          <w:rFonts w:hint="eastAsia"/>
        </w:rPr>
        <w:t>c）复垦工程施工单位按要求定期填写复垦资金使用情况报表，对每一笔复垦资金的用途均应有详细明确的记录。复垦资金使用情况报表按时提交单位土地复垦管理机构审核备案。</w:t>
      </w:r>
    </w:p>
    <w:p>
      <w:pPr>
        <w:ind w:firstLine="480"/>
      </w:pPr>
      <w:r>
        <w:rPr>
          <w:rFonts w:hint="eastAsia"/>
        </w:rPr>
        <w:t>d）保证土地复垦费用专用于土地复垦工作，对截留、挤占、滥用、挪用土地复垦费用的，追究当事人、相关责任人的责任，依法给予相应的行政、经济处分；对当事人和相关责任人构成犯罪的，应依法追究刑事责任。</w:t>
      </w:r>
    </w:p>
    <w:p>
      <w:pPr>
        <w:ind w:firstLine="0" w:firstLineChars="0"/>
        <w:outlineLvl w:val="2"/>
        <w:rPr>
          <w:rFonts w:eastAsia="黑体" w:cs="方正仿宋简体"/>
          <w:sz w:val="28"/>
        </w:rPr>
      </w:pPr>
      <w:bookmarkStart w:id="767" w:name="_Toc27390"/>
      <w:bookmarkStart w:id="768" w:name="_Toc116061694"/>
      <w:r>
        <w:rPr>
          <w:rFonts w:hint="eastAsia" w:eastAsia="黑体" w:cs="方正仿宋简体"/>
          <w:sz w:val="28"/>
        </w:rPr>
        <w:t>11.2.4费用审计</w:t>
      </w:r>
      <w:bookmarkEnd w:id="767"/>
      <w:bookmarkEnd w:id="768"/>
    </w:p>
    <w:p>
      <w:pPr>
        <w:ind w:firstLine="480"/>
      </w:pPr>
      <w:r>
        <w:rPr>
          <w:rFonts w:hint="eastAsia"/>
        </w:rPr>
        <w:t>本项目土地复垦资金审计已纳入主体工程审计流程内，由自然资源主管部门进行监督。</w:t>
      </w:r>
    </w:p>
    <w:p>
      <w:pPr>
        <w:ind w:firstLine="0" w:firstLineChars="0"/>
        <w:outlineLvl w:val="1"/>
        <w:rPr>
          <w:rFonts w:eastAsia="黑体"/>
          <w:bCs/>
          <w:sz w:val="30"/>
          <w:szCs w:val="32"/>
        </w:rPr>
      </w:pPr>
      <w:bookmarkStart w:id="769" w:name="_Toc22150"/>
      <w:bookmarkStart w:id="770" w:name="_Toc116061695"/>
      <w:bookmarkStart w:id="771" w:name="_Toc10945"/>
      <w:r>
        <w:rPr>
          <w:rFonts w:hint="eastAsia" w:eastAsia="黑体"/>
          <w:bCs/>
          <w:sz w:val="30"/>
          <w:szCs w:val="32"/>
        </w:rPr>
        <w:t>11.3监管保障措施</w:t>
      </w:r>
      <w:bookmarkEnd w:id="769"/>
      <w:bookmarkEnd w:id="770"/>
      <w:bookmarkEnd w:id="771"/>
    </w:p>
    <w:p>
      <w:pPr>
        <w:ind w:firstLine="0" w:firstLineChars="0"/>
        <w:outlineLvl w:val="2"/>
        <w:rPr>
          <w:rFonts w:eastAsia="黑体" w:cs="方正仿宋简体"/>
          <w:sz w:val="28"/>
        </w:rPr>
      </w:pPr>
      <w:bookmarkStart w:id="772" w:name="_Toc116061696"/>
      <w:bookmarkStart w:id="773" w:name="_Toc22970"/>
      <w:r>
        <w:rPr>
          <w:rFonts w:hint="eastAsia" w:eastAsia="黑体" w:cs="方正仿宋简体"/>
          <w:sz w:val="28"/>
        </w:rPr>
        <w:t>11.3.1土地复垦监测</w:t>
      </w:r>
      <w:bookmarkEnd w:id="772"/>
      <w:bookmarkEnd w:id="773"/>
    </w:p>
    <w:p>
      <w:pPr>
        <w:ind w:firstLine="480"/>
      </w:pPr>
      <w:r>
        <w:rPr>
          <w:rFonts w:hint="eastAsia"/>
        </w:rPr>
        <w:t>本项目土地复垦过程中的监测包括二个方面：一是复垦前后土壤侵蚀监测，通过对土壤侵蚀过程的监测，及时采取措施，防止土地沙化对项目区复垦工作的不利影响及对周边地区的影响；二是复垦前后土壤质量监测，监测内容包括土壤有机质含量、土壤pH值等，通过监测，及时掌握复垦土地质量情况。通过严格监测，使复垦土地符合土地复垦质量要求和环境保护标准，保护土壤质量与生态环境。</w:t>
      </w:r>
    </w:p>
    <w:p>
      <w:pPr>
        <w:ind w:firstLine="480"/>
      </w:pPr>
      <w:r>
        <w:rPr>
          <w:rFonts w:hint="eastAsia"/>
        </w:rPr>
        <w:t>喀什地区泽普县供水城乡一体化建设工程（泽普县农村规模化供水管道连通工程）临时用地土地复垦监测实施以泽普县淼鑫水务有限责任公司土地复垦管理部门为主，不定期请当地的植物学、生态学、土壤学等专家进行。泽普县淼鑫水务有限责任公司应当于每年12月31日前向当地县级以上地方人民政府自然资源主管部门报告喀什地区泽普县供水城乡一体化建设工程（泽普县农村规模化供水管道连通工程）临时用地当年的土地损毁情况、土地复垦费用使用情况及土地复垦工程实施情况，积极配合当地自然资源部门对土地复垦费用的使用和土地复垦工程实施情况的监督检查。</w:t>
      </w:r>
    </w:p>
    <w:p>
      <w:pPr>
        <w:ind w:firstLine="0" w:firstLineChars="0"/>
        <w:outlineLvl w:val="2"/>
        <w:rPr>
          <w:rFonts w:eastAsia="黑体" w:cs="方正仿宋简体"/>
          <w:sz w:val="28"/>
        </w:rPr>
      </w:pPr>
      <w:bookmarkStart w:id="774" w:name="_Toc116061697"/>
      <w:bookmarkStart w:id="775" w:name="_Toc21994"/>
      <w:r>
        <w:rPr>
          <w:rFonts w:hint="eastAsia" w:eastAsia="黑体" w:cs="方正仿宋简体"/>
          <w:sz w:val="28"/>
        </w:rPr>
        <w:t>11.3.2土地复垦验收</w:t>
      </w:r>
      <w:bookmarkEnd w:id="774"/>
      <w:bookmarkEnd w:id="775"/>
    </w:p>
    <w:p>
      <w:pPr>
        <w:ind w:firstLine="480"/>
      </w:pPr>
      <w:r>
        <w:rPr>
          <w:rFonts w:hint="eastAsia"/>
        </w:rPr>
        <w:t>参与项目勘察、设计、施工及管理的单位，必须具备国家规定的资质条件，取得相应的资质证书；项目质量管理必须严格按照有关规范、规程执行，做到责任明确，奖罚分明，施工所需材料须经质检部门验收合格后方可使用。</w:t>
      </w:r>
    </w:p>
    <w:p>
      <w:pPr>
        <w:ind w:firstLine="480"/>
      </w:pPr>
      <w:r>
        <w:rPr>
          <w:rFonts w:hint="eastAsia"/>
        </w:rPr>
        <w:t>泽普县淼鑫水务有限责任公司按照土地复垦方案的要求完成喀什地区泽普县供水城乡一体化建设工程（泽普县农村规模化供水管道连通工程）临时用地土地复垦任务后，应当按照国务院自然资源主管部门的规定向所在地县级以上地方人民政府自然资源主管部门申请验收，接到申请的自然资源主管部门将会同同级农业、林业、环境保护等有关部门邀请有关专家进行现场踏勘，查验复垦后的土地是否符合土地复垦质量要求以及土地复垦方案的要求，核实复垦后的土地类型、面积和质量等情况，并将初步验收结果公告，听取相关权利人的意见。相关权利人对土地复垦完成情况提出异议的，自然资源主管部门将会同有关部门进一步核查，并将核查情况向相关权利人反馈；情况属实的，应当向土地复垦义务人提出整改意见。</w:t>
      </w:r>
    </w:p>
    <w:p>
      <w:pPr>
        <w:ind w:firstLine="480"/>
      </w:pPr>
      <w:r>
        <w:rPr>
          <w:rFonts w:hint="eastAsia"/>
        </w:rPr>
        <w:t>喀什地区泽普县供水城乡一体化建设工程（泽普县农村规模化供水管道连通工程）临时用地土地复垦验收重点验收对象为采取工程措施复垦的内容，验收标准为工程措施标准。</w:t>
      </w:r>
    </w:p>
    <w:p>
      <w:pPr>
        <w:ind w:firstLine="480"/>
      </w:pPr>
      <w:r>
        <w:rPr>
          <w:rFonts w:hint="eastAsia"/>
        </w:rPr>
        <w:t>土地复垦经验收合格的，自然资源主管部门将向泽普县淼鑫水务有限责任公司出具验收合格确认书；经验收不合格的，将向泽普县淼鑫水务有限责任公司出具书面整改意见，泽普县淼鑫水务有限责任公司应按照整改意见进行整改，整改完成后重新申请验收。若整改后仍不合格的，应当缴纳土地复垦费，由有关自然资源主管部门代为组织复垦。若泽普县淼鑫水务有限责任公司未按规定缴纳喀什地区泽普县供水城乡一体化建设工程（泽普县农村规模化供水管道连通工程）临时用地土地复垦费的，由县级以上地方人民政府自然资源主管部门责令限期缴纳；逾期不缴纳的，根据国家相关规定处罚。</w:t>
      </w:r>
    </w:p>
    <w:p>
      <w:pPr>
        <w:ind w:firstLine="480"/>
      </w:pPr>
      <w:r>
        <w:rPr>
          <w:rFonts w:hint="eastAsia"/>
        </w:rPr>
        <w:t>喀什地区泽普县供水城乡一体化建设工程（泽普县农村规模化供水管道连通工程）临时用地复垦为农用地的土地，泽普县淼鑫水务有限责任公司应积极配合自然资源主管部门及有关部门在验收合格后的2年内对土地复垦效果进行跟踪评价，并根据所提出的建议和措施对土地质量进行改善。</w:t>
      </w:r>
    </w:p>
    <w:p>
      <w:pPr>
        <w:ind w:firstLine="480"/>
      </w:pPr>
      <w:r>
        <w:rPr>
          <w:rFonts w:hint="eastAsia"/>
        </w:rPr>
        <w:t>若泽普县淼鑫水务有限责任公司未按照规定报告喀什地区泽普县供水城乡一体化建设工程（泽普县农村规模化供水管道连通工程）临时用地土地损毁情况、土地复垦费用使用情况或者土地复垦工程实施情况的，由县级以上地方人民政府自然资源主管部门责令限期改正；逾期不改正的，根据国家相关规定处罚。</w:t>
      </w:r>
    </w:p>
    <w:p>
      <w:pPr>
        <w:ind w:firstLine="0" w:firstLineChars="0"/>
        <w:outlineLvl w:val="1"/>
        <w:rPr>
          <w:rFonts w:eastAsia="黑体"/>
          <w:bCs/>
          <w:sz w:val="30"/>
          <w:szCs w:val="32"/>
        </w:rPr>
      </w:pPr>
      <w:bookmarkStart w:id="776" w:name="_Toc116061698"/>
      <w:bookmarkStart w:id="777" w:name="_Toc19323"/>
      <w:bookmarkStart w:id="778" w:name="_Toc2662"/>
      <w:r>
        <w:rPr>
          <w:rFonts w:hint="eastAsia" w:eastAsia="黑体"/>
          <w:bCs/>
          <w:sz w:val="30"/>
          <w:szCs w:val="32"/>
        </w:rPr>
        <w:t>11.4技术保障措施</w:t>
      </w:r>
      <w:bookmarkEnd w:id="776"/>
      <w:bookmarkEnd w:id="777"/>
      <w:bookmarkEnd w:id="778"/>
    </w:p>
    <w:p>
      <w:pPr>
        <w:ind w:firstLine="480"/>
      </w:pPr>
      <w:r>
        <w:rPr>
          <w:rFonts w:hint="eastAsia"/>
        </w:rPr>
        <w:t>土地复垦工作人员须掌握土地复垦基础知识，受过相关专业的专门训练；在施工过程中技术人员要亲临现场进行施工监理，确保工程施工的质量及标准，及时解决复垦过程中的问题。本项目区的土地复垦工程与项目所在地区的相关规划和生态环境综合治理工作密切结合，在实际的复垦过程中，泽普县淼鑫水务有限责任公司土地复垦实施管理机构将联合相关科研机构及当地的国土、环保、农业等政府部门，进行多方联手攻关，保证复垦生态系统向良性方向发展。</w:t>
      </w:r>
    </w:p>
    <w:p>
      <w:pPr>
        <w:ind w:firstLine="0" w:firstLineChars="0"/>
        <w:outlineLvl w:val="1"/>
        <w:rPr>
          <w:rFonts w:eastAsia="黑体"/>
          <w:bCs/>
          <w:sz w:val="30"/>
          <w:szCs w:val="32"/>
        </w:rPr>
      </w:pPr>
      <w:bookmarkStart w:id="779" w:name="_Toc636"/>
      <w:bookmarkStart w:id="780" w:name="_Toc116061699"/>
      <w:bookmarkStart w:id="781" w:name="_Toc5342"/>
      <w:r>
        <w:rPr>
          <w:rFonts w:hint="eastAsia" w:eastAsia="黑体"/>
          <w:bCs/>
          <w:sz w:val="30"/>
          <w:szCs w:val="32"/>
        </w:rPr>
        <w:t>11.5公众参与</w:t>
      </w:r>
      <w:bookmarkEnd w:id="779"/>
      <w:bookmarkEnd w:id="780"/>
      <w:bookmarkEnd w:id="781"/>
    </w:p>
    <w:p>
      <w:pPr>
        <w:ind w:firstLine="0" w:firstLineChars="0"/>
        <w:outlineLvl w:val="2"/>
        <w:rPr>
          <w:rFonts w:eastAsia="黑体" w:cs="方正仿宋简体"/>
          <w:sz w:val="28"/>
        </w:rPr>
      </w:pPr>
      <w:bookmarkStart w:id="782" w:name="_Toc116061700"/>
      <w:bookmarkStart w:id="783" w:name="_Toc26504"/>
      <w:r>
        <w:rPr>
          <w:rFonts w:hint="eastAsia" w:eastAsia="黑体" w:cs="方正仿宋简体"/>
          <w:sz w:val="28"/>
        </w:rPr>
        <w:t>11.5.1复垦方案编制中的公众参与</w:t>
      </w:r>
      <w:bookmarkEnd w:id="782"/>
      <w:bookmarkEnd w:id="783"/>
    </w:p>
    <w:p>
      <w:pPr>
        <w:ind w:firstLine="480"/>
      </w:pPr>
      <w:r>
        <w:rPr>
          <w:rFonts w:hint="eastAsia"/>
        </w:rPr>
        <w:t>本复垦方案编制过程中，为使评价工作更具民主化、公众化，遵循公众广泛参与的原则，多次征求当地群众、专家领导以及当地国土、环保、林业、农业等相关部门的意见，以保证本方案的合理性以及适用性。公众参与调查表的发放对象为项目区周边人员等。本次复垦项目土地复垦公众参与调查表11-1。</w:t>
      </w:r>
    </w:p>
    <w:p>
      <w:pPr>
        <w:snapToGrid w:val="0"/>
        <w:ind w:firstLine="0" w:firstLineChars="0"/>
        <w:jc w:val="center"/>
        <w:rPr>
          <w:rFonts w:eastAsia="黑体"/>
          <w:sz w:val="21"/>
        </w:rPr>
      </w:pPr>
      <w:r>
        <w:rPr>
          <w:rFonts w:hint="eastAsia" w:eastAsia="黑体"/>
          <w:sz w:val="21"/>
        </w:rPr>
        <w:t>表11-1土地复垦项目公众参与调查表</w:t>
      </w:r>
    </w:p>
    <w:tbl>
      <w:tblPr>
        <w:tblStyle w:val="88"/>
        <w:tblW w:w="907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776"/>
        <w:gridCol w:w="1026"/>
        <w:gridCol w:w="827"/>
        <w:gridCol w:w="1506"/>
        <w:gridCol w:w="741"/>
        <w:gridCol w:w="686"/>
        <w:gridCol w:w="359"/>
        <w:gridCol w:w="272"/>
        <w:gridCol w:w="588"/>
        <w:gridCol w:w="589"/>
        <w:gridCol w:w="7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80" w:hRule="atLeast"/>
          <w:jc w:val="center"/>
        </w:trPr>
        <w:tc>
          <w:tcPr>
            <w:tcW w:w="1776" w:type="dxa"/>
            <w:tcBorders>
              <w:top w:val="single" w:color="auto" w:sz="4"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姓名</w:t>
            </w:r>
          </w:p>
        </w:tc>
        <w:tc>
          <w:tcPr>
            <w:tcW w:w="1026"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827"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性别</w:t>
            </w:r>
          </w:p>
        </w:tc>
        <w:tc>
          <w:tcPr>
            <w:tcW w:w="1506"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男</w:t>
            </w:r>
            <w:r>
              <w:rPr>
                <w:sz w:val="21"/>
                <w:szCs w:val="20"/>
              </w:rPr>
              <w:t>□</w:t>
            </w:r>
            <w:r>
              <w:rPr>
                <w:rFonts w:ascii="仿宋_GB2312"/>
                <w:sz w:val="21"/>
                <w:szCs w:val="20"/>
              </w:rPr>
              <w:t>女</w:t>
            </w:r>
            <w:r>
              <w:rPr>
                <w:sz w:val="21"/>
                <w:szCs w:val="20"/>
              </w:rPr>
              <w:t>□</w:t>
            </w:r>
          </w:p>
        </w:tc>
        <w:tc>
          <w:tcPr>
            <w:tcW w:w="741"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民族</w:t>
            </w:r>
          </w:p>
        </w:tc>
        <w:tc>
          <w:tcPr>
            <w:tcW w:w="1045" w:type="dxa"/>
            <w:gridSpan w:val="2"/>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860" w:type="dxa"/>
            <w:gridSpan w:val="2"/>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年龄</w:t>
            </w:r>
          </w:p>
        </w:tc>
        <w:tc>
          <w:tcPr>
            <w:tcW w:w="1291" w:type="dxa"/>
            <w:gridSpan w:val="2"/>
            <w:tcBorders>
              <w:top w:val="single" w:color="auto" w:sz="4"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44"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职业及工作单位</w:t>
            </w:r>
          </w:p>
        </w:tc>
        <w:tc>
          <w:tcPr>
            <w:tcW w:w="7296" w:type="dxa"/>
            <w:gridSpan w:val="10"/>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61"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居住地距项目方位及距离</w:t>
            </w:r>
          </w:p>
        </w:tc>
        <w:tc>
          <w:tcPr>
            <w:tcW w:w="7296" w:type="dxa"/>
            <w:gridSpan w:val="10"/>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文化程度</w:t>
            </w:r>
          </w:p>
        </w:tc>
        <w:tc>
          <w:tcPr>
            <w:tcW w:w="7296" w:type="dxa"/>
            <w:gridSpan w:val="10"/>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r>
              <w:rPr>
                <w:rFonts w:ascii="仿宋_GB2312"/>
                <w:sz w:val="21"/>
                <w:szCs w:val="20"/>
              </w:rPr>
              <w:t>小学</w:t>
            </w:r>
            <w:r>
              <w:rPr>
                <w:sz w:val="21"/>
                <w:szCs w:val="20"/>
              </w:rPr>
              <w:t>□</w:t>
            </w:r>
            <w:r>
              <w:rPr>
                <w:rFonts w:ascii="仿宋_GB2312"/>
                <w:sz w:val="21"/>
                <w:szCs w:val="20"/>
              </w:rPr>
              <w:t>初中</w:t>
            </w:r>
            <w:r>
              <w:rPr>
                <w:sz w:val="21"/>
                <w:szCs w:val="20"/>
              </w:rPr>
              <w:t>□</w:t>
            </w:r>
            <w:r>
              <w:rPr>
                <w:rFonts w:ascii="仿宋_GB2312"/>
                <w:sz w:val="21"/>
                <w:szCs w:val="20"/>
              </w:rPr>
              <w:t>高中</w:t>
            </w:r>
            <w:r>
              <w:rPr>
                <w:sz w:val="21"/>
                <w:szCs w:val="20"/>
              </w:rPr>
              <w:t>□</w:t>
            </w:r>
            <w:r>
              <w:rPr>
                <w:rFonts w:ascii="仿宋_GB2312"/>
                <w:sz w:val="21"/>
                <w:szCs w:val="20"/>
              </w:rPr>
              <w:t>中专</w:t>
            </w:r>
            <w:r>
              <w:rPr>
                <w:sz w:val="21"/>
                <w:szCs w:val="20"/>
              </w:rPr>
              <w:t>□</w:t>
            </w:r>
            <w:r>
              <w:rPr>
                <w:rFonts w:ascii="仿宋_GB2312"/>
                <w:sz w:val="21"/>
                <w:szCs w:val="20"/>
              </w:rPr>
              <w:t>大学</w:t>
            </w:r>
            <w:r>
              <w:rPr>
                <w:sz w:val="21"/>
                <w:szCs w:val="20"/>
              </w:rPr>
              <w:t>□</w:t>
            </w:r>
            <w:r>
              <w:rPr>
                <w:rFonts w:ascii="仿宋_GB2312"/>
                <w:sz w:val="21"/>
                <w:szCs w:val="20"/>
              </w:rPr>
              <w:t>硕士以上</w:t>
            </w:r>
            <w:r>
              <w:rPr>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50" w:hRule="atLeast"/>
          <w:jc w:val="center"/>
        </w:trPr>
        <w:tc>
          <w:tcPr>
            <w:tcW w:w="1776" w:type="dxa"/>
            <w:vMerge w:val="restart"/>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序号</w:t>
            </w:r>
          </w:p>
        </w:tc>
        <w:tc>
          <w:tcPr>
            <w:tcW w:w="4786" w:type="dxa"/>
            <w:gridSpan w:val="5"/>
            <w:vMerge w:val="restar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问题</w:t>
            </w:r>
          </w:p>
        </w:tc>
        <w:tc>
          <w:tcPr>
            <w:tcW w:w="1808" w:type="dxa"/>
            <w:gridSpan w:val="4"/>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rFonts w:ascii="仿宋_GB2312"/>
                <w:sz w:val="21"/>
                <w:szCs w:val="20"/>
              </w:rPr>
              <w:t>您的答案</w:t>
            </w:r>
          </w:p>
        </w:tc>
        <w:tc>
          <w:tcPr>
            <w:tcW w:w="702" w:type="dxa"/>
            <w:vMerge w:val="restart"/>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r>
              <w:rPr>
                <w:rFonts w:ascii="仿宋_GB2312"/>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06" w:hRule="atLeast"/>
          <w:jc w:val="center"/>
        </w:trPr>
        <w:tc>
          <w:tcPr>
            <w:tcW w:w="1776" w:type="dxa"/>
            <w:vMerge w:val="continue"/>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4786" w:type="dxa"/>
            <w:gridSpan w:val="5"/>
            <w:vMerge w:val="continue"/>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A</w:t>
            </w: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B</w:t>
            </w: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C</w:t>
            </w:r>
          </w:p>
        </w:tc>
        <w:tc>
          <w:tcPr>
            <w:tcW w:w="702" w:type="dxa"/>
            <w:vMerge w:val="continue"/>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1</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您对本项目了解程度：</w:t>
            </w:r>
          </w:p>
          <w:p>
            <w:pPr>
              <w:spacing w:line="240" w:lineRule="auto"/>
              <w:ind w:firstLine="0" w:firstLineChars="0"/>
              <w:jc w:val="left"/>
              <w:rPr>
                <w:sz w:val="21"/>
                <w:szCs w:val="21"/>
              </w:rPr>
            </w:pPr>
            <w:r>
              <w:rPr>
                <w:sz w:val="21"/>
                <w:szCs w:val="20"/>
              </w:rPr>
              <w:t>A</w:t>
            </w:r>
            <w:r>
              <w:rPr>
                <w:rFonts w:ascii="仿宋_GB2312"/>
                <w:sz w:val="21"/>
                <w:szCs w:val="20"/>
              </w:rPr>
              <w:t>很了解；</w:t>
            </w:r>
            <w:r>
              <w:rPr>
                <w:sz w:val="21"/>
                <w:szCs w:val="20"/>
              </w:rPr>
              <w:t>B</w:t>
            </w:r>
            <w:r>
              <w:rPr>
                <w:rFonts w:ascii="仿宋_GB2312"/>
                <w:sz w:val="21"/>
                <w:szCs w:val="20"/>
              </w:rPr>
              <w:t>一般了解；</w:t>
            </w:r>
            <w:r>
              <w:rPr>
                <w:sz w:val="21"/>
                <w:szCs w:val="20"/>
              </w:rPr>
              <w:t>C</w:t>
            </w:r>
            <w:r>
              <w:rPr>
                <w:rFonts w:ascii="仿宋_GB2312"/>
                <w:sz w:val="21"/>
                <w:szCs w:val="20"/>
              </w:rPr>
              <w:t>不了解</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2</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您认为本项目是否有利于地方经济发展：</w:t>
            </w:r>
          </w:p>
          <w:p>
            <w:pPr>
              <w:spacing w:line="240" w:lineRule="auto"/>
              <w:ind w:firstLine="0" w:firstLineChars="0"/>
              <w:jc w:val="left"/>
              <w:rPr>
                <w:sz w:val="21"/>
                <w:szCs w:val="21"/>
              </w:rPr>
            </w:pPr>
            <w:r>
              <w:rPr>
                <w:sz w:val="21"/>
                <w:szCs w:val="20"/>
              </w:rPr>
              <w:t>A</w:t>
            </w:r>
            <w:r>
              <w:rPr>
                <w:rFonts w:ascii="仿宋_GB2312"/>
                <w:sz w:val="21"/>
                <w:szCs w:val="20"/>
              </w:rPr>
              <w:t>是；</w:t>
            </w:r>
            <w:r>
              <w:rPr>
                <w:sz w:val="21"/>
                <w:szCs w:val="20"/>
              </w:rPr>
              <w:t>B</w:t>
            </w:r>
            <w:r>
              <w:rPr>
                <w:rFonts w:ascii="仿宋_GB2312"/>
                <w:sz w:val="21"/>
                <w:szCs w:val="20"/>
              </w:rPr>
              <w:t>否；</w:t>
            </w:r>
            <w:r>
              <w:rPr>
                <w:sz w:val="21"/>
                <w:szCs w:val="20"/>
              </w:rPr>
              <w:t>C</w:t>
            </w:r>
            <w:r>
              <w:rPr>
                <w:rFonts w:ascii="仿宋_GB2312"/>
                <w:sz w:val="21"/>
                <w:szCs w:val="20"/>
              </w:rPr>
              <w:t>不清楚</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3</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是否担心的开采影响生态环境？</w:t>
            </w:r>
          </w:p>
          <w:p>
            <w:pPr>
              <w:spacing w:line="240" w:lineRule="auto"/>
              <w:ind w:firstLine="0" w:firstLineChars="0"/>
              <w:jc w:val="left"/>
              <w:rPr>
                <w:sz w:val="21"/>
                <w:szCs w:val="21"/>
              </w:rPr>
            </w:pPr>
            <w:r>
              <w:rPr>
                <w:sz w:val="21"/>
                <w:szCs w:val="20"/>
              </w:rPr>
              <w:t>A</w:t>
            </w:r>
            <w:r>
              <w:rPr>
                <w:rFonts w:ascii="仿宋_GB2312"/>
                <w:sz w:val="21"/>
                <w:szCs w:val="20"/>
              </w:rPr>
              <w:t>担心；</w:t>
            </w:r>
            <w:r>
              <w:rPr>
                <w:sz w:val="21"/>
                <w:szCs w:val="20"/>
              </w:rPr>
              <w:t>B</w:t>
            </w:r>
            <w:r>
              <w:rPr>
                <w:rFonts w:ascii="仿宋_GB2312"/>
                <w:sz w:val="21"/>
                <w:szCs w:val="20"/>
              </w:rPr>
              <w:t>不担心；</w:t>
            </w:r>
            <w:r>
              <w:rPr>
                <w:sz w:val="21"/>
                <w:szCs w:val="20"/>
              </w:rPr>
              <w:t>C</w:t>
            </w:r>
            <w:r>
              <w:rPr>
                <w:rFonts w:ascii="仿宋_GB2312"/>
                <w:sz w:val="21"/>
                <w:szCs w:val="20"/>
              </w:rPr>
              <w:t>无所谓</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4</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您了解土地复垦吗？</w:t>
            </w:r>
          </w:p>
          <w:p>
            <w:pPr>
              <w:spacing w:line="240" w:lineRule="auto"/>
              <w:ind w:firstLine="0" w:firstLineChars="0"/>
              <w:jc w:val="left"/>
              <w:rPr>
                <w:sz w:val="21"/>
                <w:szCs w:val="21"/>
              </w:rPr>
            </w:pPr>
            <w:r>
              <w:rPr>
                <w:sz w:val="21"/>
                <w:szCs w:val="20"/>
              </w:rPr>
              <w:t>A</w:t>
            </w:r>
            <w:r>
              <w:rPr>
                <w:rFonts w:ascii="仿宋_GB2312"/>
                <w:sz w:val="21"/>
                <w:szCs w:val="20"/>
              </w:rPr>
              <w:t>了解；</w:t>
            </w:r>
            <w:r>
              <w:rPr>
                <w:sz w:val="21"/>
                <w:szCs w:val="20"/>
              </w:rPr>
              <w:t>B</w:t>
            </w:r>
            <w:r>
              <w:rPr>
                <w:rFonts w:ascii="仿宋_GB2312"/>
                <w:sz w:val="21"/>
                <w:szCs w:val="20"/>
              </w:rPr>
              <w:t>不了解；</w:t>
            </w:r>
            <w:r>
              <w:rPr>
                <w:sz w:val="21"/>
                <w:szCs w:val="20"/>
              </w:rPr>
              <w:t>C</w:t>
            </w:r>
            <w:r>
              <w:rPr>
                <w:rFonts w:ascii="仿宋_GB2312"/>
                <w:sz w:val="21"/>
                <w:szCs w:val="20"/>
              </w:rPr>
              <w:t>不清楚</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5</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rFonts w:ascii="仿宋_GB2312"/>
                <w:sz w:val="21"/>
                <w:szCs w:val="20"/>
              </w:rPr>
            </w:pPr>
            <w:r>
              <w:rPr>
                <w:rFonts w:ascii="仿宋_GB2312"/>
                <w:sz w:val="21"/>
                <w:szCs w:val="20"/>
              </w:rPr>
              <w:t>您认为土地复垦能否改善当地生态环境？</w:t>
            </w:r>
          </w:p>
          <w:p>
            <w:pPr>
              <w:spacing w:line="240" w:lineRule="auto"/>
              <w:ind w:firstLine="0" w:firstLineChars="0"/>
              <w:jc w:val="left"/>
              <w:rPr>
                <w:sz w:val="21"/>
                <w:szCs w:val="21"/>
              </w:rPr>
            </w:pPr>
            <w:r>
              <w:rPr>
                <w:sz w:val="21"/>
                <w:szCs w:val="20"/>
              </w:rPr>
              <w:t>A</w:t>
            </w:r>
            <w:r>
              <w:rPr>
                <w:rFonts w:ascii="仿宋_GB2312"/>
                <w:sz w:val="21"/>
                <w:szCs w:val="20"/>
              </w:rPr>
              <w:t>能；</w:t>
            </w:r>
            <w:r>
              <w:rPr>
                <w:sz w:val="21"/>
                <w:szCs w:val="20"/>
              </w:rPr>
              <w:t>B</w:t>
            </w:r>
            <w:r>
              <w:rPr>
                <w:rFonts w:ascii="仿宋_GB2312"/>
                <w:sz w:val="21"/>
                <w:szCs w:val="20"/>
              </w:rPr>
              <w:t>不能；</w:t>
            </w:r>
            <w:r>
              <w:rPr>
                <w:sz w:val="21"/>
                <w:szCs w:val="20"/>
              </w:rPr>
              <w:t>C</w:t>
            </w:r>
            <w:r>
              <w:rPr>
                <w:rFonts w:ascii="仿宋_GB2312"/>
                <w:sz w:val="21"/>
                <w:szCs w:val="20"/>
              </w:rPr>
              <w:t>不清楚</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6</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（了解土地复垦后，）您支持土地复垦吗？</w:t>
            </w:r>
          </w:p>
          <w:p>
            <w:pPr>
              <w:spacing w:line="240" w:lineRule="auto"/>
              <w:ind w:firstLine="0" w:firstLineChars="0"/>
              <w:jc w:val="left"/>
              <w:rPr>
                <w:sz w:val="21"/>
                <w:szCs w:val="21"/>
              </w:rPr>
            </w:pPr>
            <w:r>
              <w:rPr>
                <w:sz w:val="21"/>
                <w:szCs w:val="20"/>
              </w:rPr>
              <w:t>A</w:t>
            </w:r>
            <w:r>
              <w:rPr>
                <w:rFonts w:ascii="仿宋_GB2312"/>
                <w:sz w:val="21"/>
                <w:szCs w:val="20"/>
              </w:rPr>
              <w:t>支持；</w:t>
            </w:r>
            <w:r>
              <w:rPr>
                <w:sz w:val="21"/>
                <w:szCs w:val="20"/>
              </w:rPr>
              <w:t>B</w:t>
            </w:r>
            <w:r>
              <w:rPr>
                <w:rFonts w:ascii="仿宋_GB2312"/>
                <w:sz w:val="21"/>
                <w:szCs w:val="20"/>
              </w:rPr>
              <w:t>不支持；</w:t>
            </w:r>
            <w:r>
              <w:rPr>
                <w:sz w:val="21"/>
                <w:szCs w:val="20"/>
              </w:rPr>
              <w:t>C</w:t>
            </w:r>
            <w:r>
              <w:rPr>
                <w:rFonts w:ascii="仿宋_GB2312"/>
                <w:sz w:val="21"/>
                <w:szCs w:val="20"/>
              </w:rPr>
              <w:t>无所谓</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7</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您认为本项目复垦最适宜方向是什么？</w:t>
            </w:r>
          </w:p>
          <w:p>
            <w:pPr>
              <w:spacing w:line="240" w:lineRule="auto"/>
              <w:ind w:firstLine="0" w:firstLineChars="0"/>
              <w:jc w:val="left"/>
              <w:rPr>
                <w:sz w:val="21"/>
                <w:szCs w:val="21"/>
              </w:rPr>
            </w:pPr>
            <w:r>
              <w:rPr>
                <w:sz w:val="21"/>
                <w:szCs w:val="20"/>
              </w:rPr>
              <w:t>A</w:t>
            </w:r>
            <w:r>
              <w:rPr>
                <w:rFonts w:ascii="仿宋_GB2312"/>
                <w:sz w:val="21"/>
                <w:szCs w:val="20"/>
              </w:rPr>
              <w:t>林地；</w:t>
            </w:r>
            <w:r>
              <w:rPr>
                <w:sz w:val="21"/>
                <w:szCs w:val="20"/>
              </w:rPr>
              <w:t>B</w:t>
            </w:r>
            <w:r>
              <w:rPr>
                <w:rFonts w:ascii="仿宋_GB2312"/>
                <w:sz w:val="21"/>
                <w:szCs w:val="20"/>
              </w:rPr>
              <w:t>草地；</w:t>
            </w:r>
            <w:r>
              <w:rPr>
                <w:sz w:val="21"/>
                <w:szCs w:val="20"/>
              </w:rPr>
              <w:t>C</w:t>
            </w:r>
            <w:r>
              <w:rPr>
                <w:rFonts w:ascii="仿宋_GB2312"/>
                <w:sz w:val="21"/>
                <w:szCs w:val="20"/>
              </w:rPr>
              <w:t>其他土地</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80" w:hRule="atLeast"/>
          <w:jc w:val="center"/>
        </w:trPr>
        <w:tc>
          <w:tcPr>
            <w:tcW w:w="1776" w:type="dxa"/>
            <w:tcBorders>
              <w:top w:val="single" w:color="auto" w:sz="6" w:space="0"/>
              <w:left w:val="single" w:color="auto" w:sz="4" w:space="0"/>
              <w:bottom w:val="single" w:color="auto" w:sz="6" w:space="0"/>
              <w:right w:val="single" w:color="auto" w:sz="6" w:space="0"/>
            </w:tcBorders>
            <w:vAlign w:val="center"/>
          </w:tcPr>
          <w:p>
            <w:pPr>
              <w:spacing w:line="240" w:lineRule="auto"/>
              <w:ind w:firstLine="0" w:firstLineChars="0"/>
              <w:jc w:val="center"/>
              <w:rPr>
                <w:sz w:val="21"/>
                <w:szCs w:val="21"/>
              </w:rPr>
            </w:pPr>
            <w:r>
              <w:rPr>
                <w:sz w:val="21"/>
                <w:szCs w:val="20"/>
              </w:rPr>
              <w:t>8</w:t>
            </w:r>
          </w:p>
        </w:tc>
        <w:tc>
          <w:tcPr>
            <w:tcW w:w="4786"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left"/>
              <w:rPr>
                <w:sz w:val="21"/>
                <w:szCs w:val="21"/>
              </w:rPr>
            </w:pPr>
            <w:r>
              <w:rPr>
                <w:rFonts w:ascii="仿宋_GB2312"/>
                <w:sz w:val="21"/>
                <w:szCs w:val="20"/>
              </w:rPr>
              <w:t>您愿意监督或参与复垦吗？</w:t>
            </w:r>
          </w:p>
          <w:p>
            <w:pPr>
              <w:spacing w:line="240" w:lineRule="auto"/>
              <w:ind w:firstLine="0" w:firstLineChars="0"/>
              <w:jc w:val="left"/>
              <w:rPr>
                <w:sz w:val="21"/>
                <w:szCs w:val="21"/>
              </w:rPr>
            </w:pPr>
            <w:r>
              <w:rPr>
                <w:sz w:val="21"/>
                <w:szCs w:val="20"/>
              </w:rPr>
              <w:t>A</w:t>
            </w:r>
            <w:r>
              <w:rPr>
                <w:rFonts w:ascii="仿宋_GB2312"/>
                <w:sz w:val="21"/>
                <w:szCs w:val="20"/>
              </w:rPr>
              <w:t>愿意；</w:t>
            </w:r>
            <w:r>
              <w:rPr>
                <w:sz w:val="21"/>
                <w:szCs w:val="20"/>
              </w:rPr>
              <w:t>B</w:t>
            </w:r>
            <w:r>
              <w:rPr>
                <w:rFonts w:ascii="仿宋_GB2312"/>
                <w:sz w:val="21"/>
                <w:szCs w:val="20"/>
              </w:rPr>
              <w:t>不愿意；</w:t>
            </w:r>
            <w:r>
              <w:rPr>
                <w:sz w:val="21"/>
                <w:szCs w:val="20"/>
              </w:rPr>
              <w:t>C</w:t>
            </w:r>
            <w:r>
              <w:rPr>
                <w:rFonts w:ascii="仿宋_GB2312"/>
                <w:sz w:val="21"/>
                <w:szCs w:val="20"/>
              </w:rPr>
              <w:t>无所谓</w:t>
            </w:r>
          </w:p>
        </w:tc>
        <w:tc>
          <w:tcPr>
            <w:tcW w:w="63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589"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z w:val="21"/>
                <w:szCs w:val="21"/>
              </w:rPr>
            </w:pPr>
          </w:p>
        </w:tc>
        <w:tc>
          <w:tcPr>
            <w:tcW w:w="702" w:type="dxa"/>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769" w:hRule="atLeast"/>
          <w:jc w:val="center"/>
        </w:trPr>
        <w:tc>
          <w:tcPr>
            <w:tcW w:w="9072" w:type="dxa"/>
            <w:gridSpan w:val="11"/>
            <w:tcBorders>
              <w:top w:val="single" w:color="auto" w:sz="6" w:space="0"/>
              <w:left w:val="single" w:color="auto" w:sz="4" w:space="0"/>
              <w:bottom w:val="single" w:color="auto" w:sz="4" w:space="0"/>
              <w:right w:val="single" w:color="auto" w:sz="4" w:space="0"/>
            </w:tcBorders>
          </w:tcPr>
          <w:p>
            <w:pPr>
              <w:spacing w:line="240" w:lineRule="auto"/>
              <w:ind w:firstLine="0" w:firstLineChars="0"/>
              <w:jc w:val="left"/>
            </w:pPr>
            <w:r>
              <w:rPr>
                <w:rFonts w:ascii="仿宋_GB2312"/>
                <w:sz w:val="21"/>
                <w:szCs w:val="20"/>
              </w:rPr>
              <w:t>您对该项目的具体意见和建议：</w:t>
            </w:r>
          </w:p>
          <w:p>
            <w:pPr>
              <w:spacing w:line="240" w:lineRule="auto"/>
              <w:ind w:firstLine="0" w:firstLineChars="0"/>
              <w:jc w:val="center"/>
              <w:rPr>
                <w:sz w:val="21"/>
                <w:szCs w:val="21"/>
              </w:rPr>
            </w:pPr>
          </w:p>
        </w:tc>
      </w:tr>
    </w:tbl>
    <w:p>
      <w:pPr>
        <w:ind w:firstLine="0" w:firstLineChars="0"/>
        <w:outlineLvl w:val="2"/>
        <w:rPr>
          <w:rFonts w:eastAsia="黑体" w:cs="方正仿宋简体"/>
          <w:sz w:val="28"/>
        </w:rPr>
      </w:pPr>
      <w:bookmarkStart w:id="784" w:name="_Toc26277"/>
      <w:bookmarkStart w:id="785" w:name="_Toc116061701"/>
      <w:r>
        <w:rPr>
          <w:rFonts w:hint="eastAsia" w:eastAsia="黑体" w:cs="方正仿宋简体"/>
          <w:sz w:val="28"/>
        </w:rPr>
        <w:t>11.5.2复垦方案编制完成后的公示</w:t>
      </w:r>
      <w:bookmarkEnd w:id="784"/>
      <w:bookmarkEnd w:id="785"/>
    </w:p>
    <w:p>
      <w:pPr>
        <w:ind w:firstLine="480"/>
      </w:pPr>
      <w:r>
        <w:rPr>
          <w:rFonts w:hint="eastAsia"/>
        </w:rPr>
        <w:t>a）复垦方案公示内容及形式</w:t>
      </w:r>
    </w:p>
    <w:p>
      <w:pPr>
        <w:ind w:firstLine="480"/>
      </w:pPr>
      <w:r>
        <w:rPr>
          <w:rFonts w:hint="eastAsia"/>
        </w:rPr>
        <w:t>复垦方案送审稿完成之后，在报送自然资源主管部门评审之前，由建设单位将复垦方案在泽普县自然资源局附近进行公示，向公众公告的内容包括：建设项目情况简介；开采项目对土地损毁情况简介；复垦方向及复垦措施要点介绍；公众查阅土地复垦报告书简本的方式和期限，以及公众认为必要时向生产建设单位或者其委托的报告编制单位索取补充信息的联系方式和期限。</w:t>
      </w:r>
    </w:p>
    <w:p>
      <w:pPr>
        <w:ind w:firstLine="0" w:firstLineChars="0"/>
        <w:outlineLvl w:val="2"/>
        <w:rPr>
          <w:rFonts w:eastAsia="黑体" w:cs="方正仿宋简体"/>
          <w:sz w:val="28"/>
        </w:rPr>
      </w:pPr>
      <w:bookmarkStart w:id="786" w:name="_Toc23549"/>
      <w:bookmarkStart w:id="787" w:name="_Toc116061702"/>
      <w:r>
        <w:rPr>
          <w:rFonts w:hint="eastAsia" w:eastAsia="黑体" w:cs="方正仿宋简体"/>
          <w:sz w:val="28"/>
        </w:rPr>
        <w:t>11.5.3复垦方案实施阶段的公众参与</w:t>
      </w:r>
      <w:bookmarkEnd w:id="786"/>
      <w:bookmarkEnd w:id="787"/>
    </w:p>
    <w:p>
      <w:pPr>
        <w:ind w:firstLine="480"/>
      </w:pPr>
      <w:r>
        <w:rPr>
          <w:rFonts w:hint="eastAsia"/>
        </w:rPr>
        <w:t>在项目的实施过程中，泽普县淼鑫水务有限责任公司将继续征求相关专业部门及专家、科技工作者的意见，遇到问题及时求教，并接受地方自然资源主管部门、其他相关部门及群众对复垦进度与复垦质量的监督。</w:t>
      </w:r>
    </w:p>
    <w:p>
      <w:pPr>
        <w:ind w:firstLine="480"/>
      </w:pPr>
      <w:r>
        <w:rPr>
          <w:rFonts w:hint="eastAsia"/>
        </w:rPr>
        <w:t>具体表现在两方面：一是土地复垦工作的验收主体不只局限于自然资源部门，相关的前期参与复垦方案报告的相关职能部门均有对复垦实施效果进行监督的权利；二是泽普县淼鑫水务有限责任公司在组织开展喀什地区泽普县供水城乡一体化建设工程（泽普县农村规模化供水管道连通工程）临时用地土地复垦工作以后，应当受理群众对详细复垦措施、质量以及复垦土地权属调整过程中的纠纷问题。</w:t>
      </w:r>
    </w:p>
    <w:p>
      <w:pPr>
        <w:ind w:firstLine="0" w:firstLineChars="0"/>
        <w:outlineLvl w:val="2"/>
        <w:rPr>
          <w:rFonts w:eastAsia="黑体" w:cs="方正仿宋简体"/>
          <w:sz w:val="28"/>
        </w:rPr>
      </w:pPr>
      <w:bookmarkStart w:id="788" w:name="_Toc116061703"/>
      <w:bookmarkStart w:id="789" w:name="_Toc27546"/>
      <w:r>
        <w:rPr>
          <w:rFonts w:hint="eastAsia" w:eastAsia="黑体" w:cs="方正仿宋简体"/>
          <w:sz w:val="28"/>
        </w:rPr>
        <w:t>11.5.4复垦工程竣工验收阶段的公众参与</w:t>
      </w:r>
      <w:bookmarkEnd w:id="788"/>
      <w:bookmarkEnd w:id="789"/>
    </w:p>
    <w:p>
      <w:pPr>
        <w:ind w:firstLine="480"/>
      </w:pPr>
      <w:r>
        <w:rPr>
          <w:rFonts w:hint="eastAsia"/>
        </w:rPr>
        <w:t>复垦工程核查验收主要是在本方案服务期满后，由以自然资源主管部门牵头的验收专家组对土地复垦方案实施过程中的资金使用、复垦措施、工程设计、复垦效果进行检查，以复垦标准为标准，对项目区的土地复垦进行综合评判的过程。由于本项目处于生态环境脆弱地区，以保证复垦植被的成活率。分阶段对本方案的全部复垦工作进行动态跟踪核查验收，以确保能够达到预期的复垦效果。</w:t>
      </w:r>
    </w:p>
    <w:p>
      <w:pPr>
        <w:ind w:firstLine="0" w:firstLineChars="0"/>
        <w:outlineLvl w:val="1"/>
        <w:rPr>
          <w:rFonts w:eastAsia="黑体"/>
          <w:bCs/>
          <w:sz w:val="30"/>
          <w:szCs w:val="32"/>
        </w:rPr>
      </w:pPr>
      <w:bookmarkStart w:id="790" w:name="_Toc12850"/>
      <w:bookmarkStart w:id="791" w:name="_Toc22212"/>
      <w:bookmarkStart w:id="792" w:name="_Toc116061704"/>
      <w:r>
        <w:rPr>
          <w:rFonts w:hint="eastAsia" w:eastAsia="黑体"/>
          <w:bCs/>
          <w:sz w:val="30"/>
          <w:szCs w:val="32"/>
        </w:rPr>
        <w:t>11.6土地权属调整方案</w:t>
      </w:r>
      <w:bookmarkEnd w:id="790"/>
      <w:bookmarkEnd w:id="791"/>
      <w:bookmarkEnd w:id="792"/>
    </w:p>
    <w:p>
      <w:pPr>
        <w:ind w:firstLine="480"/>
      </w:pPr>
      <w:r>
        <w:rPr>
          <w:rFonts w:hint="eastAsia"/>
        </w:rPr>
        <w:t>土地权属调整是对复垦土地的产权进行调整，其目的是使复垦后的土地产权关系明确，促进项目所在地区的社会稳定、经济发展又能切实保护当事人的合法土地权利，避免发生土地权属争议。</w:t>
      </w:r>
    </w:p>
    <w:p>
      <w:pPr>
        <w:ind w:firstLine="480"/>
      </w:pPr>
      <w:r>
        <w:rPr>
          <w:rFonts w:hint="eastAsia"/>
        </w:rPr>
        <w:t>本方案对于临时占用的土地，复垦后及时归还原权属单位使用。</w:t>
      </w:r>
    </w:p>
    <w:p>
      <w:pPr>
        <w:ind w:firstLine="480"/>
      </w:pPr>
    </w:p>
    <w:p>
      <w:pPr>
        <w:ind w:firstLine="480"/>
        <w:sectPr>
          <w:pgSz w:w="11906" w:h="16838"/>
          <w:pgMar w:top="1418" w:right="1247" w:bottom="1418" w:left="1247" w:header="851" w:footer="992" w:gutter="340"/>
          <w:cols w:space="720" w:num="1"/>
          <w:docGrid w:type="linesAndChars" w:linePitch="312" w:charSpace="0"/>
        </w:sectPr>
      </w:pPr>
    </w:p>
    <w:p>
      <w:pPr>
        <w:spacing w:before="156" w:beforeLines="50" w:after="156" w:afterLines="50"/>
        <w:ind w:firstLine="640"/>
        <w:jc w:val="center"/>
        <w:outlineLvl w:val="0"/>
        <w:rPr>
          <w:sz w:val="32"/>
          <w:szCs w:val="32"/>
        </w:rPr>
      </w:pPr>
      <w:bookmarkStart w:id="793" w:name="_Toc14641"/>
      <w:bookmarkStart w:id="794" w:name="_Toc116061705"/>
      <w:bookmarkStart w:id="795" w:name="_Toc19575"/>
      <w:r>
        <w:rPr>
          <w:rFonts w:eastAsia="黑体"/>
          <w:sz w:val="32"/>
          <w:szCs w:val="32"/>
        </w:rPr>
        <w:t>1</w:t>
      </w:r>
      <w:r>
        <w:rPr>
          <w:rFonts w:hint="eastAsia" w:eastAsia="黑体"/>
          <w:sz w:val="32"/>
          <w:szCs w:val="32"/>
        </w:rPr>
        <w:t>2</w:t>
      </w:r>
      <w:r>
        <w:rPr>
          <w:rFonts w:eastAsia="黑体"/>
          <w:sz w:val="32"/>
          <w:szCs w:val="32"/>
        </w:rPr>
        <w:t>土地复垦方案编制成果</w:t>
      </w:r>
      <w:bookmarkEnd w:id="793"/>
      <w:bookmarkEnd w:id="794"/>
      <w:bookmarkEnd w:id="795"/>
    </w:p>
    <w:p>
      <w:pPr>
        <w:spacing w:before="156" w:beforeLines="50" w:after="156" w:afterLines="50"/>
        <w:ind w:firstLine="600"/>
        <w:outlineLvl w:val="1"/>
        <w:rPr>
          <w:rFonts w:eastAsia="黑体"/>
          <w:sz w:val="30"/>
          <w:szCs w:val="30"/>
        </w:rPr>
      </w:pPr>
      <w:bookmarkStart w:id="796" w:name="_Toc331980033"/>
      <w:bookmarkStart w:id="797" w:name="_Toc332054261"/>
      <w:bookmarkStart w:id="798" w:name="_Toc30265"/>
      <w:bookmarkStart w:id="799" w:name="_Toc116061706"/>
      <w:bookmarkStart w:id="800" w:name="_Toc17574"/>
      <w:bookmarkStart w:id="801" w:name="_Toc8581635"/>
      <w:bookmarkStart w:id="802" w:name="_Toc374433497"/>
      <w:bookmarkStart w:id="803" w:name="_Toc341866457"/>
      <w:bookmarkStart w:id="804" w:name="_Toc93403656"/>
      <w:bookmarkStart w:id="805" w:name="_Toc25842"/>
      <w:r>
        <w:rPr>
          <w:rFonts w:eastAsia="黑体"/>
          <w:sz w:val="30"/>
          <w:szCs w:val="30"/>
        </w:rPr>
        <w:t>1</w:t>
      </w:r>
      <w:r>
        <w:rPr>
          <w:rFonts w:hint="eastAsia" w:eastAsia="黑体"/>
          <w:sz w:val="30"/>
          <w:szCs w:val="30"/>
        </w:rPr>
        <w:t>2</w:t>
      </w:r>
      <w:r>
        <w:rPr>
          <w:rFonts w:eastAsia="黑体"/>
          <w:sz w:val="30"/>
          <w:szCs w:val="30"/>
        </w:rPr>
        <w:t>.1</w:t>
      </w:r>
      <w:bookmarkEnd w:id="796"/>
      <w:bookmarkEnd w:id="797"/>
      <w:r>
        <w:rPr>
          <w:rFonts w:eastAsia="黑体"/>
          <w:sz w:val="30"/>
          <w:szCs w:val="30"/>
        </w:rPr>
        <w:t>报告</w:t>
      </w:r>
      <w:bookmarkEnd w:id="798"/>
      <w:bookmarkEnd w:id="799"/>
      <w:bookmarkEnd w:id="800"/>
      <w:bookmarkEnd w:id="801"/>
      <w:bookmarkEnd w:id="802"/>
      <w:bookmarkEnd w:id="803"/>
      <w:bookmarkEnd w:id="804"/>
      <w:bookmarkEnd w:id="805"/>
    </w:p>
    <w:p>
      <w:pPr>
        <w:ind w:firstLine="480"/>
      </w:pPr>
      <w:r>
        <w:t>（1）</w:t>
      </w:r>
      <w:bookmarkStart w:id="806" w:name="OLE_LINK12"/>
      <w:r>
        <w:t>项目</w:t>
      </w:r>
      <w:bookmarkEnd w:id="806"/>
      <w:r>
        <w:t>土地复垦方案报告书；</w:t>
      </w:r>
    </w:p>
    <w:p>
      <w:pPr>
        <w:ind w:firstLine="480"/>
      </w:pPr>
      <w:r>
        <w:t>（2）项目土地复垦方案报告表。</w:t>
      </w:r>
    </w:p>
    <w:p>
      <w:pPr>
        <w:spacing w:before="156" w:beforeLines="50" w:after="156" w:afterLines="50"/>
        <w:ind w:firstLine="600"/>
        <w:outlineLvl w:val="1"/>
        <w:rPr>
          <w:rFonts w:eastAsia="黑体"/>
          <w:sz w:val="30"/>
          <w:szCs w:val="30"/>
        </w:rPr>
      </w:pPr>
      <w:bookmarkStart w:id="807" w:name="_Toc116061707"/>
      <w:bookmarkStart w:id="808" w:name="_Toc11729"/>
      <w:bookmarkStart w:id="809" w:name="_Toc341866459"/>
      <w:bookmarkStart w:id="810" w:name="_Toc18024"/>
      <w:bookmarkStart w:id="811" w:name="_Toc93403657"/>
      <w:bookmarkStart w:id="812" w:name="_Toc8581636"/>
      <w:bookmarkStart w:id="813" w:name="_Toc1807"/>
      <w:bookmarkStart w:id="814" w:name="_Toc374433498"/>
      <w:r>
        <w:rPr>
          <w:rFonts w:eastAsia="黑体"/>
          <w:sz w:val="30"/>
          <w:szCs w:val="30"/>
        </w:rPr>
        <w:t>1</w:t>
      </w:r>
      <w:r>
        <w:rPr>
          <w:rFonts w:hint="eastAsia" w:eastAsia="黑体"/>
          <w:sz w:val="30"/>
          <w:szCs w:val="30"/>
        </w:rPr>
        <w:t>2</w:t>
      </w:r>
      <w:r>
        <w:rPr>
          <w:rFonts w:eastAsia="黑体"/>
          <w:sz w:val="30"/>
          <w:szCs w:val="30"/>
        </w:rPr>
        <w:t>.2附件</w:t>
      </w:r>
      <w:bookmarkEnd w:id="807"/>
      <w:bookmarkEnd w:id="808"/>
      <w:bookmarkEnd w:id="809"/>
      <w:bookmarkEnd w:id="810"/>
      <w:bookmarkEnd w:id="811"/>
      <w:bookmarkEnd w:id="812"/>
      <w:bookmarkEnd w:id="813"/>
      <w:bookmarkEnd w:id="814"/>
    </w:p>
    <w:p>
      <w:pPr>
        <w:ind w:firstLine="480"/>
      </w:pPr>
      <w:r>
        <w:rPr>
          <w:rFonts w:hint="eastAsia"/>
        </w:rPr>
        <w:t>（1）《喀什地区泽普县供水城乡一体化建设工程（泽普县农村规模化供水管道连通工程）临时用地土地复垦方案报告书》的委托函；</w:t>
      </w:r>
    </w:p>
    <w:p>
      <w:pPr>
        <w:ind w:firstLine="480"/>
      </w:pPr>
      <w:r>
        <w:rPr>
          <w:rFonts w:hint="eastAsia"/>
        </w:rPr>
        <w:t>（2）《喀什地区泽普县供水城乡一体化建设工程（泽普县农村规模化供水管道连通工程）临时用地土地复垦方案报告书》的承诺书；</w:t>
      </w:r>
    </w:p>
    <w:p>
      <w:pPr>
        <w:ind w:firstLine="480"/>
        <w:rPr>
          <w:rFonts w:hint="eastAsia"/>
        </w:rPr>
      </w:pPr>
      <w:r>
        <w:rPr>
          <w:rFonts w:hint="eastAsia"/>
        </w:rPr>
        <w:t>（3）《喀什地区泽普县供水城乡一体化建设工程（泽普县农村规模化供水管道连通工程）临时用地土地复垦方案报告书》的业主意见；</w:t>
      </w:r>
    </w:p>
    <w:p>
      <w:pPr>
        <w:ind w:firstLine="480"/>
        <w:rPr>
          <w:rFonts w:hint="eastAsia"/>
        </w:rPr>
      </w:pPr>
      <w:r>
        <w:rPr>
          <w:rFonts w:hint="eastAsia"/>
        </w:rPr>
        <w:t>（4）土地复垦协议</w:t>
      </w:r>
    </w:p>
    <w:p>
      <w:pPr>
        <w:ind w:firstLine="48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泽普县局初审意见的报告</w:t>
      </w:r>
    </w:p>
    <w:p>
      <w:pPr>
        <w:ind w:firstLine="480"/>
        <w:rPr>
          <w:rFonts w:hint="eastAsia"/>
          <w:lang w:val="en-US" w:eastAsia="zh-CN"/>
        </w:rPr>
      </w:pPr>
      <w:r>
        <w:rPr>
          <w:rFonts w:hint="eastAsia"/>
          <w:lang w:val="en-US" w:eastAsia="zh-CN"/>
        </w:rPr>
        <w:t>（6）泽普县局踏勘说明</w:t>
      </w:r>
    </w:p>
    <w:p>
      <w:pPr>
        <w:ind w:firstLine="480"/>
        <w:rPr>
          <w:rFonts w:hint="eastAsia"/>
          <w:lang w:val="en-US" w:eastAsia="zh-CN"/>
        </w:rPr>
      </w:pPr>
      <w:r>
        <w:rPr>
          <w:rFonts w:hint="eastAsia"/>
          <w:lang w:val="en-US" w:eastAsia="zh-CN"/>
        </w:rPr>
        <w:t>（7）泽普县局初审意见</w:t>
      </w:r>
    </w:p>
    <w:p>
      <w:pPr>
        <w:ind w:firstLine="480"/>
      </w:pPr>
      <w:r>
        <w:rPr>
          <w:rFonts w:hint="eastAsia"/>
        </w:rPr>
        <w:t>（</w:t>
      </w:r>
      <w:r>
        <w:rPr>
          <w:rFonts w:hint="eastAsia"/>
          <w:lang w:val="en-US" w:eastAsia="zh-CN"/>
        </w:rPr>
        <w:t>8</w:t>
      </w:r>
      <w:r>
        <w:rPr>
          <w:rFonts w:hint="eastAsia"/>
        </w:rPr>
        <w:t>）《关于喀什地区泽普县供水城乡一体化建设工程泽普县农村规模化供水管道连通工程)初步设计(代可研)报告的批复》（泽发改项目〔2024〕352号）；</w:t>
      </w:r>
    </w:p>
    <w:p>
      <w:pPr>
        <w:ind w:firstLine="480"/>
      </w:pPr>
      <w:r>
        <w:rPr>
          <w:rFonts w:hint="eastAsia"/>
        </w:rPr>
        <w:t>（</w:t>
      </w:r>
      <w:r>
        <w:rPr>
          <w:rFonts w:hint="eastAsia"/>
          <w:lang w:val="en-US" w:eastAsia="zh-CN"/>
        </w:rPr>
        <w:t>9</w:t>
      </w:r>
      <w:r>
        <w:rPr>
          <w:rFonts w:hint="eastAsia"/>
        </w:rPr>
        <w:t>）2024年7月喀什地区建设工程除税综合价格信息；</w:t>
      </w:r>
    </w:p>
    <w:p>
      <w:pPr>
        <w:ind w:firstLine="480"/>
      </w:pPr>
      <w:r>
        <w:rPr>
          <w:rFonts w:hint="eastAsia"/>
        </w:rPr>
        <w:t>（</w:t>
      </w:r>
      <w:r>
        <w:rPr>
          <w:rFonts w:hint="eastAsia"/>
          <w:lang w:val="en-US" w:eastAsia="zh-CN"/>
        </w:rPr>
        <w:t>10</w:t>
      </w:r>
      <w:r>
        <w:rPr>
          <w:rFonts w:hint="eastAsia"/>
        </w:rPr>
        <w:t>）项目区现场照片；</w:t>
      </w:r>
    </w:p>
    <w:p>
      <w:pPr>
        <w:ind w:firstLine="480"/>
      </w:pPr>
      <w:r>
        <w:rPr>
          <w:rFonts w:hint="eastAsia"/>
        </w:rPr>
        <w:t>（</w:t>
      </w:r>
      <w:r>
        <w:rPr>
          <w:rFonts w:hint="eastAsia"/>
          <w:lang w:val="en-US" w:eastAsia="zh-CN"/>
        </w:rPr>
        <w:t>11</w:t>
      </w:r>
      <w:r>
        <w:rPr>
          <w:rFonts w:hint="eastAsia"/>
        </w:rPr>
        <w:t>）复垦施工典型大样图；</w:t>
      </w:r>
    </w:p>
    <w:p>
      <w:pPr>
        <w:ind w:firstLine="480"/>
      </w:pPr>
      <w:r>
        <w:rPr>
          <w:rFonts w:hint="eastAsia"/>
        </w:rPr>
        <w:t>（</w:t>
      </w:r>
      <w:r>
        <w:rPr>
          <w:rFonts w:hint="eastAsia"/>
          <w:lang w:val="en-US" w:eastAsia="zh-CN"/>
        </w:rPr>
        <w:t>12</w:t>
      </w:r>
      <w:r>
        <w:rPr>
          <w:rFonts w:hint="eastAsia"/>
        </w:rPr>
        <w:t>）公众调查表；</w:t>
      </w:r>
    </w:p>
    <w:p>
      <w:pPr>
        <w:ind w:firstLine="480"/>
      </w:pPr>
      <w:r>
        <w:rPr>
          <w:rFonts w:hint="eastAsia"/>
        </w:rPr>
        <w:t>（</w:t>
      </w:r>
      <w:r>
        <w:rPr>
          <w:rFonts w:hint="eastAsia"/>
          <w:lang w:val="en-US" w:eastAsia="zh-CN"/>
        </w:rPr>
        <w:t>13</w:t>
      </w:r>
      <w:r>
        <w:rPr>
          <w:rFonts w:hint="eastAsia"/>
        </w:rPr>
        <w:t>）项目临时用地坐标表；</w:t>
      </w:r>
    </w:p>
    <w:p>
      <w:pPr>
        <w:spacing w:before="156" w:beforeLines="50" w:after="156" w:afterLines="50"/>
        <w:ind w:firstLine="600"/>
        <w:outlineLvl w:val="1"/>
        <w:rPr>
          <w:rFonts w:eastAsia="黑体"/>
          <w:sz w:val="30"/>
          <w:szCs w:val="30"/>
        </w:rPr>
      </w:pPr>
      <w:bookmarkStart w:id="815" w:name="_Toc24104"/>
      <w:bookmarkStart w:id="816" w:name="_Toc93403658"/>
      <w:bookmarkStart w:id="817" w:name="_Toc374433499"/>
      <w:bookmarkStart w:id="818" w:name="_Toc16138"/>
      <w:bookmarkStart w:id="819" w:name="_Toc341866460"/>
      <w:bookmarkStart w:id="820" w:name="_Toc116061708"/>
      <w:bookmarkStart w:id="821" w:name="_Toc8581637"/>
      <w:bookmarkStart w:id="822" w:name="_Toc21452"/>
      <w:r>
        <w:rPr>
          <w:rFonts w:eastAsia="黑体"/>
          <w:sz w:val="30"/>
          <w:szCs w:val="30"/>
        </w:rPr>
        <w:t>1</w:t>
      </w:r>
      <w:r>
        <w:rPr>
          <w:rFonts w:hint="eastAsia" w:eastAsia="黑体"/>
          <w:sz w:val="30"/>
          <w:szCs w:val="30"/>
        </w:rPr>
        <w:t>2</w:t>
      </w:r>
      <w:r>
        <w:rPr>
          <w:rFonts w:eastAsia="黑体"/>
          <w:sz w:val="30"/>
          <w:szCs w:val="30"/>
        </w:rPr>
        <w:t>.3附图</w:t>
      </w:r>
      <w:bookmarkEnd w:id="815"/>
      <w:bookmarkEnd w:id="816"/>
      <w:bookmarkEnd w:id="817"/>
      <w:bookmarkEnd w:id="818"/>
      <w:bookmarkEnd w:id="819"/>
      <w:bookmarkEnd w:id="820"/>
      <w:bookmarkEnd w:id="821"/>
      <w:bookmarkEnd w:id="822"/>
    </w:p>
    <w:p>
      <w:pPr>
        <w:ind w:firstLine="480"/>
      </w:pPr>
      <w:r>
        <w:t>（1）</w:t>
      </w:r>
      <w:r>
        <w:rPr>
          <w:rFonts w:hint="eastAsia"/>
        </w:rPr>
        <w:t>喀什地区泽普县供水城乡一体化建设工程（泽普县农村规模化供水管道连通工程）临时用地</w:t>
      </w:r>
      <w:r>
        <w:t>土地利用现状图；</w:t>
      </w:r>
    </w:p>
    <w:p>
      <w:pPr>
        <w:ind w:firstLine="480"/>
      </w:pPr>
      <w:r>
        <w:t>（2）</w:t>
      </w:r>
      <w:r>
        <w:rPr>
          <w:rFonts w:hint="eastAsia"/>
        </w:rPr>
        <w:t>喀什地区泽普县供水城乡一体化建设工程（泽普县农村规模化供水管道连通工程）临时用地</w:t>
      </w:r>
      <w:r>
        <w:t>土地损毁预测图；</w:t>
      </w:r>
    </w:p>
    <w:p>
      <w:pPr>
        <w:ind w:firstLine="480"/>
        <w:sectPr>
          <w:pgSz w:w="11906" w:h="16838"/>
          <w:pgMar w:top="1418" w:right="1247" w:bottom="1418" w:left="1247" w:header="851" w:footer="992" w:gutter="340"/>
          <w:cols w:space="720" w:num="1"/>
          <w:docGrid w:type="linesAndChars" w:linePitch="312" w:charSpace="0"/>
        </w:sectPr>
      </w:pPr>
      <w:r>
        <w:t>（3）</w:t>
      </w:r>
      <w:r>
        <w:rPr>
          <w:rFonts w:hint="eastAsia"/>
        </w:rPr>
        <w:t>喀什地区泽普县供水城乡一体化建设工程（泽普县农村规模化供水管道连通工程）临时用地</w:t>
      </w:r>
      <w:r>
        <w:t>土地复垦规划图；</w:t>
      </w:r>
    </w:p>
    <w:p>
      <w:pPr>
        <w:ind w:firstLine="0" w:firstLineChars="0"/>
        <w:jc w:val="center"/>
        <w:outlineLvl w:val="0"/>
        <w:rPr>
          <w:rFonts w:eastAsia="黑体"/>
          <w:sz w:val="32"/>
          <w:szCs w:val="32"/>
        </w:rPr>
      </w:pPr>
      <w:bookmarkStart w:id="823" w:name="_Toc3177"/>
      <w:bookmarkStart w:id="824" w:name="_Toc93403659"/>
      <w:bookmarkStart w:id="825" w:name="_Toc41661550"/>
      <w:bookmarkStart w:id="826" w:name="_Toc116061709"/>
      <w:bookmarkStart w:id="827" w:name="_Toc23686"/>
      <w:bookmarkStart w:id="828" w:name="_Toc24636"/>
      <w:bookmarkStart w:id="829" w:name="_Toc248499990"/>
      <w:bookmarkStart w:id="830" w:name="_Toc251939554"/>
      <w:bookmarkStart w:id="831" w:name="_Toc326857828"/>
      <w:bookmarkStart w:id="832" w:name="_Toc259192969"/>
      <w:bookmarkStart w:id="833" w:name="_Toc257121762"/>
      <w:bookmarkStart w:id="834" w:name="_Toc259192829"/>
      <w:bookmarkStart w:id="835" w:name="_Toc323225523"/>
      <w:bookmarkStart w:id="836" w:name="_Toc320873060"/>
      <w:r>
        <w:rPr>
          <w:rFonts w:hint="eastAsia" w:eastAsia="黑体"/>
          <w:sz w:val="30"/>
          <w:szCs w:val="30"/>
        </w:rPr>
        <w:t>喀什地区泽普县供水城乡一体化建设工程（泽普县农村规模化供水管道连通工程）临时用地</w:t>
      </w:r>
      <w:r>
        <w:rPr>
          <w:rFonts w:eastAsia="黑体"/>
          <w:sz w:val="30"/>
          <w:szCs w:val="30"/>
        </w:rPr>
        <w:t>土地复垦方案报告表</w:t>
      </w:r>
      <w:bookmarkEnd w:id="823"/>
      <w:bookmarkEnd w:id="824"/>
      <w:bookmarkEnd w:id="825"/>
      <w:bookmarkEnd w:id="826"/>
      <w:bookmarkEnd w:id="827"/>
      <w:bookmarkEnd w:id="828"/>
    </w:p>
    <w:bookmarkEnd w:id="829"/>
    <w:bookmarkEnd w:id="830"/>
    <w:bookmarkEnd w:id="831"/>
    <w:bookmarkEnd w:id="832"/>
    <w:bookmarkEnd w:id="833"/>
    <w:bookmarkEnd w:id="834"/>
    <w:bookmarkEnd w:id="835"/>
    <w:bookmarkEnd w:id="836"/>
    <w:tbl>
      <w:tblPr>
        <w:tblStyle w:val="88"/>
        <w:tblW w:w="90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
        <w:gridCol w:w="426"/>
        <w:gridCol w:w="680"/>
        <w:gridCol w:w="390"/>
        <w:gridCol w:w="1207"/>
        <w:gridCol w:w="1539"/>
        <w:gridCol w:w="424"/>
        <w:gridCol w:w="372"/>
        <w:gridCol w:w="665"/>
        <w:gridCol w:w="155"/>
        <w:gridCol w:w="758"/>
        <w:gridCol w:w="267"/>
        <w:gridCol w:w="306"/>
        <w:gridCol w:w="505"/>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17" w:type="dxa"/>
            <w:gridSpan w:val="2"/>
            <w:vMerge w:val="restart"/>
            <w:vAlign w:val="center"/>
          </w:tcPr>
          <w:p>
            <w:pPr>
              <w:spacing w:line="240" w:lineRule="auto"/>
              <w:ind w:firstLine="0" w:firstLineChars="0"/>
              <w:jc w:val="center"/>
              <w:rPr>
                <w:bCs/>
                <w:sz w:val="21"/>
                <w:szCs w:val="21"/>
              </w:rPr>
            </w:pPr>
          </w:p>
          <w:p>
            <w:pPr>
              <w:spacing w:line="240" w:lineRule="auto"/>
              <w:ind w:firstLine="0" w:firstLineChars="0"/>
              <w:jc w:val="center"/>
              <w:rPr>
                <w:rFonts w:eastAsia="黑体"/>
                <w:bCs/>
                <w:sz w:val="21"/>
                <w:szCs w:val="21"/>
              </w:rPr>
            </w:pPr>
            <w:r>
              <w:rPr>
                <w:rFonts w:eastAsia="黑体"/>
                <w:bCs/>
                <w:sz w:val="21"/>
                <w:szCs w:val="21"/>
              </w:rPr>
              <w:t>项</w:t>
            </w:r>
          </w:p>
          <w:p>
            <w:pPr>
              <w:spacing w:line="240" w:lineRule="auto"/>
              <w:ind w:firstLine="0" w:firstLineChars="0"/>
              <w:jc w:val="center"/>
              <w:rPr>
                <w:rFonts w:eastAsia="黑体"/>
                <w:bCs/>
                <w:sz w:val="21"/>
                <w:szCs w:val="21"/>
              </w:rPr>
            </w:pPr>
            <w:r>
              <w:rPr>
                <w:rFonts w:eastAsia="黑体"/>
                <w:bCs/>
                <w:sz w:val="21"/>
                <w:szCs w:val="21"/>
              </w:rPr>
              <w:t>目</w:t>
            </w:r>
          </w:p>
          <w:p>
            <w:pPr>
              <w:spacing w:line="240" w:lineRule="auto"/>
              <w:ind w:firstLine="0" w:firstLineChars="0"/>
              <w:jc w:val="center"/>
              <w:rPr>
                <w:rFonts w:eastAsia="黑体"/>
                <w:bCs/>
                <w:sz w:val="21"/>
                <w:szCs w:val="21"/>
              </w:rPr>
            </w:pPr>
            <w:r>
              <w:rPr>
                <w:rFonts w:eastAsia="黑体"/>
                <w:bCs/>
                <w:sz w:val="21"/>
                <w:szCs w:val="21"/>
              </w:rPr>
              <w:t>概</w:t>
            </w:r>
          </w:p>
          <w:p>
            <w:pPr>
              <w:spacing w:line="240" w:lineRule="auto"/>
              <w:ind w:firstLine="0" w:firstLineChars="0"/>
              <w:jc w:val="center"/>
              <w:rPr>
                <w:bCs/>
                <w:spacing w:val="-10"/>
                <w:sz w:val="21"/>
                <w:szCs w:val="21"/>
              </w:rPr>
            </w:pPr>
            <w:r>
              <w:rPr>
                <w:rFonts w:eastAsia="黑体"/>
                <w:bCs/>
                <w:sz w:val="21"/>
                <w:szCs w:val="21"/>
              </w:rPr>
              <w:t>况</w:t>
            </w:r>
          </w:p>
          <w:p>
            <w:pPr>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项目名称</w:t>
            </w:r>
          </w:p>
        </w:tc>
        <w:tc>
          <w:tcPr>
            <w:tcW w:w="6060" w:type="dxa"/>
            <w:gridSpan w:val="10"/>
            <w:vAlign w:val="center"/>
          </w:tcPr>
          <w:p>
            <w:pPr>
              <w:spacing w:line="240" w:lineRule="auto"/>
              <w:ind w:firstLine="0" w:firstLineChars="0"/>
              <w:jc w:val="center"/>
              <w:rPr>
                <w:spacing w:val="-12"/>
                <w:kern w:val="0"/>
                <w:sz w:val="21"/>
                <w:szCs w:val="21"/>
              </w:rPr>
            </w:pPr>
            <w:r>
              <w:rPr>
                <w:rFonts w:hint="eastAsia"/>
                <w:spacing w:val="-12"/>
                <w:sz w:val="21"/>
                <w:szCs w:val="21"/>
              </w:rPr>
              <w:t>喀什地区泽普县供水城乡一体化建设工程（泽普县农村规模化供水管道连通工程）临时用地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单位名称</w:t>
            </w:r>
          </w:p>
        </w:tc>
        <w:tc>
          <w:tcPr>
            <w:tcW w:w="6060" w:type="dxa"/>
            <w:gridSpan w:val="10"/>
            <w:vAlign w:val="center"/>
          </w:tcPr>
          <w:p>
            <w:pPr>
              <w:spacing w:line="240" w:lineRule="auto"/>
              <w:ind w:firstLine="0" w:firstLineChars="0"/>
              <w:jc w:val="center"/>
              <w:rPr>
                <w:kern w:val="0"/>
                <w:sz w:val="21"/>
                <w:szCs w:val="21"/>
              </w:rPr>
            </w:pPr>
            <w:r>
              <w:rPr>
                <w:rFonts w:hint="eastAsia"/>
                <w:sz w:val="21"/>
                <w:szCs w:val="21"/>
              </w:rPr>
              <w:t>泽普县淼鑫水务有限责任公司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项目性质</w:t>
            </w:r>
          </w:p>
        </w:tc>
        <w:tc>
          <w:tcPr>
            <w:tcW w:w="6060" w:type="dxa"/>
            <w:gridSpan w:val="10"/>
            <w:vAlign w:val="center"/>
          </w:tcPr>
          <w:p>
            <w:pPr>
              <w:widowControl/>
              <w:spacing w:line="240" w:lineRule="auto"/>
              <w:ind w:firstLine="0" w:firstLineChars="0"/>
              <w:jc w:val="center"/>
              <w:rPr>
                <w:kern w:val="0"/>
                <w:sz w:val="21"/>
                <w:szCs w:val="21"/>
              </w:rPr>
            </w:pPr>
            <w:r>
              <w:rPr>
                <w:rFonts w:hint="eastAsia"/>
                <w:kern w:val="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法人</w:t>
            </w:r>
          </w:p>
        </w:tc>
        <w:tc>
          <w:tcPr>
            <w:tcW w:w="2335" w:type="dxa"/>
            <w:gridSpan w:val="3"/>
            <w:vAlign w:val="center"/>
          </w:tcPr>
          <w:p>
            <w:pPr>
              <w:spacing w:line="240" w:lineRule="auto"/>
              <w:ind w:firstLine="0" w:firstLineChars="0"/>
              <w:jc w:val="center"/>
              <w:rPr>
                <w:kern w:val="0"/>
                <w:sz w:val="21"/>
                <w:szCs w:val="21"/>
              </w:rPr>
            </w:pPr>
            <w:r>
              <w:rPr>
                <w:kern w:val="0"/>
                <w:sz w:val="21"/>
                <w:szCs w:val="21"/>
              </w:rPr>
              <w:t>库都孜·库皮</w:t>
            </w:r>
          </w:p>
        </w:tc>
        <w:tc>
          <w:tcPr>
            <w:tcW w:w="1845" w:type="dxa"/>
            <w:gridSpan w:val="4"/>
            <w:vAlign w:val="center"/>
          </w:tcPr>
          <w:p>
            <w:pPr>
              <w:spacing w:line="240" w:lineRule="auto"/>
              <w:ind w:firstLine="0" w:firstLineChars="0"/>
              <w:jc w:val="center"/>
              <w:rPr>
                <w:kern w:val="0"/>
                <w:sz w:val="21"/>
                <w:szCs w:val="21"/>
              </w:rPr>
            </w:pPr>
            <w:r>
              <w:rPr>
                <w:kern w:val="0"/>
                <w:sz w:val="21"/>
                <w:szCs w:val="21"/>
              </w:rPr>
              <w:t>联系电话</w:t>
            </w:r>
          </w:p>
        </w:tc>
        <w:tc>
          <w:tcPr>
            <w:tcW w:w="1880" w:type="dxa"/>
            <w:gridSpan w:val="3"/>
            <w:vAlign w:val="center"/>
          </w:tcPr>
          <w:p>
            <w:pPr>
              <w:spacing w:line="240" w:lineRule="auto"/>
              <w:ind w:firstLine="0" w:firstLineChars="0"/>
              <w:jc w:val="center"/>
              <w:rPr>
                <w:kern w:val="0"/>
                <w:sz w:val="21"/>
                <w:szCs w:val="21"/>
              </w:rPr>
            </w:pPr>
            <w:r>
              <w:rPr>
                <w:kern w:val="0"/>
                <w:sz w:val="21"/>
                <w:szCs w:val="21"/>
              </w:rPr>
              <w:t>13579327573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单位地址</w:t>
            </w:r>
          </w:p>
        </w:tc>
        <w:tc>
          <w:tcPr>
            <w:tcW w:w="6060" w:type="dxa"/>
            <w:gridSpan w:val="10"/>
            <w:vAlign w:val="center"/>
          </w:tcPr>
          <w:p>
            <w:pPr>
              <w:spacing w:line="240" w:lineRule="auto"/>
              <w:ind w:firstLine="0" w:firstLineChars="0"/>
              <w:jc w:val="center"/>
              <w:rPr>
                <w:kern w:val="0"/>
                <w:sz w:val="21"/>
                <w:szCs w:val="21"/>
              </w:rPr>
            </w:pPr>
            <w:r>
              <w:rPr>
                <w:kern w:val="0"/>
                <w:sz w:val="21"/>
                <w:szCs w:val="21"/>
              </w:rPr>
              <w:t>新疆喀什地区泽普县北新街17号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单位性质</w:t>
            </w:r>
          </w:p>
        </w:tc>
        <w:tc>
          <w:tcPr>
            <w:tcW w:w="2335" w:type="dxa"/>
            <w:gridSpan w:val="3"/>
            <w:vAlign w:val="center"/>
          </w:tcPr>
          <w:p>
            <w:pPr>
              <w:spacing w:line="240" w:lineRule="auto"/>
              <w:ind w:firstLine="0" w:firstLineChars="0"/>
              <w:jc w:val="center"/>
              <w:rPr>
                <w:kern w:val="0"/>
                <w:sz w:val="21"/>
                <w:szCs w:val="21"/>
              </w:rPr>
            </w:pPr>
            <w:r>
              <w:rPr>
                <w:rFonts w:hint="eastAsia"/>
                <w:kern w:val="0"/>
                <w:sz w:val="21"/>
                <w:szCs w:val="21"/>
              </w:rPr>
              <w:t>企业</w:t>
            </w:r>
            <w:r>
              <w:rPr>
                <w:kern w:val="0"/>
                <w:sz w:val="21"/>
                <w:szCs w:val="21"/>
              </w:rPr>
              <w:t>单位</w:t>
            </w:r>
          </w:p>
        </w:tc>
        <w:tc>
          <w:tcPr>
            <w:tcW w:w="1845" w:type="dxa"/>
            <w:gridSpan w:val="4"/>
            <w:vAlign w:val="center"/>
          </w:tcPr>
          <w:p>
            <w:pPr>
              <w:spacing w:line="240" w:lineRule="auto"/>
              <w:ind w:firstLine="0" w:firstLineChars="0"/>
              <w:jc w:val="center"/>
              <w:rPr>
                <w:kern w:val="0"/>
                <w:sz w:val="21"/>
                <w:szCs w:val="21"/>
              </w:rPr>
            </w:pPr>
            <w:r>
              <w:rPr>
                <w:kern w:val="0"/>
                <w:sz w:val="21"/>
                <w:szCs w:val="21"/>
              </w:rPr>
              <w:t>项目区面积</w:t>
            </w:r>
          </w:p>
        </w:tc>
        <w:tc>
          <w:tcPr>
            <w:tcW w:w="1880" w:type="dxa"/>
            <w:gridSpan w:val="3"/>
            <w:vAlign w:val="center"/>
          </w:tcPr>
          <w:p>
            <w:pPr>
              <w:spacing w:line="240" w:lineRule="auto"/>
              <w:ind w:firstLine="0" w:firstLineChars="0"/>
              <w:jc w:val="center"/>
              <w:rPr>
                <w:kern w:val="0"/>
                <w:sz w:val="21"/>
                <w:szCs w:val="21"/>
              </w:rPr>
            </w:pPr>
            <w:r>
              <w:rPr>
                <w:rFonts w:hint="eastAsia"/>
                <w:sz w:val="21"/>
                <w:szCs w:val="21"/>
              </w:rPr>
              <w:t>4.3908hm</w:t>
            </w:r>
            <w:r>
              <w:rPr>
                <w:rFonts w:hint="eastAsia"/>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项目位置</w:t>
            </w:r>
          </w:p>
        </w:tc>
        <w:tc>
          <w:tcPr>
            <w:tcW w:w="6060" w:type="dxa"/>
            <w:gridSpan w:val="10"/>
            <w:vAlign w:val="center"/>
          </w:tcPr>
          <w:p>
            <w:pPr>
              <w:spacing w:line="240" w:lineRule="auto"/>
              <w:ind w:firstLine="0" w:firstLineChars="0"/>
              <w:jc w:val="center"/>
              <w:rPr>
                <w:kern w:val="0"/>
                <w:sz w:val="21"/>
                <w:szCs w:val="21"/>
              </w:rPr>
            </w:pPr>
            <w:r>
              <w:rPr>
                <w:rFonts w:hint="eastAsia"/>
                <w:kern w:val="0"/>
                <w:sz w:val="21"/>
                <w:szCs w:val="21"/>
              </w:rPr>
              <w:t>泽普县阿依库勒乡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项目投资规模</w:t>
            </w:r>
          </w:p>
        </w:tc>
        <w:tc>
          <w:tcPr>
            <w:tcW w:w="6060" w:type="dxa"/>
            <w:gridSpan w:val="10"/>
            <w:vAlign w:val="center"/>
          </w:tcPr>
          <w:p>
            <w:pPr>
              <w:spacing w:line="240" w:lineRule="auto"/>
              <w:ind w:firstLine="0" w:firstLineChars="0"/>
              <w:jc w:val="center"/>
              <w:rPr>
                <w:kern w:val="0"/>
                <w:sz w:val="21"/>
                <w:szCs w:val="21"/>
              </w:rPr>
            </w:pP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建设期限</w:t>
            </w:r>
          </w:p>
        </w:tc>
        <w:tc>
          <w:tcPr>
            <w:tcW w:w="2335" w:type="dxa"/>
            <w:gridSpan w:val="3"/>
            <w:vAlign w:val="center"/>
          </w:tcPr>
          <w:p>
            <w:pPr>
              <w:spacing w:line="240" w:lineRule="auto"/>
              <w:ind w:firstLine="0" w:firstLineChars="0"/>
              <w:jc w:val="center"/>
              <w:rPr>
                <w:spacing w:val="-20"/>
                <w:kern w:val="0"/>
                <w:sz w:val="21"/>
                <w:szCs w:val="21"/>
              </w:rPr>
            </w:pPr>
            <w:r>
              <w:rPr>
                <w:rFonts w:hint="eastAsia"/>
                <w:spacing w:val="-20"/>
                <w:kern w:val="0"/>
                <w:sz w:val="21"/>
                <w:szCs w:val="21"/>
              </w:rPr>
              <w:t>2024年9月至2026年8月</w:t>
            </w:r>
          </w:p>
        </w:tc>
        <w:tc>
          <w:tcPr>
            <w:tcW w:w="1845" w:type="dxa"/>
            <w:gridSpan w:val="4"/>
            <w:vAlign w:val="center"/>
          </w:tcPr>
          <w:p>
            <w:pPr>
              <w:spacing w:line="240" w:lineRule="auto"/>
              <w:ind w:firstLine="0" w:firstLineChars="0"/>
              <w:jc w:val="center"/>
              <w:rPr>
                <w:kern w:val="0"/>
                <w:sz w:val="21"/>
                <w:szCs w:val="21"/>
              </w:rPr>
            </w:pPr>
            <w:r>
              <w:rPr>
                <w:kern w:val="0"/>
                <w:sz w:val="21"/>
                <w:szCs w:val="21"/>
              </w:rPr>
              <w:t>土地复垦方案</w:t>
            </w:r>
          </w:p>
          <w:p>
            <w:pPr>
              <w:spacing w:line="240" w:lineRule="auto"/>
              <w:ind w:firstLine="0" w:firstLineChars="0"/>
              <w:jc w:val="center"/>
              <w:rPr>
                <w:kern w:val="0"/>
                <w:sz w:val="21"/>
                <w:szCs w:val="21"/>
              </w:rPr>
            </w:pPr>
            <w:r>
              <w:rPr>
                <w:kern w:val="0"/>
                <w:sz w:val="21"/>
                <w:szCs w:val="21"/>
              </w:rPr>
              <w:t>服务年限</w:t>
            </w:r>
            <w:r>
              <w:drawing>
                <wp:anchor distT="0" distB="0" distL="114300" distR="114300" simplePos="0" relativeHeight="251702272" behindDoc="1" locked="0" layoutInCell="1" allowOverlap="1">
                  <wp:simplePos x="0" y="0"/>
                  <wp:positionH relativeFrom="column">
                    <wp:posOffset>1171575</wp:posOffset>
                  </wp:positionH>
                  <wp:positionV relativeFrom="paragraph">
                    <wp:posOffset>2729865</wp:posOffset>
                  </wp:positionV>
                  <wp:extent cx="1219835" cy="2541905"/>
                  <wp:effectExtent l="0" t="0" r="0" b="0"/>
                  <wp:wrapNone/>
                  <wp:docPr id="28" name="图片 28" descr="图片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11111111111"/>
                          <pic:cNvPicPr>
                            <a:picLocks noChangeAspect="1"/>
                          </pic:cNvPicPr>
                        </pic:nvPicPr>
                        <pic:blipFill>
                          <a:blip r:embed="rId15"/>
                          <a:stretch>
                            <a:fillRect/>
                          </a:stretch>
                        </pic:blipFill>
                        <pic:spPr>
                          <a:xfrm>
                            <a:off x="0" y="0"/>
                            <a:ext cx="1219835" cy="2541905"/>
                          </a:xfrm>
                          <a:prstGeom prst="rect">
                            <a:avLst/>
                          </a:prstGeom>
                        </pic:spPr>
                      </pic:pic>
                    </a:graphicData>
                  </a:graphic>
                </wp:anchor>
              </w:drawing>
            </w:r>
          </w:p>
        </w:tc>
        <w:tc>
          <w:tcPr>
            <w:tcW w:w="1880" w:type="dxa"/>
            <w:gridSpan w:val="3"/>
            <w:vAlign w:val="center"/>
          </w:tcPr>
          <w:p>
            <w:pPr>
              <w:spacing w:line="240" w:lineRule="auto"/>
              <w:ind w:firstLine="0" w:firstLineChars="0"/>
              <w:jc w:val="center"/>
              <w:rPr>
                <w:kern w:val="0"/>
                <w:sz w:val="21"/>
                <w:szCs w:val="21"/>
              </w:rPr>
            </w:pPr>
            <w:r>
              <w:rPr>
                <w:kern w:val="0"/>
                <w:sz w:val="21"/>
                <w:szCs w:val="21"/>
              </w:rPr>
              <w:t>2024年</w:t>
            </w:r>
            <w:r>
              <w:rPr>
                <w:rFonts w:hint="eastAsia"/>
                <w:kern w:val="0"/>
                <w:sz w:val="21"/>
                <w:szCs w:val="21"/>
              </w:rPr>
              <w:t>8</w:t>
            </w:r>
            <w:r>
              <w:rPr>
                <w:kern w:val="0"/>
                <w:sz w:val="21"/>
                <w:szCs w:val="21"/>
              </w:rPr>
              <w:t>月至20</w:t>
            </w:r>
            <w:r>
              <w:rPr>
                <w:rFonts w:hint="eastAsia"/>
                <w:kern w:val="0"/>
                <w:sz w:val="21"/>
                <w:szCs w:val="21"/>
              </w:rPr>
              <w:t>30</w:t>
            </w:r>
            <w:r>
              <w:rPr>
                <w:kern w:val="0"/>
                <w:sz w:val="21"/>
                <w:szCs w:val="21"/>
              </w:rPr>
              <w:t>年</w:t>
            </w:r>
            <w:r>
              <w:rPr>
                <w:rFonts w:hint="eastAsia"/>
                <w:kern w:val="0"/>
                <w:sz w:val="21"/>
                <w:szCs w:val="21"/>
              </w:rPr>
              <w:t>3</w:t>
            </w:r>
            <w:r>
              <w:rPr>
                <w:kern w:val="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717" w:type="dxa"/>
            <w:gridSpan w:val="2"/>
            <w:vMerge w:val="restart"/>
            <w:vAlign w:val="center"/>
          </w:tcPr>
          <w:p>
            <w:pPr>
              <w:spacing w:line="240" w:lineRule="auto"/>
              <w:ind w:firstLine="0" w:firstLineChars="0"/>
              <w:jc w:val="center"/>
              <w:rPr>
                <w:rFonts w:eastAsia="黑体"/>
                <w:sz w:val="21"/>
                <w:szCs w:val="21"/>
              </w:rPr>
            </w:pPr>
            <w:r>
              <w:rPr>
                <w:rFonts w:eastAsia="黑体"/>
                <w:sz w:val="21"/>
                <w:szCs w:val="21"/>
              </w:rPr>
              <w:t>方</w:t>
            </w:r>
          </w:p>
          <w:p>
            <w:pPr>
              <w:spacing w:line="240" w:lineRule="auto"/>
              <w:ind w:firstLine="0" w:firstLineChars="0"/>
              <w:jc w:val="center"/>
              <w:rPr>
                <w:rFonts w:eastAsia="黑体"/>
                <w:sz w:val="21"/>
                <w:szCs w:val="21"/>
              </w:rPr>
            </w:pPr>
            <w:r>
              <w:rPr>
                <w:rFonts w:eastAsia="黑体"/>
                <w:sz w:val="21"/>
                <w:szCs w:val="21"/>
              </w:rPr>
              <w:t>案</w:t>
            </w:r>
          </w:p>
          <w:p>
            <w:pPr>
              <w:spacing w:line="240" w:lineRule="auto"/>
              <w:ind w:firstLine="0" w:firstLineChars="0"/>
              <w:jc w:val="center"/>
              <w:rPr>
                <w:rFonts w:eastAsia="黑体"/>
                <w:sz w:val="21"/>
                <w:szCs w:val="21"/>
              </w:rPr>
            </w:pPr>
            <w:r>
              <w:rPr>
                <w:rFonts w:eastAsia="黑体"/>
                <w:sz w:val="21"/>
                <w:szCs w:val="21"/>
              </w:rPr>
              <w:t>编</w:t>
            </w:r>
          </w:p>
          <w:p>
            <w:pPr>
              <w:spacing w:line="240" w:lineRule="auto"/>
              <w:ind w:firstLine="0" w:firstLineChars="0"/>
              <w:jc w:val="center"/>
              <w:rPr>
                <w:rFonts w:eastAsia="黑体"/>
                <w:sz w:val="21"/>
                <w:szCs w:val="21"/>
              </w:rPr>
            </w:pPr>
            <w:r>
              <w:rPr>
                <w:rFonts w:eastAsia="黑体"/>
                <w:sz w:val="21"/>
                <w:szCs w:val="21"/>
              </w:rPr>
              <w:t>制</w:t>
            </w:r>
          </w:p>
          <w:p>
            <w:pPr>
              <w:spacing w:line="240" w:lineRule="auto"/>
              <w:ind w:firstLine="0" w:firstLineChars="0"/>
              <w:jc w:val="center"/>
              <w:rPr>
                <w:rFonts w:eastAsia="黑体"/>
                <w:sz w:val="21"/>
                <w:szCs w:val="21"/>
              </w:rPr>
            </w:pPr>
            <w:r>
              <w:rPr>
                <w:rFonts w:eastAsia="黑体"/>
                <w:sz w:val="21"/>
                <w:szCs w:val="21"/>
              </w:rPr>
              <w:t>单</w:t>
            </w:r>
          </w:p>
          <w:p>
            <w:pPr>
              <w:spacing w:line="240" w:lineRule="auto"/>
              <w:ind w:firstLine="0" w:firstLineChars="0"/>
              <w:jc w:val="center"/>
              <w:rPr>
                <w:rFonts w:eastAsia="黑体"/>
                <w:sz w:val="21"/>
                <w:szCs w:val="21"/>
              </w:rPr>
            </w:pPr>
            <w:r>
              <w:rPr>
                <w:rFonts w:eastAsia="黑体"/>
                <w:sz w:val="21"/>
                <w:szCs w:val="21"/>
              </w:rPr>
              <w:t>位</w:t>
            </w:r>
          </w:p>
        </w:tc>
        <w:tc>
          <w:tcPr>
            <w:tcW w:w="2277" w:type="dxa"/>
            <w:gridSpan w:val="3"/>
            <w:vAlign w:val="center"/>
          </w:tcPr>
          <w:p>
            <w:pPr>
              <w:spacing w:line="240" w:lineRule="auto"/>
              <w:ind w:firstLine="0" w:firstLineChars="0"/>
              <w:jc w:val="center"/>
              <w:rPr>
                <w:sz w:val="21"/>
                <w:szCs w:val="21"/>
              </w:rPr>
            </w:pPr>
            <w:r>
              <w:rPr>
                <w:sz w:val="21"/>
                <w:szCs w:val="21"/>
              </w:rPr>
              <w:t>编制单位名称</w:t>
            </w:r>
          </w:p>
        </w:tc>
        <w:tc>
          <w:tcPr>
            <w:tcW w:w="6060" w:type="dxa"/>
            <w:gridSpan w:val="10"/>
            <w:vAlign w:val="center"/>
          </w:tcPr>
          <w:p>
            <w:pPr>
              <w:spacing w:line="240" w:lineRule="auto"/>
              <w:ind w:firstLine="0" w:firstLineChars="0"/>
              <w:jc w:val="center"/>
              <w:rPr>
                <w:kern w:val="0"/>
                <w:sz w:val="21"/>
                <w:szCs w:val="21"/>
              </w:rPr>
            </w:pPr>
            <w:r>
              <w:rPr>
                <w:rFonts w:hint="eastAsia"/>
                <w:kern w:val="0"/>
                <w:sz w:val="21"/>
                <w:szCs w:val="21"/>
              </w:rPr>
              <w:t>汉唐规划设计集团有限公司新疆分公司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法人代表</w:t>
            </w:r>
          </w:p>
        </w:tc>
        <w:tc>
          <w:tcPr>
            <w:tcW w:w="6060" w:type="dxa"/>
            <w:gridSpan w:val="10"/>
            <w:vAlign w:val="center"/>
          </w:tcPr>
          <w:p>
            <w:pPr>
              <w:spacing w:line="240" w:lineRule="auto"/>
              <w:ind w:firstLine="0" w:firstLineChars="0"/>
              <w:jc w:val="center"/>
              <w:rPr>
                <w:kern w:val="0"/>
                <w:sz w:val="21"/>
                <w:szCs w:val="21"/>
              </w:rPr>
            </w:pPr>
            <w:r>
              <w:rPr>
                <w:kern w:val="0"/>
                <w:sz w:val="21"/>
                <w:szCs w:val="21"/>
              </w:rPr>
              <w:t>胡鹏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资质证书名称</w:t>
            </w:r>
          </w:p>
        </w:tc>
        <w:tc>
          <w:tcPr>
            <w:tcW w:w="2335" w:type="dxa"/>
            <w:gridSpan w:val="3"/>
            <w:vAlign w:val="center"/>
          </w:tcPr>
          <w:p>
            <w:pPr>
              <w:spacing w:line="240" w:lineRule="auto"/>
              <w:ind w:firstLine="0" w:firstLineChars="0"/>
              <w:jc w:val="center"/>
              <w:rPr>
                <w:bCs/>
                <w:sz w:val="21"/>
                <w:szCs w:val="21"/>
              </w:rPr>
            </w:pPr>
            <w:r>
              <w:rPr>
                <w:bCs/>
                <w:sz w:val="21"/>
                <w:szCs w:val="21"/>
              </w:rPr>
              <w:t>土地规划机构等级证书</w:t>
            </w:r>
          </w:p>
        </w:tc>
        <w:tc>
          <w:tcPr>
            <w:tcW w:w="1845" w:type="dxa"/>
            <w:gridSpan w:val="4"/>
            <w:vAlign w:val="center"/>
          </w:tcPr>
          <w:p>
            <w:pPr>
              <w:spacing w:line="240" w:lineRule="auto"/>
              <w:ind w:firstLine="0" w:firstLineChars="0"/>
              <w:jc w:val="center"/>
              <w:rPr>
                <w:kern w:val="0"/>
                <w:sz w:val="21"/>
                <w:szCs w:val="21"/>
              </w:rPr>
            </w:pPr>
            <w:r>
              <w:rPr>
                <w:kern w:val="0"/>
                <w:sz w:val="21"/>
                <w:szCs w:val="21"/>
              </w:rPr>
              <w:t>资质等级</w:t>
            </w:r>
          </w:p>
        </w:tc>
        <w:tc>
          <w:tcPr>
            <w:tcW w:w="1880" w:type="dxa"/>
            <w:gridSpan w:val="3"/>
            <w:vAlign w:val="center"/>
          </w:tcPr>
          <w:p>
            <w:pPr>
              <w:spacing w:line="240" w:lineRule="auto"/>
              <w:ind w:firstLine="0" w:firstLineChars="0"/>
              <w:jc w:val="center"/>
              <w:rPr>
                <w:bCs/>
                <w:sz w:val="21"/>
                <w:szCs w:val="21"/>
              </w:rPr>
            </w:pPr>
            <w:r>
              <w:rPr>
                <w:bCs/>
                <w:sz w:val="21"/>
                <w:szCs w:val="21"/>
              </w:rPr>
              <w:t>乙级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发证机关</w:t>
            </w:r>
          </w:p>
        </w:tc>
        <w:tc>
          <w:tcPr>
            <w:tcW w:w="2335" w:type="dxa"/>
            <w:gridSpan w:val="3"/>
            <w:vAlign w:val="center"/>
          </w:tcPr>
          <w:p>
            <w:pPr>
              <w:spacing w:line="240" w:lineRule="auto"/>
              <w:ind w:firstLine="0" w:firstLineChars="0"/>
              <w:jc w:val="center"/>
              <w:rPr>
                <w:bCs/>
                <w:sz w:val="21"/>
                <w:szCs w:val="21"/>
              </w:rPr>
            </w:pPr>
            <w:r>
              <w:rPr>
                <w:bCs/>
                <w:sz w:val="21"/>
                <w:szCs w:val="21"/>
              </w:rPr>
              <w:t>陕西省土地协会</w:t>
            </w:r>
          </w:p>
        </w:tc>
        <w:tc>
          <w:tcPr>
            <w:tcW w:w="1845" w:type="dxa"/>
            <w:gridSpan w:val="4"/>
            <w:vAlign w:val="center"/>
          </w:tcPr>
          <w:p>
            <w:pPr>
              <w:spacing w:line="240" w:lineRule="auto"/>
              <w:ind w:firstLine="0" w:firstLineChars="0"/>
              <w:jc w:val="center"/>
              <w:rPr>
                <w:kern w:val="0"/>
                <w:sz w:val="21"/>
                <w:szCs w:val="21"/>
              </w:rPr>
            </w:pPr>
            <w:r>
              <w:rPr>
                <w:kern w:val="0"/>
                <w:sz w:val="21"/>
                <w:szCs w:val="21"/>
              </w:rPr>
              <w:t>编号</w:t>
            </w:r>
          </w:p>
        </w:tc>
        <w:tc>
          <w:tcPr>
            <w:tcW w:w="1880" w:type="dxa"/>
            <w:gridSpan w:val="3"/>
            <w:vAlign w:val="center"/>
          </w:tcPr>
          <w:p>
            <w:pPr>
              <w:spacing w:line="240" w:lineRule="auto"/>
              <w:ind w:firstLine="0" w:firstLineChars="0"/>
              <w:jc w:val="center"/>
              <w:rPr>
                <w:bCs/>
                <w:sz w:val="21"/>
                <w:szCs w:val="21"/>
              </w:rPr>
            </w:pPr>
            <w:r>
              <w:rPr>
                <w:bCs/>
                <w:sz w:val="21"/>
                <w:szCs w:val="21"/>
              </w:rPr>
              <w:t>612023217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联系人</w:t>
            </w:r>
          </w:p>
        </w:tc>
        <w:tc>
          <w:tcPr>
            <w:tcW w:w="2335" w:type="dxa"/>
            <w:gridSpan w:val="3"/>
            <w:vAlign w:val="center"/>
          </w:tcPr>
          <w:p>
            <w:pPr>
              <w:spacing w:line="240" w:lineRule="auto"/>
              <w:ind w:firstLine="0" w:firstLineChars="0"/>
              <w:jc w:val="center"/>
              <w:rPr>
                <w:bCs/>
                <w:sz w:val="21"/>
                <w:szCs w:val="21"/>
              </w:rPr>
            </w:pPr>
            <w:r>
              <w:rPr>
                <w:bCs/>
                <w:sz w:val="21"/>
                <w:szCs w:val="21"/>
              </w:rPr>
              <w:t>胡鹏</w:t>
            </w:r>
          </w:p>
        </w:tc>
        <w:tc>
          <w:tcPr>
            <w:tcW w:w="1845" w:type="dxa"/>
            <w:gridSpan w:val="4"/>
            <w:vAlign w:val="center"/>
          </w:tcPr>
          <w:p>
            <w:pPr>
              <w:spacing w:line="240" w:lineRule="auto"/>
              <w:ind w:firstLine="0" w:firstLineChars="0"/>
              <w:jc w:val="center"/>
              <w:rPr>
                <w:kern w:val="0"/>
                <w:sz w:val="21"/>
                <w:szCs w:val="21"/>
              </w:rPr>
            </w:pPr>
            <w:r>
              <w:rPr>
                <w:kern w:val="0"/>
                <w:sz w:val="21"/>
                <w:szCs w:val="21"/>
              </w:rPr>
              <w:t>联系电话</w:t>
            </w:r>
          </w:p>
        </w:tc>
        <w:tc>
          <w:tcPr>
            <w:tcW w:w="1880" w:type="dxa"/>
            <w:gridSpan w:val="3"/>
            <w:vAlign w:val="center"/>
          </w:tcPr>
          <w:p>
            <w:pPr>
              <w:spacing w:line="240" w:lineRule="auto"/>
              <w:ind w:firstLine="0" w:firstLineChars="0"/>
              <w:jc w:val="center"/>
              <w:rPr>
                <w:bCs/>
                <w:sz w:val="21"/>
                <w:szCs w:val="21"/>
              </w:rPr>
            </w:pPr>
            <w:r>
              <w:rPr>
                <w:bCs/>
                <w:sz w:val="21"/>
                <w:szCs w:val="21"/>
              </w:rPr>
              <w:t>18997858281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8337" w:type="dxa"/>
            <w:gridSpan w:val="13"/>
            <w:vAlign w:val="center"/>
          </w:tcPr>
          <w:p>
            <w:pPr>
              <w:spacing w:line="240" w:lineRule="auto"/>
              <w:ind w:firstLine="0" w:firstLineChars="0"/>
              <w:jc w:val="center"/>
              <w:rPr>
                <w:bCs/>
                <w:sz w:val="21"/>
                <w:szCs w:val="21"/>
              </w:rPr>
            </w:pPr>
            <w:r>
              <w:rPr>
                <w:bCs/>
                <w:sz w:val="21"/>
                <w:szCs w:val="21"/>
              </w:rPr>
              <w:t>主要编制人员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jc w:val="center"/>
              <w:rPr>
                <w:bCs/>
                <w:sz w:val="21"/>
                <w:szCs w:val="21"/>
              </w:rPr>
            </w:pPr>
            <w:r>
              <w:rPr>
                <w:bCs/>
                <w:sz w:val="21"/>
                <w:szCs w:val="21"/>
              </w:rPr>
              <w:t>姓名</w:t>
            </w:r>
          </w:p>
        </w:tc>
        <w:tc>
          <w:tcPr>
            <w:tcW w:w="2335" w:type="dxa"/>
            <w:gridSpan w:val="3"/>
            <w:vAlign w:val="center"/>
          </w:tcPr>
          <w:p>
            <w:pPr>
              <w:spacing w:line="240" w:lineRule="auto"/>
              <w:ind w:firstLine="0" w:firstLineChars="0"/>
              <w:jc w:val="center"/>
              <w:rPr>
                <w:bCs/>
                <w:sz w:val="21"/>
                <w:szCs w:val="21"/>
              </w:rPr>
            </w:pPr>
            <w:r>
              <w:rPr>
                <w:bCs/>
                <w:sz w:val="21"/>
                <w:szCs w:val="21"/>
              </w:rPr>
              <w:t>职务/职称</w:t>
            </w:r>
          </w:p>
        </w:tc>
        <w:tc>
          <w:tcPr>
            <w:tcW w:w="1845" w:type="dxa"/>
            <w:gridSpan w:val="4"/>
            <w:vAlign w:val="center"/>
          </w:tcPr>
          <w:p>
            <w:pPr>
              <w:spacing w:line="240" w:lineRule="auto"/>
              <w:ind w:firstLine="0" w:firstLineChars="0"/>
              <w:jc w:val="center"/>
              <w:rPr>
                <w:bCs/>
                <w:sz w:val="21"/>
                <w:szCs w:val="21"/>
              </w:rPr>
            </w:pPr>
            <w:r>
              <w:t>专业</w:t>
            </w:r>
          </w:p>
        </w:tc>
        <w:tc>
          <w:tcPr>
            <w:tcW w:w="1880" w:type="dxa"/>
            <w:gridSpan w:val="3"/>
            <w:vAlign w:val="center"/>
          </w:tcPr>
          <w:p>
            <w:pPr>
              <w:snapToGrid w:val="0"/>
              <w:spacing w:line="240" w:lineRule="auto"/>
              <w:ind w:firstLine="0" w:firstLineChars="0"/>
              <w:jc w:val="center"/>
              <w:rPr>
                <w:bCs/>
                <w:sz w:val="21"/>
                <w:szCs w:val="21"/>
              </w:rPr>
            </w:pPr>
            <w: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contextualSpacing/>
              <w:jc w:val="center"/>
              <w:rPr>
                <w:sz w:val="21"/>
                <w:szCs w:val="21"/>
              </w:rPr>
            </w:pPr>
            <w:r>
              <w:rPr>
                <w:sz w:val="21"/>
                <w:szCs w:val="21"/>
              </w:rPr>
              <w:t>文江龙</w:t>
            </w:r>
          </w:p>
        </w:tc>
        <w:tc>
          <w:tcPr>
            <w:tcW w:w="2335" w:type="dxa"/>
            <w:gridSpan w:val="3"/>
            <w:vAlign w:val="center"/>
          </w:tcPr>
          <w:p>
            <w:pPr>
              <w:spacing w:line="240" w:lineRule="auto"/>
              <w:ind w:firstLine="0" w:firstLineChars="0"/>
              <w:contextualSpacing/>
              <w:jc w:val="center"/>
              <w:rPr>
                <w:sz w:val="21"/>
                <w:szCs w:val="21"/>
              </w:rPr>
            </w:pPr>
            <w:r>
              <w:rPr>
                <w:rFonts w:hint="eastAsia"/>
                <w:sz w:val="21"/>
                <w:szCs w:val="21"/>
              </w:rPr>
              <w:t>项目负责/工程师</w:t>
            </w:r>
          </w:p>
        </w:tc>
        <w:tc>
          <w:tcPr>
            <w:tcW w:w="1845" w:type="dxa"/>
            <w:gridSpan w:val="4"/>
            <w:vAlign w:val="center"/>
          </w:tcPr>
          <w:p>
            <w:pPr>
              <w:spacing w:line="240" w:lineRule="auto"/>
              <w:ind w:firstLine="0" w:firstLineChars="0"/>
              <w:contextualSpacing/>
              <w:jc w:val="center"/>
              <w:rPr>
                <w:sz w:val="21"/>
                <w:szCs w:val="21"/>
              </w:rPr>
            </w:pPr>
            <w:r>
              <w:rPr>
                <w:rFonts w:hint="eastAsia"/>
                <w:sz w:val="21"/>
                <w:szCs w:val="21"/>
              </w:rPr>
              <w:t>土地</w:t>
            </w:r>
          </w:p>
        </w:tc>
        <w:tc>
          <w:tcPr>
            <w:tcW w:w="1880" w:type="dxa"/>
            <w:gridSpan w:val="3"/>
            <w:vAlign w:val="center"/>
          </w:tcPr>
          <w:p>
            <w:pPr>
              <w:snapToGrid w:val="0"/>
              <w:spacing w:before="100" w:beforeAutospacing="1" w:after="100" w:afterAutospacing="1" w:line="240" w:lineRule="auto"/>
              <w:ind w:firstLine="0" w:firstLine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contextualSpacing/>
              <w:jc w:val="center"/>
              <w:rPr>
                <w:sz w:val="21"/>
                <w:szCs w:val="21"/>
              </w:rPr>
            </w:pPr>
            <w:r>
              <w:rPr>
                <w:sz w:val="21"/>
                <w:szCs w:val="21"/>
              </w:rPr>
              <w:t>胡鹏</w:t>
            </w:r>
          </w:p>
        </w:tc>
        <w:tc>
          <w:tcPr>
            <w:tcW w:w="2335" w:type="dxa"/>
            <w:gridSpan w:val="3"/>
            <w:vAlign w:val="center"/>
          </w:tcPr>
          <w:p>
            <w:pPr>
              <w:spacing w:line="240" w:lineRule="auto"/>
              <w:ind w:firstLine="0" w:firstLineChars="0"/>
              <w:contextualSpacing/>
              <w:jc w:val="center"/>
              <w:rPr>
                <w:sz w:val="21"/>
                <w:szCs w:val="21"/>
              </w:rPr>
            </w:pPr>
            <w:r>
              <w:rPr>
                <w:sz w:val="21"/>
                <w:szCs w:val="21"/>
              </w:rPr>
              <w:t>技术负责/工程师</w:t>
            </w:r>
          </w:p>
        </w:tc>
        <w:tc>
          <w:tcPr>
            <w:tcW w:w="1845" w:type="dxa"/>
            <w:gridSpan w:val="4"/>
            <w:vAlign w:val="center"/>
          </w:tcPr>
          <w:p>
            <w:pPr>
              <w:spacing w:line="240" w:lineRule="auto"/>
              <w:ind w:firstLine="0" w:firstLineChars="0"/>
              <w:contextualSpacing/>
              <w:jc w:val="center"/>
              <w:rPr>
                <w:sz w:val="21"/>
                <w:szCs w:val="21"/>
              </w:rPr>
            </w:pPr>
            <w:r>
              <w:rPr>
                <w:rFonts w:hint="eastAsia"/>
                <w:sz w:val="21"/>
                <w:szCs w:val="21"/>
              </w:rPr>
              <w:t>土地</w:t>
            </w:r>
          </w:p>
        </w:tc>
        <w:tc>
          <w:tcPr>
            <w:tcW w:w="1880" w:type="dxa"/>
            <w:gridSpan w:val="3"/>
            <w:vAlign w:val="center"/>
          </w:tcPr>
          <w:p>
            <w:pPr>
              <w:snapToGrid w:val="0"/>
              <w:spacing w:before="100" w:beforeAutospacing="1" w:after="100" w:afterAutospacing="1" w:line="240" w:lineRule="auto"/>
              <w:ind w:firstLine="0" w:firstLine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contextualSpacing/>
              <w:jc w:val="center"/>
              <w:rPr>
                <w:sz w:val="21"/>
                <w:szCs w:val="21"/>
              </w:rPr>
            </w:pPr>
            <w:r>
              <w:rPr>
                <w:rFonts w:hint="eastAsia"/>
                <w:sz w:val="21"/>
                <w:szCs w:val="21"/>
              </w:rPr>
              <w:t>亚尔麦麦提</w:t>
            </w:r>
          </w:p>
        </w:tc>
        <w:tc>
          <w:tcPr>
            <w:tcW w:w="2335" w:type="dxa"/>
            <w:gridSpan w:val="3"/>
            <w:vAlign w:val="center"/>
          </w:tcPr>
          <w:p>
            <w:pPr>
              <w:spacing w:line="240" w:lineRule="auto"/>
              <w:ind w:firstLine="0" w:firstLineChars="0"/>
              <w:contextualSpacing/>
              <w:jc w:val="center"/>
              <w:rPr>
                <w:sz w:val="21"/>
                <w:szCs w:val="21"/>
              </w:rPr>
            </w:pPr>
            <w:r>
              <w:rPr>
                <w:rFonts w:hint="eastAsia"/>
                <w:sz w:val="21"/>
                <w:szCs w:val="21"/>
              </w:rPr>
              <w:t>方案编制</w:t>
            </w:r>
            <w:r>
              <w:rPr>
                <w:sz w:val="21"/>
                <w:szCs w:val="21"/>
              </w:rPr>
              <w:t>/</w:t>
            </w:r>
            <w:r>
              <w:rPr>
                <w:rFonts w:hint="eastAsia"/>
                <w:sz w:val="21"/>
                <w:szCs w:val="21"/>
              </w:rPr>
              <w:t>助理</w:t>
            </w:r>
            <w:r>
              <w:rPr>
                <w:sz w:val="21"/>
                <w:szCs w:val="21"/>
              </w:rPr>
              <w:t>工程师</w:t>
            </w:r>
          </w:p>
        </w:tc>
        <w:tc>
          <w:tcPr>
            <w:tcW w:w="1845" w:type="dxa"/>
            <w:gridSpan w:val="4"/>
            <w:vAlign w:val="center"/>
          </w:tcPr>
          <w:p>
            <w:pPr>
              <w:spacing w:line="240" w:lineRule="auto"/>
              <w:ind w:firstLine="0" w:firstLineChars="0"/>
              <w:contextualSpacing/>
              <w:jc w:val="center"/>
              <w:rPr>
                <w:sz w:val="21"/>
                <w:szCs w:val="21"/>
              </w:rPr>
            </w:pPr>
            <w:r>
              <w:rPr>
                <w:rFonts w:hint="eastAsia"/>
                <w:sz w:val="21"/>
                <w:szCs w:val="21"/>
              </w:rPr>
              <w:t>国土空间规划</w:t>
            </w:r>
          </w:p>
        </w:tc>
        <w:tc>
          <w:tcPr>
            <w:tcW w:w="1880" w:type="dxa"/>
            <w:gridSpan w:val="3"/>
            <w:vAlign w:val="center"/>
          </w:tcPr>
          <w:p>
            <w:pPr>
              <w:snapToGrid w:val="0"/>
              <w:spacing w:before="100" w:beforeAutospacing="1" w:after="100" w:afterAutospacing="1" w:line="240" w:lineRule="auto"/>
              <w:ind w:firstLine="0" w:firstLineChars="0"/>
              <w:jc w:val="center"/>
              <w:rPr>
                <w:bCs/>
                <w:sz w:val="21"/>
                <w:szCs w:val="21"/>
              </w:rPr>
            </w:pPr>
            <w:r>
              <w:rPr>
                <w:sz w:val="21"/>
              </w:rPr>
              <mc:AlternateContent>
                <mc:Choice Requires="wps">
                  <w:drawing>
                    <wp:anchor distT="0" distB="0" distL="114300" distR="114300" simplePos="0" relativeHeight="251701248" behindDoc="0" locked="0" layoutInCell="1" allowOverlap="1">
                      <wp:simplePos x="0" y="0"/>
                      <wp:positionH relativeFrom="column">
                        <wp:posOffset>2922905</wp:posOffset>
                      </wp:positionH>
                      <wp:positionV relativeFrom="paragraph">
                        <wp:posOffset>146050</wp:posOffset>
                      </wp:positionV>
                      <wp:extent cx="635" cy="635"/>
                      <wp:effectExtent l="8890" t="8890" r="20955" b="13335"/>
                      <wp:wrapNone/>
                      <wp:docPr id="29" name="墨迹 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
                                <w14:nvContentPartPr>
                                  <w14:cNvPr id="29" name="墨迹 29"/>
                                  <w14:cNvContentPartPr/>
                                </w14:nvContentPartPr>
                                <w14:xfrm>
                                  <a:off x="8560435" y="8257540"/>
                                  <a:ext cx="635" cy="635"/>
                                </w14:xfrm>
                              </w14:contentPart>
                            </mc:Choice>
                          </mc:AlternateContent>
                        </a:graphicData>
                      </a:graphic>
                    </wp:anchor>
                  </w:drawing>
                </mc:Choice>
                <mc:Fallback>
                  <w:pict>
                    <v:shape id="_x0000_s1026" o:spid="_x0000_s1026" o:spt="75" style="position:absolute;left:0pt;margin-left:230.15pt;margin-top:11.5pt;height:0.05pt;width:0.05pt;z-index:251701248;mso-width-relative:page;mso-height-relative:page;" coordsize="21600,21600" o:gfxdata="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">
                      <v:imagedata r:id="rId22" o:title=""/>
                      <o:lock v:ext="edit"/>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contextualSpacing/>
              <w:jc w:val="center"/>
              <w:rPr>
                <w:sz w:val="21"/>
                <w:szCs w:val="21"/>
              </w:rPr>
            </w:pPr>
            <w:r>
              <w:rPr>
                <w:rFonts w:hint="eastAsia"/>
                <w:sz w:val="21"/>
                <w:szCs w:val="21"/>
              </w:rPr>
              <w:t>唐莹</w:t>
            </w:r>
          </w:p>
        </w:tc>
        <w:tc>
          <w:tcPr>
            <w:tcW w:w="2335" w:type="dxa"/>
            <w:gridSpan w:val="3"/>
            <w:vAlign w:val="center"/>
          </w:tcPr>
          <w:p>
            <w:pPr>
              <w:spacing w:line="240" w:lineRule="auto"/>
              <w:ind w:firstLine="0" w:firstLineChars="0"/>
              <w:contextualSpacing/>
              <w:jc w:val="center"/>
              <w:rPr>
                <w:sz w:val="21"/>
                <w:szCs w:val="21"/>
              </w:rPr>
            </w:pPr>
            <w:r>
              <w:rPr>
                <w:rFonts w:hint="eastAsia"/>
                <w:sz w:val="21"/>
                <w:szCs w:val="21"/>
              </w:rPr>
              <w:t>预算编制</w:t>
            </w:r>
            <w:r>
              <w:rPr>
                <w:sz w:val="21"/>
                <w:szCs w:val="21"/>
              </w:rPr>
              <w:t>/</w:t>
            </w:r>
            <w:r>
              <w:rPr>
                <w:rFonts w:hint="eastAsia"/>
                <w:sz w:val="21"/>
                <w:szCs w:val="21"/>
              </w:rPr>
              <w:t>助理</w:t>
            </w:r>
            <w:r>
              <w:rPr>
                <w:sz w:val="21"/>
                <w:szCs w:val="21"/>
              </w:rPr>
              <w:t>工程师</w:t>
            </w:r>
          </w:p>
        </w:tc>
        <w:tc>
          <w:tcPr>
            <w:tcW w:w="1845" w:type="dxa"/>
            <w:gridSpan w:val="4"/>
            <w:vAlign w:val="center"/>
          </w:tcPr>
          <w:p>
            <w:pPr>
              <w:spacing w:line="240" w:lineRule="auto"/>
              <w:ind w:firstLine="0" w:firstLineChars="0"/>
              <w:contextualSpacing/>
              <w:jc w:val="center"/>
              <w:rPr>
                <w:sz w:val="21"/>
                <w:szCs w:val="21"/>
              </w:rPr>
            </w:pPr>
            <w:r>
              <w:rPr>
                <w:rFonts w:hint="eastAsia"/>
                <w:sz w:val="21"/>
                <w:szCs w:val="21"/>
              </w:rPr>
              <w:t>造价</w:t>
            </w:r>
          </w:p>
        </w:tc>
        <w:tc>
          <w:tcPr>
            <w:tcW w:w="1880" w:type="dxa"/>
            <w:gridSpan w:val="3"/>
            <w:vAlign w:val="center"/>
          </w:tcPr>
          <w:p>
            <w:pPr>
              <w:snapToGrid w:val="0"/>
              <w:spacing w:before="100" w:beforeAutospacing="1" w:after="100" w:afterAutospacing="1" w:line="240" w:lineRule="auto"/>
              <w:ind w:firstLine="0" w:firstLine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2277" w:type="dxa"/>
            <w:gridSpan w:val="3"/>
            <w:vAlign w:val="center"/>
          </w:tcPr>
          <w:p>
            <w:pPr>
              <w:spacing w:line="240" w:lineRule="auto"/>
              <w:ind w:firstLine="0" w:firstLineChars="0"/>
              <w:contextualSpacing/>
              <w:jc w:val="center"/>
              <w:rPr>
                <w:sz w:val="21"/>
                <w:szCs w:val="21"/>
              </w:rPr>
            </w:pPr>
            <w:r>
              <w:rPr>
                <w:rFonts w:hint="eastAsia"/>
                <w:sz w:val="21"/>
                <w:szCs w:val="21"/>
              </w:rPr>
              <w:t>倪雅峰</w:t>
            </w:r>
          </w:p>
        </w:tc>
        <w:tc>
          <w:tcPr>
            <w:tcW w:w="2335" w:type="dxa"/>
            <w:gridSpan w:val="3"/>
            <w:vAlign w:val="center"/>
          </w:tcPr>
          <w:p>
            <w:pPr>
              <w:spacing w:line="240" w:lineRule="auto"/>
              <w:ind w:firstLine="0" w:firstLineChars="0"/>
              <w:contextualSpacing/>
              <w:jc w:val="center"/>
              <w:rPr>
                <w:sz w:val="21"/>
                <w:szCs w:val="21"/>
              </w:rPr>
            </w:pPr>
            <w:r>
              <w:rPr>
                <w:rFonts w:hint="eastAsia"/>
                <w:sz w:val="21"/>
                <w:szCs w:val="21"/>
              </w:rPr>
              <w:t>方案编制</w:t>
            </w:r>
            <w:r>
              <w:rPr>
                <w:sz w:val="21"/>
                <w:szCs w:val="21"/>
              </w:rPr>
              <w:t>/</w:t>
            </w:r>
            <w:r>
              <w:rPr>
                <w:rFonts w:hint="eastAsia"/>
                <w:sz w:val="21"/>
                <w:szCs w:val="21"/>
              </w:rPr>
              <w:t>助理</w:t>
            </w:r>
            <w:r>
              <w:rPr>
                <w:sz w:val="21"/>
                <w:szCs w:val="21"/>
              </w:rPr>
              <w:t>工程师</w:t>
            </w:r>
          </w:p>
        </w:tc>
        <w:tc>
          <w:tcPr>
            <w:tcW w:w="1845" w:type="dxa"/>
            <w:gridSpan w:val="4"/>
            <w:vAlign w:val="center"/>
          </w:tcPr>
          <w:p>
            <w:pPr>
              <w:spacing w:line="240" w:lineRule="auto"/>
              <w:ind w:firstLine="0" w:firstLineChars="0"/>
              <w:contextualSpacing/>
              <w:jc w:val="center"/>
              <w:rPr>
                <w:sz w:val="21"/>
                <w:szCs w:val="21"/>
              </w:rPr>
            </w:pPr>
            <w:r>
              <w:rPr>
                <w:rFonts w:hint="eastAsia"/>
                <w:sz w:val="21"/>
                <w:szCs w:val="21"/>
              </w:rPr>
              <w:t>土地</w:t>
            </w:r>
          </w:p>
        </w:tc>
        <w:tc>
          <w:tcPr>
            <w:tcW w:w="1880" w:type="dxa"/>
            <w:gridSpan w:val="3"/>
            <w:vAlign w:val="center"/>
          </w:tcPr>
          <w:p>
            <w:pPr>
              <w:snapToGrid w:val="0"/>
              <w:spacing w:before="100" w:beforeAutospacing="1" w:after="100" w:afterAutospacing="1" w:line="240" w:lineRule="auto"/>
              <w:ind w:firstLine="0" w:firstLine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restart"/>
            <w:vAlign w:val="center"/>
          </w:tcPr>
          <w:p>
            <w:pPr>
              <w:spacing w:line="240" w:lineRule="auto"/>
              <w:ind w:firstLine="0" w:firstLineChars="0"/>
              <w:jc w:val="center"/>
              <w:rPr>
                <w:rFonts w:eastAsia="黑体"/>
                <w:bCs/>
                <w:sz w:val="21"/>
                <w:szCs w:val="21"/>
              </w:rPr>
            </w:pPr>
            <w:r>
              <w:rPr>
                <w:rFonts w:eastAsia="黑体"/>
                <w:bCs/>
                <w:sz w:val="21"/>
                <w:szCs w:val="21"/>
              </w:rPr>
              <w:t>复</w:t>
            </w:r>
          </w:p>
          <w:p>
            <w:pPr>
              <w:spacing w:line="240" w:lineRule="auto"/>
              <w:ind w:firstLine="0" w:firstLineChars="0"/>
              <w:jc w:val="center"/>
              <w:rPr>
                <w:rFonts w:eastAsia="黑体"/>
                <w:bCs/>
                <w:sz w:val="21"/>
                <w:szCs w:val="21"/>
              </w:rPr>
            </w:pPr>
            <w:r>
              <w:rPr>
                <w:rFonts w:eastAsia="黑体"/>
                <w:bCs/>
                <w:sz w:val="21"/>
                <w:szCs w:val="21"/>
              </w:rPr>
              <w:t>垦</w:t>
            </w:r>
          </w:p>
          <w:p>
            <w:pPr>
              <w:spacing w:line="240" w:lineRule="auto"/>
              <w:ind w:firstLine="0" w:firstLineChars="0"/>
              <w:jc w:val="center"/>
              <w:rPr>
                <w:rFonts w:eastAsia="黑体"/>
                <w:bCs/>
                <w:sz w:val="21"/>
                <w:szCs w:val="21"/>
              </w:rPr>
            </w:pPr>
            <w:r>
              <w:rPr>
                <w:rFonts w:eastAsia="黑体"/>
                <w:bCs/>
                <w:sz w:val="21"/>
                <w:szCs w:val="21"/>
              </w:rPr>
              <w:t>区</w:t>
            </w:r>
          </w:p>
          <w:p>
            <w:pPr>
              <w:spacing w:line="240" w:lineRule="auto"/>
              <w:ind w:firstLine="0" w:firstLineChars="0"/>
              <w:jc w:val="center"/>
              <w:rPr>
                <w:rFonts w:eastAsia="黑体"/>
                <w:bCs/>
                <w:sz w:val="21"/>
                <w:szCs w:val="21"/>
              </w:rPr>
            </w:pPr>
            <w:r>
              <w:rPr>
                <w:rFonts w:eastAsia="黑体"/>
                <w:bCs/>
                <w:sz w:val="21"/>
                <w:szCs w:val="21"/>
              </w:rPr>
              <w:t>土</w:t>
            </w:r>
          </w:p>
          <w:p>
            <w:pPr>
              <w:spacing w:line="240" w:lineRule="auto"/>
              <w:ind w:firstLine="0" w:firstLineChars="0"/>
              <w:jc w:val="center"/>
              <w:rPr>
                <w:rFonts w:eastAsia="黑体"/>
                <w:bCs/>
                <w:sz w:val="21"/>
                <w:szCs w:val="21"/>
              </w:rPr>
            </w:pPr>
            <w:r>
              <w:rPr>
                <w:rFonts w:eastAsia="黑体"/>
                <w:bCs/>
                <w:sz w:val="21"/>
                <w:szCs w:val="21"/>
              </w:rPr>
              <w:t>地</w:t>
            </w:r>
          </w:p>
          <w:p>
            <w:pPr>
              <w:spacing w:line="240" w:lineRule="auto"/>
              <w:ind w:firstLine="0" w:firstLineChars="0"/>
              <w:jc w:val="center"/>
              <w:rPr>
                <w:rFonts w:eastAsia="黑体"/>
                <w:bCs/>
                <w:sz w:val="21"/>
                <w:szCs w:val="21"/>
              </w:rPr>
            </w:pPr>
            <w:r>
              <w:rPr>
                <w:rFonts w:eastAsia="黑体"/>
                <w:bCs/>
                <w:sz w:val="21"/>
                <w:szCs w:val="21"/>
              </w:rPr>
              <w:t>利</w:t>
            </w:r>
          </w:p>
          <w:p>
            <w:pPr>
              <w:spacing w:line="240" w:lineRule="auto"/>
              <w:ind w:firstLine="0" w:firstLineChars="0"/>
              <w:jc w:val="center"/>
              <w:rPr>
                <w:rFonts w:eastAsia="黑体"/>
                <w:bCs/>
                <w:sz w:val="21"/>
                <w:szCs w:val="21"/>
              </w:rPr>
            </w:pPr>
            <w:r>
              <w:rPr>
                <w:rFonts w:eastAsia="黑体"/>
                <w:bCs/>
                <w:sz w:val="21"/>
                <w:szCs w:val="21"/>
              </w:rPr>
              <w:t>用</w:t>
            </w:r>
          </w:p>
          <w:p>
            <w:pPr>
              <w:spacing w:line="240" w:lineRule="auto"/>
              <w:ind w:firstLine="0" w:firstLineChars="0"/>
              <w:jc w:val="center"/>
              <w:rPr>
                <w:rFonts w:eastAsia="黑体"/>
                <w:bCs/>
                <w:sz w:val="21"/>
                <w:szCs w:val="21"/>
              </w:rPr>
            </w:pPr>
            <w:r>
              <w:rPr>
                <w:rFonts w:eastAsia="黑体"/>
                <w:bCs/>
                <w:sz w:val="21"/>
                <w:szCs w:val="21"/>
              </w:rPr>
              <w:t>现</w:t>
            </w:r>
          </w:p>
          <w:p>
            <w:pPr>
              <w:spacing w:line="240" w:lineRule="auto"/>
              <w:ind w:firstLine="0" w:firstLineChars="0"/>
              <w:jc w:val="center"/>
              <w:rPr>
                <w:rFonts w:eastAsia="黑体"/>
                <w:bCs/>
                <w:spacing w:val="-10"/>
                <w:sz w:val="21"/>
                <w:szCs w:val="21"/>
              </w:rPr>
            </w:pPr>
            <w:r>
              <w:rPr>
                <w:rFonts w:eastAsia="黑体"/>
                <w:bCs/>
                <w:sz w:val="21"/>
                <w:szCs w:val="21"/>
              </w:rPr>
              <w:t>状</w:t>
            </w:r>
          </w:p>
        </w:tc>
        <w:tc>
          <w:tcPr>
            <w:tcW w:w="4240" w:type="dxa"/>
            <w:gridSpan w:val="5"/>
            <w:vAlign w:val="center"/>
          </w:tcPr>
          <w:p>
            <w:pPr>
              <w:spacing w:line="240" w:lineRule="auto"/>
              <w:ind w:firstLine="0" w:firstLineChars="0"/>
              <w:jc w:val="center"/>
              <w:rPr>
                <w:sz w:val="21"/>
                <w:szCs w:val="21"/>
              </w:rPr>
            </w:pPr>
            <w:r>
              <w:rPr>
                <w:sz w:val="21"/>
                <w:szCs w:val="21"/>
              </w:rPr>
              <w:t>土地类型</w:t>
            </w:r>
          </w:p>
        </w:tc>
        <w:tc>
          <w:tcPr>
            <w:tcW w:w="4097" w:type="dxa"/>
            <w:gridSpan w:val="8"/>
            <w:vAlign w:val="center"/>
          </w:tcPr>
          <w:p>
            <w:pPr>
              <w:spacing w:line="240" w:lineRule="auto"/>
              <w:ind w:firstLine="0" w:firstLineChars="0"/>
              <w:jc w:val="center"/>
              <w:rPr>
                <w:sz w:val="21"/>
                <w:szCs w:val="21"/>
              </w:rPr>
            </w:pPr>
            <w:r>
              <w:rPr>
                <w:sz w:val="21"/>
                <w:szCs w:val="21"/>
              </w:rPr>
              <w:t>面积（hm</w:t>
            </w:r>
            <w:r>
              <w:rPr>
                <w:sz w:val="21"/>
                <w:szCs w:val="21"/>
                <w:vertAlign w:val="superscript"/>
              </w:rPr>
              <w:t>2</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sz w:val="21"/>
                <w:szCs w:val="21"/>
              </w:rPr>
              <w:t>一级地类</w:t>
            </w:r>
          </w:p>
        </w:tc>
        <w:tc>
          <w:tcPr>
            <w:tcW w:w="1963" w:type="dxa"/>
            <w:gridSpan w:val="2"/>
            <w:vAlign w:val="center"/>
          </w:tcPr>
          <w:p>
            <w:pPr>
              <w:spacing w:line="240" w:lineRule="auto"/>
              <w:ind w:firstLine="0" w:firstLineChars="0"/>
              <w:jc w:val="center"/>
              <w:rPr>
                <w:sz w:val="21"/>
                <w:szCs w:val="21"/>
              </w:rPr>
            </w:pPr>
            <w:r>
              <w:rPr>
                <w:sz w:val="21"/>
                <w:szCs w:val="21"/>
              </w:rPr>
              <w:t>二级地类</w:t>
            </w:r>
          </w:p>
        </w:tc>
        <w:tc>
          <w:tcPr>
            <w:tcW w:w="1037" w:type="dxa"/>
            <w:gridSpan w:val="2"/>
            <w:vAlign w:val="center"/>
          </w:tcPr>
          <w:p>
            <w:pPr>
              <w:spacing w:line="240" w:lineRule="auto"/>
              <w:ind w:firstLine="0" w:firstLineChars="0"/>
              <w:jc w:val="center"/>
              <w:rPr>
                <w:sz w:val="21"/>
                <w:szCs w:val="21"/>
              </w:rPr>
            </w:pPr>
            <w:r>
              <w:rPr>
                <w:sz w:val="21"/>
                <w:szCs w:val="21"/>
              </w:rPr>
              <w:t>小计</w:t>
            </w:r>
          </w:p>
        </w:tc>
        <w:tc>
          <w:tcPr>
            <w:tcW w:w="913" w:type="dxa"/>
            <w:gridSpan w:val="2"/>
            <w:vAlign w:val="center"/>
          </w:tcPr>
          <w:p>
            <w:pPr>
              <w:spacing w:line="240" w:lineRule="auto"/>
              <w:ind w:firstLine="0" w:firstLineChars="0"/>
              <w:jc w:val="center"/>
              <w:rPr>
                <w:sz w:val="21"/>
                <w:szCs w:val="21"/>
              </w:rPr>
            </w:pPr>
            <w:r>
              <w:rPr>
                <w:sz w:val="21"/>
                <w:szCs w:val="21"/>
              </w:rPr>
              <w:t>已损毁</w:t>
            </w:r>
          </w:p>
        </w:tc>
        <w:tc>
          <w:tcPr>
            <w:tcW w:w="1078" w:type="dxa"/>
            <w:gridSpan w:val="3"/>
            <w:vAlign w:val="center"/>
          </w:tcPr>
          <w:p>
            <w:pPr>
              <w:spacing w:line="240" w:lineRule="auto"/>
              <w:ind w:firstLine="0" w:firstLineChars="0"/>
              <w:jc w:val="center"/>
              <w:rPr>
                <w:sz w:val="21"/>
                <w:szCs w:val="21"/>
              </w:rPr>
            </w:pPr>
            <w:r>
              <w:rPr>
                <w:sz w:val="21"/>
                <w:szCs w:val="21"/>
              </w:rPr>
              <w:t>拟损毁</w:t>
            </w:r>
          </w:p>
        </w:tc>
        <w:tc>
          <w:tcPr>
            <w:tcW w:w="1069" w:type="dxa"/>
            <w:vAlign w:val="center"/>
          </w:tcPr>
          <w:p>
            <w:pPr>
              <w:spacing w:line="240" w:lineRule="auto"/>
              <w:ind w:firstLine="0" w:firstLineChars="0"/>
              <w:jc w:val="center"/>
              <w:rPr>
                <w:sz w:val="21"/>
                <w:szCs w:val="21"/>
              </w:rPr>
            </w:pPr>
            <w:r>
              <w:rPr>
                <w:sz w:val="21"/>
                <w:szCs w:val="21"/>
              </w:rPr>
              <w:t>永久占用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耕地</w:t>
            </w:r>
            <w:r>
              <w:rPr>
                <w:sz w:val="21"/>
                <w:szCs w:val="21"/>
              </w:rPr>
              <w:t>01</w:t>
            </w:r>
          </w:p>
        </w:tc>
        <w:tc>
          <w:tcPr>
            <w:tcW w:w="1963" w:type="dxa"/>
            <w:gridSpan w:val="2"/>
            <w:vAlign w:val="center"/>
          </w:tcPr>
          <w:p>
            <w:pPr>
              <w:spacing w:line="240" w:lineRule="auto"/>
              <w:ind w:firstLine="0" w:firstLineChars="0"/>
              <w:jc w:val="center"/>
              <w:rPr>
                <w:sz w:val="21"/>
                <w:szCs w:val="21"/>
              </w:rPr>
            </w:pPr>
            <w:r>
              <w:rPr>
                <w:rFonts w:hint="eastAsia"/>
                <w:sz w:val="21"/>
                <w:szCs w:val="21"/>
              </w:rPr>
              <w:t>水浇地</w:t>
            </w:r>
            <w:r>
              <w:rPr>
                <w:sz w:val="21"/>
                <w:szCs w:val="21"/>
              </w:rPr>
              <w:t>0102</w:t>
            </w:r>
          </w:p>
        </w:tc>
        <w:tc>
          <w:tcPr>
            <w:tcW w:w="1037" w:type="dxa"/>
            <w:gridSpan w:val="2"/>
            <w:vAlign w:val="center"/>
          </w:tcPr>
          <w:p>
            <w:pPr>
              <w:spacing w:line="240" w:lineRule="auto"/>
              <w:ind w:firstLine="0" w:firstLineChars="0"/>
              <w:jc w:val="center"/>
              <w:rPr>
                <w:sz w:val="21"/>
                <w:szCs w:val="21"/>
              </w:rPr>
            </w:pPr>
            <w:r>
              <w:rPr>
                <w:sz w:val="21"/>
                <w:szCs w:val="21"/>
              </w:rPr>
              <w:t>0.4026</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0.4026</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园地</w:t>
            </w:r>
            <w:r>
              <w:rPr>
                <w:sz w:val="21"/>
                <w:szCs w:val="21"/>
              </w:rPr>
              <w:t>02</w:t>
            </w:r>
          </w:p>
        </w:tc>
        <w:tc>
          <w:tcPr>
            <w:tcW w:w="1963" w:type="dxa"/>
            <w:gridSpan w:val="2"/>
            <w:vAlign w:val="center"/>
          </w:tcPr>
          <w:p>
            <w:pPr>
              <w:spacing w:line="240" w:lineRule="auto"/>
              <w:ind w:firstLine="0" w:firstLineChars="0"/>
              <w:jc w:val="center"/>
              <w:rPr>
                <w:sz w:val="21"/>
                <w:szCs w:val="21"/>
              </w:rPr>
            </w:pPr>
            <w:r>
              <w:rPr>
                <w:rFonts w:hint="eastAsia"/>
                <w:sz w:val="21"/>
                <w:szCs w:val="21"/>
              </w:rPr>
              <w:t>果园</w:t>
            </w:r>
            <w:r>
              <w:rPr>
                <w:sz w:val="21"/>
                <w:szCs w:val="21"/>
              </w:rPr>
              <w:t>0201</w:t>
            </w:r>
          </w:p>
        </w:tc>
        <w:tc>
          <w:tcPr>
            <w:tcW w:w="1037" w:type="dxa"/>
            <w:gridSpan w:val="2"/>
            <w:vAlign w:val="center"/>
          </w:tcPr>
          <w:p>
            <w:pPr>
              <w:spacing w:line="240" w:lineRule="auto"/>
              <w:ind w:firstLine="0" w:firstLineChars="0"/>
              <w:jc w:val="center"/>
              <w:rPr>
                <w:sz w:val="21"/>
                <w:szCs w:val="21"/>
              </w:rPr>
            </w:pPr>
            <w:r>
              <w:rPr>
                <w:sz w:val="21"/>
                <w:szCs w:val="21"/>
              </w:rPr>
              <w:t>0.6105</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0.6105</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Merge w:val="restart"/>
            <w:vAlign w:val="center"/>
          </w:tcPr>
          <w:p>
            <w:pPr>
              <w:spacing w:line="240" w:lineRule="auto"/>
              <w:ind w:firstLine="0" w:firstLineChars="0"/>
              <w:jc w:val="center"/>
              <w:rPr>
                <w:sz w:val="21"/>
                <w:szCs w:val="21"/>
              </w:rPr>
            </w:pPr>
            <w:r>
              <w:rPr>
                <w:rFonts w:hint="eastAsia"/>
                <w:sz w:val="21"/>
                <w:szCs w:val="21"/>
              </w:rPr>
              <w:t>林地</w:t>
            </w:r>
            <w:r>
              <w:rPr>
                <w:sz w:val="21"/>
                <w:szCs w:val="21"/>
              </w:rPr>
              <w:t>03</w:t>
            </w:r>
          </w:p>
        </w:tc>
        <w:tc>
          <w:tcPr>
            <w:tcW w:w="1963" w:type="dxa"/>
            <w:gridSpan w:val="2"/>
            <w:vAlign w:val="center"/>
          </w:tcPr>
          <w:p>
            <w:pPr>
              <w:spacing w:line="240" w:lineRule="auto"/>
              <w:ind w:firstLine="0" w:firstLineChars="0"/>
              <w:jc w:val="center"/>
              <w:rPr>
                <w:sz w:val="21"/>
                <w:szCs w:val="21"/>
              </w:rPr>
            </w:pPr>
            <w:r>
              <w:rPr>
                <w:rFonts w:hint="eastAsia"/>
                <w:sz w:val="21"/>
                <w:szCs w:val="21"/>
              </w:rPr>
              <w:t>乔木林地</w:t>
            </w:r>
            <w:r>
              <w:rPr>
                <w:sz w:val="21"/>
                <w:szCs w:val="21"/>
              </w:rPr>
              <w:t>0301</w:t>
            </w:r>
          </w:p>
        </w:tc>
        <w:tc>
          <w:tcPr>
            <w:tcW w:w="1037" w:type="dxa"/>
            <w:gridSpan w:val="2"/>
            <w:vAlign w:val="center"/>
          </w:tcPr>
          <w:p>
            <w:pPr>
              <w:spacing w:line="240" w:lineRule="auto"/>
              <w:ind w:firstLine="0" w:firstLineChars="0"/>
              <w:jc w:val="center"/>
              <w:rPr>
                <w:sz w:val="21"/>
                <w:szCs w:val="21"/>
              </w:rPr>
            </w:pPr>
            <w:r>
              <w:rPr>
                <w:sz w:val="21"/>
                <w:szCs w:val="21"/>
              </w:rPr>
              <w:t>0.2056</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0.2056</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Merge w:val="continue"/>
            <w:vAlign w:val="center"/>
          </w:tcPr>
          <w:p>
            <w:pPr>
              <w:spacing w:line="240" w:lineRule="auto"/>
              <w:ind w:firstLine="0" w:firstLineChars="0"/>
              <w:jc w:val="center"/>
              <w:rPr>
                <w:sz w:val="21"/>
                <w:szCs w:val="21"/>
              </w:rPr>
            </w:pPr>
          </w:p>
        </w:tc>
        <w:tc>
          <w:tcPr>
            <w:tcW w:w="1963" w:type="dxa"/>
            <w:gridSpan w:val="2"/>
            <w:vAlign w:val="center"/>
          </w:tcPr>
          <w:p>
            <w:pPr>
              <w:spacing w:line="240" w:lineRule="auto"/>
              <w:ind w:firstLine="0" w:firstLineChars="0"/>
              <w:jc w:val="center"/>
              <w:rPr>
                <w:sz w:val="21"/>
                <w:szCs w:val="21"/>
              </w:rPr>
            </w:pPr>
            <w:r>
              <w:rPr>
                <w:rFonts w:hint="eastAsia"/>
                <w:sz w:val="21"/>
                <w:szCs w:val="21"/>
              </w:rPr>
              <w:t>其他林地</w:t>
            </w:r>
            <w:r>
              <w:rPr>
                <w:sz w:val="21"/>
                <w:szCs w:val="21"/>
              </w:rPr>
              <w:t>0304</w:t>
            </w:r>
          </w:p>
        </w:tc>
        <w:tc>
          <w:tcPr>
            <w:tcW w:w="1037" w:type="dxa"/>
            <w:gridSpan w:val="2"/>
            <w:vAlign w:val="center"/>
          </w:tcPr>
          <w:p>
            <w:pPr>
              <w:spacing w:line="240" w:lineRule="auto"/>
              <w:ind w:firstLine="0" w:firstLineChars="0"/>
              <w:jc w:val="center"/>
              <w:rPr>
                <w:sz w:val="21"/>
                <w:szCs w:val="21"/>
              </w:rPr>
            </w:pPr>
            <w:r>
              <w:rPr>
                <w:sz w:val="21"/>
                <w:szCs w:val="21"/>
              </w:rPr>
              <w:t>0.0223</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0.0223</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草地</w:t>
            </w:r>
            <w:r>
              <w:rPr>
                <w:sz w:val="21"/>
                <w:szCs w:val="21"/>
              </w:rPr>
              <w:t>04</w:t>
            </w:r>
          </w:p>
        </w:tc>
        <w:tc>
          <w:tcPr>
            <w:tcW w:w="1963" w:type="dxa"/>
            <w:gridSpan w:val="2"/>
            <w:vAlign w:val="center"/>
          </w:tcPr>
          <w:p>
            <w:pPr>
              <w:spacing w:line="240" w:lineRule="auto"/>
              <w:ind w:firstLine="0" w:firstLineChars="0"/>
              <w:jc w:val="center"/>
              <w:rPr>
                <w:sz w:val="21"/>
                <w:szCs w:val="21"/>
              </w:rPr>
            </w:pPr>
            <w:r>
              <w:rPr>
                <w:rFonts w:hint="eastAsia"/>
                <w:sz w:val="21"/>
                <w:szCs w:val="21"/>
              </w:rPr>
              <w:t>其他草地</w:t>
            </w:r>
            <w:r>
              <w:rPr>
                <w:sz w:val="21"/>
                <w:szCs w:val="21"/>
              </w:rPr>
              <w:t>0403</w:t>
            </w:r>
          </w:p>
        </w:tc>
        <w:tc>
          <w:tcPr>
            <w:tcW w:w="1037" w:type="dxa"/>
            <w:gridSpan w:val="2"/>
            <w:vAlign w:val="center"/>
          </w:tcPr>
          <w:p>
            <w:pPr>
              <w:spacing w:line="240" w:lineRule="auto"/>
              <w:ind w:firstLine="0" w:firstLineChars="0"/>
              <w:jc w:val="center"/>
              <w:rPr>
                <w:sz w:val="21"/>
                <w:szCs w:val="21"/>
              </w:rPr>
            </w:pPr>
            <w:r>
              <w:rPr>
                <w:sz w:val="21"/>
                <w:szCs w:val="21"/>
              </w:rPr>
              <w:t>0.0163</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0.0163</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农业设施建设用地</w:t>
            </w:r>
            <w:r>
              <w:rPr>
                <w:sz w:val="21"/>
                <w:szCs w:val="21"/>
              </w:rPr>
              <w:t>06</w:t>
            </w:r>
          </w:p>
        </w:tc>
        <w:tc>
          <w:tcPr>
            <w:tcW w:w="1963" w:type="dxa"/>
            <w:gridSpan w:val="2"/>
            <w:vAlign w:val="center"/>
          </w:tcPr>
          <w:p>
            <w:pPr>
              <w:spacing w:line="240" w:lineRule="auto"/>
              <w:ind w:firstLine="0" w:firstLineChars="0"/>
              <w:jc w:val="center"/>
              <w:rPr>
                <w:sz w:val="21"/>
                <w:szCs w:val="21"/>
              </w:rPr>
            </w:pPr>
            <w:r>
              <w:rPr>
                <w:rFonts w:hint="eastAsia"/>
                <w:sz w:val="21"/>
                <w:szCs w:val="21"/>
              </w:rPr>
              <w:t>农村道路</w:t>
            </w:r>
            <w:r>
              <w:rPr>
                <w:sz w:val="21"/>
                <w:szCs w:val="21"/>
              </w:rPr>
              <w:t>0601</w:t>
            </w:r>
          </w:p>
        </w:tc>
        <w:tc>
          <w:tcPr>
            <w:tcW w:w="1037" w:type="dxa"/>
            <w:gridSpan w:val="2"/>
            <w:vAlign w:val="center"/>
          </w:tcPr>
          <w:p>
            <w:pPr>
              <w:spacing w:line="240" w:lineRule="auto"/>
              <w:ind w:firstLine="0" w:firstLineChars="0"/>
              <w:jc w:val="center"/>
              <w:rPr>
                <w:sz w:val="21"/>
                <w:szCs w:val="21"/>
              </w:rPr>
            </w:pPr>
            <w:r>
              <w:rPr>
                <w:sz w:val="21"/>
                <w:szCs w:val="21"/>
              </w:rPr>
              <w:t>1.2099</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1.2099</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居住用地</w:t>
            </w:r>
            <w:r>
              <w:rPr>
                <w:sz w:val="21"/>
                <w:szCs w:val="21"/>
              </w:rPr>
              <w:t>07</w:t>
            </w:r>
          </w:p>
        </w:tc>
        <w:tc>
          <w:tcPr>
            <w:tcW w:w="1963" w:type="dxa"/>
            <w:gridSpan w:val="2"/>
            <w:vAlign w:val="center"/>
          </w:tcPr>
          <w:p>
            <w:pPr>
              <w:spacing w:line="240" w:lineRule="auto"/>
              <w:ind w:firstLine="0" w:firstLineChars="0"/>
              <w:jc w:val="center"/>
              <w:rPr>
                <w:sz w:val="21"/>
                <w:szCs w:val="21"/>
              </w:rPr>
            </w:pPr>
            <w:r>
              <w:rPr>
                <w:rFonts w:hint="eastAsia"/>
                <w:sz w:val="21"/>
                <w:szCs w:val="21"/>
              </w:rPr>
              <w:t>农村宅基地0</w:t>
            </w:r>
            <w:r>
              <w:rPr>
                <w:sz w:val="21"/>
                <w:szCs w:val="21"/>
              </w:rPr>
              <w:t>703</w:t>
            </w:r>
          </w:p>
        </w:tc>
        <w:tc>
          <w:tcPr>
            <w:tcW w:w="1037" w:type="dxa"/>
            <w:gridSpan w:val="2"/>
            <w:vAlign w:val="center"/>
          </w:tcPr>
          <w:p>
            <w:pPr>
              <w:spacing w:line="240" w:lineRule="auto"/>
              <w:ind w:firstLine="0" w:firstLineChars="0"/>
              <w:jc w:val="center"/>
              <w:rPr>
                <w:sz w:val="21"/>
                <w:szCs w:val="21"/>
              </w:rPr>
            </w:pPr>
            <w:r>
              <w:rPr>
                <w:sz w:val="21"/>
                <w:szCs w:val="21"/>
              </w:rPr>
              <w:t>0.0135</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0.0135</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工矿用地</w:t>
            </w:r>
            <w:r>
              <w:rPr>
                <w:sz w:val="21"/>
                <w:szCs w:val="21"/>
              </w:rPr>
              <w:t>10</w:t>
            </w:r>
          </w:p>
        </w:tc>
        <w:tc>
          <w:tcPr>
            <w:tcW w:w="1963" w:type="dxa"/>
            <w:gridSpan w:val="2"/>
            <w:vAlign w:val="center"/>
          </w:tcPr>
          <w:p>
            <w:pPr>
              <w:spacing w:line="240" w:lineRule="auto"/>
              <w:ind w:firstLine="0" w:firstLineChars="0"/>
              <w:jc w:val="center"/>
              <w:rPr>
                <w:sz w:val="21"/>
                <w:szCs w:val="21"/>
              </w:rPr>
            </w:pPr>
            <w:r>
              <w:rPr>
                <w:rFonts w:hint="eastAsia"/>
                <w:sz w:val="21"/>
                <w:szCs w:val="21"/>
              </w:rPr>
              <w:t>采矿用地</w:t>
            </w:r>
            <w:r>
              <w:rPr>
                <w:sz w:val="21"/>
                <w:szCs w:val="21"/>
              </w:rPr>
              <w:t>1002</w:t>
            </w:r>
          </w:p>
        </w:tc>
        <w:tc>
          <w:tcPr>
            <w:tcW w:w="1037" w:type="dxa"/>
            <w:gridSpan w:val="2"/>
            <w:vAlign w:val="center"/>
          </w:tcPr>
          <w:p>
            <w:pPr>
              <w:spacing w:line="240" w:lineRule="auto"/>
              <w:ind w:firstLine="0" w:firstLineChars="0"/>
              <w:jc w:val="center"/>
              <w:rPr>
                <w:sz w:val="21"/>
                <w:szCs w:val="21"/>
              </w:rPr>
            </w:pPr>
            <w:r>
              <w:rPr>
                <w:sz w:val="21"/>
                <w:szCs w:val="21"/>
              </w:rPr>
              <w:t>0.0094</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0.0094</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交通运输用地</w:t>
            </w:r>
            <w:r>
              <w:rPr>
                <w:sz w:val="21"/>
                <w:szCs w:val="21"/>
              </w:rPr>
              <w:t>12</w:t>
            </w:r>
          </w:p>
        </w:tc>
        <w:tc>
          <w:tcPr>
            <w:tcW w:w="1963" w:type="dxa"/>
            <w:gridSpan w:val="2"/>
            <w:vAlign w:val="center"/>
          </w:tcPr>
          <w:p>
            <w:pPr>
              <w:spacing w:line="240" w:lineRule="auto"/>
              <w:ind w:firstLine="0" w:firstLineChars="0"/>
              <w:jc w:val="center"/>
              <w:rPr>
                <w:sz w:val="21"/>
                <w:szCs w:val="21"/>
              </w:rPr>
            </w:pPr>
            <w:r>
              <w:rPr>
                <w:rFonts w:hint="eastAsia"/>
                <w:sz w:val="21"/>
                <w:szCs w:val="21"/>
              </w:rPr>
              <w:t>公路用地</w:t>
            </w:r>
            <w:r>
              <w:rPr>
                <w:sz w:val="21"/>
                <w:szCs w:val="21"/>
              </w:rPr>
              <w:t>1202</w:t>
            </w:r>
          </w:p>
        </w:tc>
        <w:tc>
          <w:tcPr>
            <w:tcW w:w="1037" w:type="dxa"/>
            <w:gridSpan w:val="2"/>
            <w:vAlign w:val="center"/>
          </w:tcPr>
          <w:p>
            <w:pPr>
              <w:spacing w:line="240" w:lineRule="auto"/>
              <w:ind w:firstLine="0" w:firstLineChars="0"/>
              <w:jc w:val="center"/>
              <w:rPr>
                <w:sz w:val="21"/>
                <w:szCs w:val="21"/>
              </w:rPr>
            </w:pPr>
            <w:r>
              <w:rPr>
                <w:sz w:val="21"/>
                <w:szCs w:val="21"/>
              </w:rPr>
              <w:t>0.0319</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0.0319</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特殊用地</w:t>
            </w:r>
            <w:r>
              <w:rPr>
                <w:sz w:val="21"/>
                <w:szCs w:val="21"/>
              </w:rPr>
              <w:t>15</w:t>
            </w:r>
          </w:p>
        </w:tc>
        <w:tc>
          <w:tcPr>
            <w:tcW w:w="1963" w:type="dxa"/>
            <w:gridSpan w:val="2"/>
            <w:vAlign w:val="center"/>
          </w:tcPr>
          <w:p>
            <w:pPr>
              <w:spacing w:line="240" w:lineRule="auto"/>
              <w:ind w:firstLine="0" w:firstLineChars="0"/>
              <w:jc w:val="center"/>
              <w:rPr>
                <w:sz w:val="21"/>
                <w:szCs w:val="21"/>
              </w:rPr>
            </w:pPr>
            <w:r>
              <w:rPr>
                <w:rFonts w:hint="eastAsia"/>
                <w:sz w:val="21"/>
                <w:szCs w:val="21"/>
              </w:rPr>
              <w:t>其他特殊用地</w:t>
            </w:r>
            <w:r>
              <w:rPr>
                <w:sz w:val="21"/>
                <w:szCs w:val="21"/>
              </w:rPr>
              <w:t>1507</w:t>
            </w:r>
          </w:p>
        </w:tc>
        <w:tc>
          <w:tcPr>
            <w:tcW w:w="1037" w:type="dxa"/>
            <w:gridSpan w:val="2"/>
            <w:vAlign w:val="center"/>
          </w:tcPr>
          <w:p>
            <w:pPr>
              <w:spacing w:line="240" w:lineRule="auto"/>
              <w:ind w:firstLine="0" w:firstLineChars="0"/>
              <w:jc w:val="center"/>
              <w:rPr>
                <w:sz w:val="21"/>
                <w:szCs w:val="21"/>
              </w:rPr>
            </w:pPr>
            <w:r>
              <w:rPr>
                <w:sz w:val="21"/>
                <w:szCs w:val="21"/>
              </w:rPr>
              <w:t>0.0476</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0.0476</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陆地水域</w:t>
            </w:r>
            <w:r>
              <w:rPr>
                <w:sz w:val="21"/>
                <w:szCs w:val="21"/>
              </w:rPr>
              <w:t>17</w:t>
            </w:r>
          </w:p>
        </w:tc>
        <w:tc>
          <w:tcPr>
            <w:tcW w:w="1963" w:type="dxa"/>
            <w:gridSpan w:val="2"/>
            <w:vAlign w:val="center"/>
          </w:tcPr>
          <w:p>
            <w:pPr>
              <w:spacing w:line="240" w:lineRule="auto"/>
              <w:ind w:firstLine="0" w:firstLineChars="0"/>
              <w:jc w:val="center"/>
              <w:rPr>
                <w:sz w:val="21"/>
                <w:szCs w:val="21"/>
              </w:rPr>
            </w:pPr>
            <w:r>
              <w:rPr>
                <w:rFonts w:hint="eastAsia"/>
                <w:sz w:val="21"/>
                <w:szCs w:val="21"/>
              </w:rPr>
              <w:t>沟渠</w:t>
            </w:r>
            <w:r>
              <w:rPr>
                <w:sz w:val="21"/>
                <w:szCs w:val="21"/>
              </w:rPr>
              <w:t>1705</w:t>
            </w:r>
          </w:p>
        </w:tc>
        <w:tc>
          <w:tcPr>
            <w:tcW w:w="1037" w:type="dxa"/>
            <w:gridSpan w:val="2"/>
            <w:vAlign w:val="center"/>
          </w:tcPr>
          <w:p>
            <w:pPr>
              <w:spacing w:line="240" w:lineRule="auto"/>
              <w:ind w:firstLine="0" w:firstLineChars="0"/>
              <w:jc w:val="center"/>
              <w:rPr>
                <w:sz w:val="21"/>
                <w:szCs w:val="21"/>
              </w:rPr>
            </w:pPr>
            <w:r>
              <w:rPr>
                <w:sz w:val="21"/>
                <w:szCs w:val="21"/>
              </w:rPr>
              <w:t>1.8212</w:t>
            </w:r>
          </w:p>
        </w:tc>
        <w:tc>
          <w:tcPr>
            <w:tcW w:w="913" w:type="dxa"/>
            <w:gridSpan w:val="2"/>
            <w:vAlign w:val="center"/>
          </w:tcPr>
          <w:p>
            <w:pPr>
              <w:spacing w:line="240" w:lineRule="auto"/>
              <w:ind w:firstLine="0" w:firstLineChars="0"/>
              <w:jc w:val="center"/>
              <w:rPr>
                <w:sz w:val="21"/>
                <w:szCs w:val="21"/>
              </w:rPr>
            </w:pPr>
            <w:r>
              <w:rPr>
                <w:sz w:val="21"/>
                <w:szCs w:val="21"/>
              </w:rPr>
              <w:t>0.0000</w:t>
            </w:r>
          </w:p>
        </w:tc>
        <w:tc>
          <w:tcPr>
            <w:tcW w:w="1078" w:type="dxa"/>
            <w:gridSpan w:val="3"/>
            <w:vAlign w:val="center"/>
          </w:tcPr>
          <w:p>
            <w:pPr>
              <w:spacing w:line="240" w:lineRule="auto"/>
              <w:ind w:firstLine="0" w:firstLineChars="0"/>
              <w:jc w:val="center"/>
              <w:rPr>
                <w:sz w:val="21"/>
                <w:szCs w:val="21"/>
              </w:rPr>
            </w:pPr>
            <w:r>
              <w:rPr>
                <w:sz w:val="21"/>
                <w:szCs w:val="21"/>
              </w:rPr>
              <w:t>1.8212</w:t>
            </w:r>
          </w:p>
        </w:tc>
        <w:tc>
          <w:tcPr>
            <w:tcW w:w="1069" w:type="dxa"/>
            <w:vAlign w:val="center"/>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4240" w:type="dxa"/>
            <w:gridSpan w:val="5"/>
            <w:vAlign w:val="center"/>
          </w:tcPr>
          <w:p>
            <w:pPr>
              <w:spacing w:line="240" w:lineRule="auto"/>
              <w:ind w:firstLine="0" w:firstLineChars="0"/>
              <w:jc w:val="center"/>
              <w:rPr>
                <w:sz w:val="21"/>
                <w:szCs w:val="21"/>
              </w:rPr>
            </w:pPr>
            <w:r>
              <w:rPr>
                <w:sz w:val="21"/>
                <w:szCs w:val="21"/>
              </w:rPr>
              <w:t>合计</w:t>
            </w:r>
          </w:p>
        </w:tc>
        <w:tc>
          <w:tcPr>
            <w:tcW w:w="1037" w:type="dxa"/>
            <w:gridSpan w:val="2"/>
            <w:vAlign w:val="center"/>
          </w:tcPr>
          <w:p>
            <w:pPr>
              <w:spacing w:line="240" w:lineRule="auto"/>
              <w:ind w:firstLine="0" w:firstLineChars="0"/>
              <w:jc w:val="center"/>
              <w:rPr>
                <w:bCs/>
                <w:sz w:val="21"/>
                <w:szCs w:val="21"/>
              </w:rPr>
            </w:pPr>
            <w:r>
              <w:rPr>
                <w:rFonts w:hint="eastAsia"/>
                <w:bCs/>
                <w:sz w:val="21"/>
                <w:szCs w:val="21"/>
              </w:rPr>
              <w:t>4.3908</w:t>
            </w:r>
          </w:p>
        </w:tc>
        <w:tc>
          <w:tcPr>
            <w:tcW w:w="913" w:type="dxa"/>
            <w:gridSpan w:val="2"/>
            <w:vAlign w:val="center"/>
          </w:tcPr>
          <w:p>
            <w:pPr>
              <w:widowControl/>
              <w:snapToGrid w:val="0"/>
              <w:spacing w:line="240" w:lineRule="auto"/>
              <w:ind w:firstLine="0" w:firstLineChars="0"/>
              <w:jc w:val="center"/>
              <w:rPr>
                <w:bCs/>
                <w:kern w:val="0"/>
                <w:sz w:val="21"/>
                <w:szCs w:val="21"/>
                <w:lang w:bidi="ar"/>
              </w:rPr>
            </w:pPr>
            <w:r>
              <w:rPr>
                <w:bCs/>
                <w:kern w:val="0"/>
                <w:sz w:val="21"/>
                <w:szCs w:val="21"/>
                <w:lang w:bidi="ar"/>
              </w:rPr>
              <w:t>0.0000</w:t>
            </w:r>
          </w:p>
        </w:tc>
        <w:tc>
          <w:tcPr>
            <w:tcW w:w="1078" w:type="dxa"/>
            <w:gridSpan w:val="3"/>
            <w:vAlign w:val="center"/>
          </w:tcPr>
          <w:p>
            <w:pPr>
              <w:widowControl/>
              <w:snapToGrid w:val="0"/>
              <w:spacing w:line="240" w:lineRule="auto"/>
              <w:ind w:firstLine="0" w:firstLineChars="0"/>
              <w:jc w:val="center"/>
              <w:rPr>
                <w:kern w:val="0"/>
                <w:sz w:val="21"/>
                <w:szCs w:val="21"/>
                <w:lang w:bidi="ar"/>
              </w:rPr>
            </w:pPr>
            <w:r>
              <w:rPr>
                <w:rFonts w:hint="eastAsia"/>
                <w:bCs/>
                <w:sz w:val="21"/>
                <w:szCs w:val="21"/>
              </w:rPr>
              <w:t>4.3908</w:t>
            </w:r>
          </w:p>
        </w:tc>
        <w:tc>
          <w:tcPr>
            <w:tcW w:w="1069" w:type="dxa"/>
            <w:vAlign w:val="center"/>
          </w:tcPr>
          <w:p>
            <w:pPr>
              <w:widowControl/>
              <w:snapToGrid w:val="0"/>
              <w:spacing w:line="240" w:lineRule="auto"/>
              <w:ind w:firstLine="0" w:firstLineChars="0"/>
              <w:jc w:val="center"/>
              <w:rPr>
                <w:kern w:val="0"/>
                <w:sz w:val="21"/>
                <w:szCs w:val="21"/>
                <w:lang w:bidi="ar"/>
              </w:rPr>
            </w:pPr>
            <w:r>
              <w:rPr>
                <w:kern w:val="0"/>
                <w:sz w:val="21"/>
                <w:szCs w:val="21"/>
                <w:lang w:bidi="ar"/>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restart"/>
            <w:vAlign w:val="center"/>
          </w:tcPr>
          <w:p>
            <w:pPr>
              <w:spacing w:line="240" w:lineRule="auto"/>
              <w:ind w:firstLine="0" w:firstLineChars="0"/>
              <w:jc w:val="center"/>
              <w:rPr>
                <w:rFonts w:eastAsia="黑体"/>
                <w:bCs/>
                <w:sz w:val="21"/>
                <w:szCs w:val="21"/>
              </w:rPr>
            </w:pPr>
            <w:r>
              <w:rPr>
                <w:rFonts w:eastAsia="黑体"/>
                <w:bCs/>
                <w:sz w:val="21"/>
                <w:szCs w:val="21"/>
              </w:rPr>
              <w:t>复垦</w:t>
            </w:r>
          </w:p>
          <w:p>
            <w:pPr>
              <w:spacing w:line="240" w:lineRule="auto"/>
              <w:ind w:firstLine="0" w:firstLineChars="0"/>
              <w:jc w:val="center"/>
              <w:rPr>
                <w:rFonts w:eastAsia="黑体"/>
                <w:bCs/>
                <w:sz w:val="21"/>
                <w:szCs w:val="21"/>
              </w:rPr>
            </w:pPr>
            <w:r>
              <w:rPr>
                <w:rFonts w:eastAsia="黑体"/>
                <w:bCs/>
                <w:sz w:val="21"/>
                <w:szCs w:val="21"/>
              </w:rPr>
              <w:t>责任</w:t>
            </w:r>
          </w:p>
          <w:p>
            <w:pPr>
              <w:spacing w:line="240" w:lineRule="auto"/>
              <w:ind w:firstLine="0" w:firstLineChars="0"/>
              <w:jc w:val="center"/>
              <w:rPr>
                <w:rFonts w:eastAsia="黑体"/>
                <w:bCs/>
                <w:sz w:val="21"/>
                <w:szCs w:val="21"/>
              </w:rPr>
            </w:pPr>
            <w:r>
              <w:rPr>
                <w:rFonts w:eastAsia="黑体"/>
                <w:bCs/>
                <w:sz w:val="21"/>
                <w:szCs w:val="21"/>
              </w:rPr>
              <w:t>范围</w:t>
            </w:r>
          </w:p>
          <w:p>
            <w:pPr>
              <w:spacing w:line="240" w:lineRule="auto"/>
              <w:ind w:firstLine="0" w:firstLineChars="0"/>
              <w:jc w:val="center"/>
              <w:rPr>
                <w:rFonts w:eastAsia="黑体"/>
                <w:bCs/>
                <w:sz w:val="21"/>
                <w:szCs w:val="21"/>
              </w:rPr>
            </w:pPr>
            <w:r>
              <w:rPr>
                <w:rFonts w:eastAsia="黑体"/>
                <w:bCs/>
                <w:sz w:val="21"/>
                <w:szCs w:val="21"/>
              </w:rPr>
              <w:t>内土</w:t>
            </w:r>
          </w:p>
          <w:p>
            <w:pPr>
              <w:spacing w:line="240" w:lineRule="auto"/>
              <w:ind w:firstLine="0" w:firstLineChars="0"/>
              <w:jc w:val="center"/>
              <w:rPr>
                <w:rFonts w:eastAsia="黑体"/>
                <w:bCs/>
                <w:sz w:val="21"/>
                <w:szCs w:val="21"/>
              </w:rPr>
            </w:pPr>
            <w:r>
              <w:rPr>
                <w:rFonts w:eastAsia="黑体"/>
                <w:bCs/>
                <w:sz w:val="21"/>
                <w:szCs w:val="21"/>
              </w:rPr>
              <w:t>地损</w:t>
            </w:r>
          </w:p>
          <w:p>
            <w:pPr>
              <w:spacing w:line="240" w:lineRule="auto"/>
              <w:ind w:firstLine="0" w:firstLineChars="0"/>
              <w:jc w:val="center"/>
              <w:rPr>
                <w:rFonts w:eastAsia="黑体"/>
                <w:bCs/>
                <w:sz w:val="21"/>
                <w:szCs w:val="21"/>
              </w:rPr>
            </w:pPr>
            <w:r>
              <w:rPr>
                <w:rFonts w:eastAsia="黑体"/>
                <w:bCs/>
                <w:sz w:val="21"/>
                <w:szCs w:val="21"/>
              </w:rPr>
              <w:t>毁及</w:t>
            </w:r>
          </w:p>
          <w:p>
            <w:pPr>
              <w:spacing w:line="240" w:lineRule="auto"/>
              <w:ind w:firstLine="0" w:firstLineChars="0"/>
              <w:jc w:val="center"/>
              <w:rPr>
                <w:rFonts w:eastAsia="黑体"/>
                <w:bCs/>
                <w:sz w:val="21"/>
                <w:szCs w:val="21"/>
              </w:rPr>
            </w:pPr>
            <w:r>
              <w:rPr>
                <w:rFonts w:eastAsia="黑体"/>
                <w:bCs/>
                <w:sz w:val="21"/>
                <w:szCs w:val="21"/>
              </w:rPr>
              <w:t>占用</w:t>
            </w:r>
          </w:p>
          <w:p>
            <w:pPr>
              <w:spacing w:line="240" w:lineRule="auto"/>
              <w:ind w:firstLine="0" w:firstLineChars="0"/>
              <w:jc w:val="center"/>
              <w:rPr>
                <w:rFonts w:eastAsia="黑体"/>
                <w:bCs/>
                <w:spacing w:val="-10"/>
                <w:sz w:val="21"/>
                <w:szCs w:val="21"/>
              </w:rPr>
            </w:pPr>
            <w:r>
              <w:rPr>
                <w:rFonts w:eastAsia="黑体"/>
                <w:bCs/>
                <w:sz w:val="21"/>
                <w:szCs w:val="21"/>
              </w:rPr>
              <w:t>面积</w:t>
            </w:r>
          </w:p>
        </w:tc>
        <w:tc>
          <w:tcPr>
            <w:tcW w:w="4240" w:type="dxa"/>
            <w:gridSpan w:val="5"/>
            <w:vMerge w:val="restart"/>
            <w:vAlign w:val="center"/>
          </w:tcPr>
          <w:p>
            <w:pPr>
              <w:spacing w:line="240" w:lineRule="auto"/>
              <w:ind w:firstLine="0" w:firstLineChars="0"/>
              <w:jc w:val="center"/>
              <w:rPr>
                <w:bCs/>
                <w:sz w:val="21"/>
                <w:szCs w:val="21"/>
              </w:rPr>
            </w:pPr>
            <w:r>
              <w:rPr>
                <w:bCs/>
                <w:sz w:val="21"/>
                <w:szCs w:val="21"/>
              </w:rPr>
              <w:t>类型</w:t>
            </w:r>
          </w:p>
        </w:tc>
        <w:tc>
          <w:tcPr>
            <w:tcW w:w="4097" w:type="dxa"/>
            <w:gridSpan w:val="8"/>
            <w:tcBorders>
              <w:bottom w:val="single" w:color="auto" w:sz="4" w:space="0"/>
            </w:tcBorders>
            <w:vAlign w:val="center"/>
          </w:tcPr>
          <w:p>
            <w:pPr>
              <w:spacing w:line="240" w:lineRule="auto"/>
              <w:ind w:firstLine="0" w:firstLineChars="0"/>
              <w:jc w:val="center"/>
              <w:rPr>
                <w:bCs/>
                <w:sz w:val="21"/>
                <w:szCs w:val="21"/>
              </w:rPr>
            </w:pPr>
            <w:r>
              <w:rPr>
                <w:bCs/>
                <w:sz w:val="21"/>
                <w:szCs w:val="21"/>
              </w:rPr>
              <w:t>面积（hm</w:t>
            </w:r>
            <w:r>
              <w:rPr>
                <w:bCs/>
                <w:sz w:val="21"/>
                <w:szCs w:val="21"/>
                <w:vertAlign w:val="superscript"/>
              </w:rPr>
              <w:t>2</w:t>
            </w: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4240" w:type="dxa"/>
            <w:gridSpan w:val="5"/>
            <w:vMerge w:val="continue"/>
            <w:vAlign w:val="center"/>
          </w:tcPr>
          <w:p>
            <w:pPr>
              <w:widowControl/>
              <w:spacing w:line="240" w:lineRule="auto"/>
              <w:ind w:firstLine="0" w:firstLineChars="0"/>
              <w:jc w:val="center"/>
              <w:rPr>
                <w:bCs/>
                <w:sz w:val="21"/>
                <w:szCs w:val="21"/>
              </w:rPr>
            </w:pPr>
          </w:p>
        </w:tc>
        <w:tc>
          <w:tcPr>
            <w:tcW w:w="1037" w:type="dxa"/>
            <w:gridSpan w:val="2"/>
            <w:tcBorders>
              <w:top w:val="single" w:color="auto" w:sz="4" w:space="0"/>
            </w:tcBorders>
            <w:vAlign w:val="center"/>
          </w:tcPr>
          <w:p>
            <w:pPr>
              <w:widowControl/>
              <w:spacing w:line="240" w:lineRule="auto"/>
              <w:ind w:firstLine="0" w:firstLineChars="0"/>
              <w:jc w:val="center"/>
              <w:rPr>
                <w:bCs/>
                <w:sz w:val="21"/>
                <w:szCs w:val="21"/>
              </w:rPr>
            </w:pPr>
            <w:r>
              <w:rPr>
                <w:bCs/>
                <w:sz w:val="21"/>
                <w:szCs w:val="21"/>
              </w:rPr>
              <w:t>小计</w:t>
            </w:r>
          </w:p>
        </w:tc>
        <w:tc>
          <w:tcPr>
            <w:tcW w:w="1486" w:type="dxa"/>
            <w:gridSpan w:val="4"/>
            <w:tcBorders>
              <w:top w:val="single" w:color="auto" w:sz="4" w:space="0"/>
            </w:tcBorders>
            <w:vAlign w:val="center"/>
          </w:tcPr>
          <w:p>
            <w:pPr>
              <w:spacing w:line="240" w:lineRule="auto"/>
              <w:ind w:firstLine="0" w:firstLineChars="0"/>
              <w:jc w:val="center"/>
              <w:rPr>
                <w:bCs/>
                <w:sz w:val="21"/>
                <w:szCs w:val="21"/>
              </w:rPr>
            </w:pPr>
            <w:r>
              <w:rPr>
                <w:bCs/>
                <w:sz w:val="21"/>
                <w:szCs w:val="21"/>
              </w:rPr>
              <w:t>已损毁</w:t>
            </w:r>
          </w:p>
        </w:tc>
        <w:tc>
          <w:tcPr>
            <w:tcW w:w="1574" w:type="dxa"/>
            <w:gridSpan w:val="2"/>
            <w:tcBorders>
              <w:top w:val="single" w:color="auto" w:sz="4" w:space="0"/>
            </w:tcBorders>
            <w:vAlign w:val="center"/>
          </w:tcPr>
          <w:p>
            <w:pPr>
              <w:spacing w:line="240" w:lineRule="auto"/>
              <w:ind w:firstLine="0" w:firstLineChars="0"/>
              <w:jc w:val="center"/>
              <w:rPr>
                <w:bCs/>
                <w:sz w:val="21"/>
                <w:szCs w:val="21"/>
              </w:rPr>
            </w:pPr>
            <w:r>
              <w:rPr>
                <w:bCs/>
                <w:sz w:val="21"/>
                <w:szCs w:val="21"/>
              </w:rPr>
              <w:t>拟损毁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680" w:type="dxa"/>
            <w:vMerge w:val="restart"/>
            <w:vAlign w:val="center"/>
          </w:tcPr>
          <w:p>
            <w:pPr>
              <w:spacing w:line="240" w:lineRule="auto"/>
              <w:ind w:firstLine="0" w:firstLineChars="0"/>
              <w:jc w:val="center"/>
              <w:rPr>
                <w:bCs/>
                <w:sz w:val="21"/>
                <w:szCs w:val="21"/>
              </w:rPr>
            </w:pPr>
            <w:r>
              <w:rPr>
                <w:bCs/>
                <w:sz w:val="21"/>
                <w:szCs w:val="21"/>
              </w:rPr>
              <w:t>损毁</w:t>
            </w:r>
          </w:p>
        </w:tc>
        <w:tc>
          <w:tcPr>
            <w:tcW w:w="3560" w:type="dxa"/>
            <w:gridSpan w:val="4"/>
            <w:vAlign w:val="center"/>
          </w:tcPr>
          <w:p>
            <w:pPr>
              <w:spacing w:line="240" w:lineRule="auto"/>
              <w:ind w:firstLine="0" w:firstLineChars="0"/>
              <w:jc w:val="center"/>
              <w:rPr>
                <w:sz w:val="21"/>
                <w:szCs w:val="21"/>
              </w:rPr>
            </w:pPr>
            <w:r>
              <w:rPr>
                <w:rFonts w:hint="eastAsia"/>
                <w:sz w:val="21"/>
                <w:szCs w:val="21"/>
              </w:rPr>
              <w:t>挖损</w:t>
            </w:r>
          </w:p>
        </w:tc>
        <w:tc>
          <w:tcPr>
            <w:tcW w:w="1037" w:type="dxa"/>
            <w:gridSpan w:val="2"/>
            <w:vAlign w:val="center"/>
          </w:tcPr>
          <w:p>
            <w:pPr>
              <w:spacing w:line="240" w:lineRule="auto"/>
              <w:ind w:firstLine="0" w:firstLineChars="0"/>
              <w:jc w:val="center"/>
              <w:rPr>
                <w:sz w:val="21"/>
                <w:szCs w:val="21"/>
              </w:rPr>
            </w:pPr>
            <w:r>
              <w:rPr>
                <w:rFonts w:hint="eastAsia"/>
                <w:sz w:val="21"/>
                <w:szCs w:val="21"/>
              </w:rPr>
              <w:t>4.3908</w:t>
            </w:r>
          </w:p>
        </w:tc>
        <w:tc>
          <w:tcPr>
            <w:tcW w:w="1486" w:type="dxa"/>
            <w:gridSpan w:val="4"/>
            <w:vAlign w:val="center"/>
          </w:tcPr>
          <w:p>
            <w:pPr>
              <w:spacing w:line="240" w:lineRule="auto"/>
              <w:ind w:firstLine="0" w:firstLineChars="0"/>
              <w:jc w:val="center"/>
              <w:rPr>
                <w:sz w:val="21"/>
                <w:szCs w:val="21"/>
              </w:rPr>
            </w:pPr>
            <w:r>
              <w:rPr>
                <w:sz w:val="21"/>
                <w:szCs w:val="21"/>
              </w:rPr>
              <w:t>0.0000</w:t>
            </w:r>
          </w:p>
        </w:tc>
        <w:tc>
          <w:tcPr>
            <w:tcW w:w="1574" w:type="dxa"/>
            <w:gridSpan w:val="2"/>
            <w:vAlign w:val="center"/>
          </w:tcPr>
          <w:p>
            <w:pPr>
              <w:spacing w:line="240" w:lineRule="auto"/>
              <w:ind w:firstLine="0" w:firstLineChars="0"/>
              <w:jc w:val="center"/>
              <w:rPr>
                <w:sz w:val="21"/>
                <w:szCs w:val="21"/>
              </w:rPr>
            </w:pPr>
            <w:r>
              <w:rPr>
                <w:rFonts w:hint="eastAsia"/>
                <w:sz w:val="21"/>
                <w:szCs w:val="21"/>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680" w:type="dxa"/>
            <w:vMerge w:val="continue"/>
            <w:vAlign w:val="center"/>
          </w:tcPr>
          <w:p>
            <w:pPr>
              <w:spacing w:line="240" w:lineRule="auto"/>
              <w:ind w:firstLine="0" w:firstLineChars="0"/>
              <w:jc w:val="center"/>
              <w:rPr>
                <w:bCs/>
                <w:sz w:val="21"/>
                <w:szCs w:val="21"/>
              </w:rPr>
            </w:pPr>
          </w:p>
        </w:tc>
        <w:tc>
          <w:tcPr>
            <w:tcW w:w="3560" w:type="dxa"/>
            <w:gridSpan w:val="4"/>
            <w:vAlign w:val="center"/>
          </w:tcPr>
          <w:p>
            <w:pPr>
              <w:spacing w:line="240" w:lineRule="auto"/>
              <w:ind w:firstLine="0" w:firstLineChars="0"/>
              <w:jc w:val="center"/>
              <w:rPr>
                <w:sz w:val="21"/>
                <w:szCs w:val="21"/>
              </w:rPr>
            </w:pPr>
            <w:r>
              <w:rPr>
                <w:sz w:val="21"/>
                <w:szCs w:val="21"/>
              </w:rPr>
              <w:t>塌陷</w:t>
            </w:r>
          </w:p>
        </w:tc>
        <w:tc>
          <w:tcPr>
            <w:tcW w:w="1037" w:type="dxa"/>
            <w:gridSpan w:val="2"/>
            <w:vAlign w:val="center"/>
          </w:tcPr>
          <w:p>
            <w:pPr>
              <w:spacing w:line="240" w:lineRule="auto"/>
              <w:ind w:firstLine="0" w:firstLineChars="0"/>
              <w:jc w:val="center"/>
              <w:rPr>
                <w:sz w:val="21"/>
                <w:szCs w:val="21"/>
              </w:rPr>
            </w:pPr>
            <w:r>
              <w:rPr>
                <w:sz w:val="21"/>
                <w:szCs w:val="21"/>
              </w:rPr>
              <w:t>0.0000</w:t>
            </w:r>
          </w:p>
        </w:tc>
        <w:tc>
          <w:tcPr>
            <w:tcW w:w="1486" w:type="dxa"/>
            <w:gridSpan w:val="4"/>
          </w:tcPr>
          <w:p>
            <w:pPr>
              <w:spacing w:line="240" w:lineRule="auto"/>
              <w:ind w:firstLine="0" w:firstLineChars="0"/>
              <w:jc w:val="center"/>
            </w:pPr>
            <w:r>
              <w:rPr>
                <w:sz w:val="21"/>
                <w:szCs w:val="21"/>
              </w:rPr>
              <w:t>0.0000</w:t>
            </w:r>
          </w:p>
        </w:tc>
        <w:tc>
          <w:tcPr>
            <w:tcW w:w="1574" w:type="dxa"/>
            <w:gridSpan w:val="2"/>
          </w:tcPr>
          <w:p>
            <w:pPr>
              <w:spacing w:line="240" w:lineRule="auto"/>
              <w:ind w:firstLine="0" w:firstLineChars="0"/>
              <w:jc w:val="cente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680" w:type="dxa"/>
            <w:vMerge w:val="continue"/>
            <w:vAlign w:val="center"/>
          </w:tcPr>
          <w:p>
            <w:pPr>
              <w:spacing w:line="240" w:lineRule="auto"/>
              <w:ind w:firstLine="0" w:firstLineChars="0"/>
              <w:jc w:val="center"/>
              <w:rPr>
                <w:bCs/>
                <w:sz w:val="21"/>
                <w:szCs w:val="21"/>
              </w:rPr>
            </w:pPr>
          </w:p>
        </w:tc>
        <w:tc>
          <w:tcPr>
            <w:tcW w:w="3560" w:type="dxa"/>
            <w:gridSpan w:val="4"/>
            <w:vAlign w:val="center"/>
          </w:tcPr>
          <w:p>
            <w:pPr>
              <w:spacing w:line="240" w:lineRule="auto"/>
              <w:ind w:firstLine="0" w:firstLineChars="0"/>
              <w:jc w:val="center"/>
              <w:rPr>
                <w:sz w:val="21"/>
                <w:szCs w:val="21"/>
              </w:rPr>
            </w:pPr>
            <w:r>
              <w:rPr>
                <w:sz w:val="21"/>
                <w:szCs w:val="21"/>
              </w:rPr>
              <w:t>…</w:t>
            </w:r>
          </w:p>
        </w:tc>
        <w:tc>
          <w:tcPr>
            <w:tcW w:w="1037" w:type="dxa"/>
            <w:gridSpan w:val="2"/>
            <w:vAlign w:val="center"/>
          </w:tcPr>
          <w:p>
            <w:pPr>
              <w:spacing w:line="240" w:lineRule="auto"/>
              <w:ind w:firstLine="0" w:firstLineChars="0"/>
              <w:jc w:val="center"/>
              <w:rPr>
                <w:sz w:val="21"/>
                <w:szCs w:val="21"/>
              </w:rPr>
            </w:pPr>
            <w:r>
              <w:rPr>
                <w:sz w:val="21"/>
                <w:szCs w:val="21"/>
              </w:rPr>
              <w:t>0.0000</w:t>
            </w:r>
          </w:p>
        </w:tc>
        <w:tc>
          <w:tcPr>
            <w:tcW w:w="1486" w:type="dxa"/>
            <w:gridSpan w:val="4"/>
          </w:tcPr>
          <w:p>
            <w:pPr>
              <w:spacing w:line="240" w:lineRule="auto"/>
              <w:ind w:firstLine="0" w:firstLineChars="0"/>
              <w:jc w:val="center"/>
            </w:pPr>
            <w:r>
              <w:rPr>
                <w:sz w:val="21"/>
                <w:szCs w:val="21"/>
              </w:rPr>
              <w:t>0.0000</w:t>
            </w:r>
          </w:p>
        </w:tc>
        <w:tc>
          <w:tcPr>
            <w:tcW w:w="1574" w:type="dxa"/>
            <w:gridSpan w:val="2"/>
          </w:tcPr>
          <w:p>
            <w:pPr>
              <w:spacing w:line="240" w:lineRule="auto"/>
              <w:ind w:firstLine="0" w:firstLineChars="0"/>
              <w:jc w:val="cente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4240" w:type="dxa"/>
            <w:gridSpan w:val="5"/>
            <w:vAlign w:val="center"/>
          </w:tcPr>
          <w:p>
            <w:pPr>
              <w:spacing w:line="240" w:lineRule="auto"/>
              <w:ind w:firstLine="0" w:firstLineChars="0"/>
              <w:jc w:val="center"/>
              <w:rPr>
                <w:sz w:val="21"/>
                <w:szCs w:val="21"/>
              </w:rPr>
            </w:pPr>
            <w:r>
              <w:rPr>
                <w:sz w:val="21"/>
                <w:szCs w:val="21"/>
              </w:rPr>
              <w:t>占用</w:t>
            </w:r>
          </w:p>
        </w:tc>
        <w:tc>
          <w:tcPr>
            <w:tcW w:w="1037" w:type="dxa"/>
            <w:gridSpan w:val="2"/>
            <w:vAlign w:val="center"/>
          </w:tcPr>
          <w:p>
            <w:pPr>
              <w:spacing w:line="240" w:lineRule="auto"/>
              <w:ind w:firstLine="0" w:firstLineChars="0"/>
              <w:jc w:val="center"/>
              <w:rPr>
                <w:sz w:val="21"/>
                <w:szCs w:val="21"/>
              </w:rPr>
            </w:pPr>
            <w:r>
              <w:rPr>
                <w:sz w:val="21"/>
                <w:szCs w:val="21"/>
              </w:rPr>
              <w:t>0.0000</w:t>
            </w:r>
          </w:p>
        </w:tc>
        <w:tc>
          <w:tcPr>
            <w:tcW w:w="1486" w:type="dxa"/>
            <w:gridSpan w:val="4"/>
          </w:tcPr>
          <w:p>
            <w:pPr>
              <w:spacing w:line="240" w:lineRule="auto"/>
              <w:ind w:firstLine="0" w:firstLineChars="0"/>
              <w:jc w:val="center"/>
            </w:pPr>
            <w:r>
              <w:rPr>
                <w:sz w:val="21"/>
                <w:szCs w:val="21"/>
              </w:rPr>
              <w:t>0.0000</w:t>
            </w:r>
          </w:p>
        </w:tc>
        <w:tc>
          <w:tcPr>
            <w:tcW w:w="1574" w:type="dxa"/>
            <w:gridSpan w:val="2"/>
          </w:tcPr>
          <w:p>
            <w:pPr>
              <w:spacing w:line="240" w:lineRule="auto"/>
              <w:ind w:firstLine="0" w:firstLineChars="0"/>
              <w:jc w:val="center"/>
              <w:rPr>
                <w:sz w:val="21"/>
                <w:szCs w:val="21"/>
              </w:rPr>
            </w:pPr>
            <w:r>
              <w:rPr>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pacing w:val="-10"/>
                <w:sz w:val="21"/>
                <w:szCs w:val="21"/>
              </w:rPr>
            </w:pPr>
          </w:p>
        </w:tc>
        <w:tc>
          <w:tcPr>
            <w:tcW w:w="4240" w:type="dxa"/>
            <w:gridSpan w:val="5"/>
            <w:vAlign w:val="center"/>
          </w:tcPr>
          <w:p>
            <w:pPr>
              <w:spacing w:line="240" w:lineRule="auto"/>
              <w:ind w:firstLine="0" w:firstLineChars="0"/>
              <w:jc w:val="center"/>
              <w:rPr>
                <w:sz w:val="21"/>
                <w:szCs w:val="21"/>
              </w:rPr>
            </w:pPr>
            <w:r>
              <w:rPr>
                <w:b/>
                <w:bCs/>
                <w:sz w:val="21"/>
                <w:szCs w:val="21"/>
              </w:rPr>
              <w:t>合计</w:t>
            </w:r>
          </w:p>
        </w:tc>
        <w:tc>
          <w:tcPr>
            <w:tcW w:w="1037" w:type="dxa"/>
            <w:gridSpan w:val="2"/>
            <w:vAlign w:val="center"/>
          </w:tcPr>
          <w:p>
            <w:pPr>
              <w:spacing w:line="240" w:lineRule="auto"/>
              <w:ind w:firstLine="0" w:firstLineChars="0"/>
              <w:jc w:val="center"/>
              <w:rPr>
                <w:sz w:val="21"/>
                <w:szCs w:val="21"/>
              </w:rPr>
            </w:pPr>
            <w:r>
              <w:rPr>
                <w:rFonts w:hint="eastAsia"/>
                <w:b/>
                <w:bCs/>
                <w:sz w:val="21"/>
                <w:szCs w:val="21"/>
              </w:rPr>
              <w:t>4.3908</w:t>
            </w:r>
          </w:p>
        </w:tc>
        <w:tc>
          <w:tcPr>
            <w:tcW w:w="1486" w:type="dxa"/>
            <w:gridSpan w:val="4"/>
            <w:vAlign w:val="center"/>
          </w:tcPr>
          <w:p>
            <w:pPr>
              <w:spacing w:line="240" w:lineRule="auto"/>
              <w:ind w:firstLine="0" w:firstLineChars="0"/>
              <w:jc w:val="center"/>
              <w:rPr>
                <w:b/>
                <w:bCs/>
                <w:sz w:val="21"/>
                <w:szCs w:val="21"/>
              </w:rPr>
            </w:pPr>
            <w:r>
              <w:rPr>
                <w:b/>
                <w:bCs/>
                <w:sz w:val="21"/>
                <w:szCs w:val="21"/>
              </w:rPr>
              <w:t>0.0000</w:t>
            </w:r>
          </w:p>
        </w:tc>
        <w:tc>
          <w:tcPr>
            <w:tcW w:w="1574" w:type="dxa"/>
            <w:gridSpan w:val="2"/>
            <w:vAlign w:val="center"/>
          </w:tcPr>
          <w:p>
            <w:pPr>
              <w:spacing w:line="240" w:lineRule="auto"/>
              <w:ind w:firstLine="0" w:firstLineChars="0"/>
              <w:jc w:val="center"/>
              <w:rPr>
                <w:sz w:val="21"/>
                <w:szCs w:val="21"/>
              </w:rPr>
            </w:pPr>
            <w:r>
              <w:rPr>
                <w:rFonts w:hint="eastAsia"/>
                <w:b/>
                <w:bCs/>
                <w:sz w:val="21"/>
                <w:szCs w:val="21"/>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restart"/>
            <w:vAlign w:val="center"/>
          </w:tcPr>
          <w:p>
            <w:pPr>
              <w:spacing w:line="240" w:lineRule="auto"/>
              <w:ind w:firstLine="0" w:firstLineChars="0"/>
              <w:jc w:val="center"/>
              <w:rPr>
                <w:rFonts w:eastAsia="黑体"/>
                <w:bCs/>
                <w:sz w:val="21"/>
                <w:szCs w:val="21"/>
              </w:rPr>
            </w:pPr>
            <w:r>
              <w:rPr>
                <w:rFonts w:eastAsia="黑体"/>
                <w:bCs/>
                <w:sz w:val="21"/>
                <w:szCs w:val="21"/>
              </w:rPr>
              <w:t>复</w:t>
            </w:r>
          </w:p>
          <w:p>
            <w:pPr>
              <w:spacing w:line="240" w:lineRule="auto"/>
              <w:ind w:firstLine="0" w:firstLineChars="0"/>
              <w:jc w:val="center"/>
              <w:rPr>
                <w:rFonts w:eastAsia="黑体"/>
                <w:bCs/>
                <w:sz w:val="21"/>
                <w:szCs w:val="21"/>
              </w:rPr>
            </w:pPr>
            <w:r>
              <w:rPr>
                <w:rFonts w:eastAsia="黑体"/>
                <w:bCs/>
                <w:sz w:val="21"/>
                <w:szCs w:val="21"/>
              </w:rPr>
              <w:t>垦</w:t>
            </w:r>
          </w:p>
          <w:p>
            <w:pPr>
              <w:spacing w:line="240" w:lineRule="auto"/>
              <w:ind w:firstLine="0" w:firstLineChars="0"/>
              <w:jc w:val="center"/>
              <w:rPr>
                <w:rFonts w:eastAsia="黑体"/>
                <w:bCs/>
                <w:sz w:val="21"/>
                <w:szCs w:val="21"/>
              </w:rPr>
            </w:pPr>
            <w:r>
              <w:rPr>
                <w:rFonts w:eastAsia="黑体"/>
                <w:bCs/>
                <w:sz w:val="21"/>
                <w:szCs w:val="21"/>
              </w:rPr>
              <w:t>土</w:t>
            </w:r>
          </w:p>
          <w:p>
            <w:pPr>
              <w:spacing w:line="240" w:lineRule="auto"/>
              <w:ind w:firstLine="0" w:firstLineChars="0"/>
              <w:jc w:val="center"/>
              <w:rPr>
                <w:rFonts w:eastAsia="黑体"/>
                <w:bCs/>
                <w:sz w:val="21"/>
                <w:szCs w:val="21"/>
              </w:rPr>
            </w:pPr>
            <w:r>
              <w:rPr>
                <w:rFonts w:eastAsia="黑体"/>
                <w:bCs/>
                <w:sz w:val="21"/>
                <w:szCs w:val="21"/>
              </w:rPr>
              <w:t>地</w:t>
            </w:r>
          </w:p>
          <w:p>
            <w:pPr>
              <w:spacing w:line="240" w:lineRule="auto"/>
              <w:ind w:firstLine="0" w:firstLineChars="0"/>
              <w:jc w:val="center"/>
              <w:rPr>
                <w:rFonts w:eastAsia="黑体"/>
                <w:bCs/>
                <w:sz w:val="21"/>
                <w:szCs w:val="21"/>
              </w:rPr>
            </w:pPr>
            <w:r>
              <w:rPr>
                <w:rFonts w:eastAsia="黑体"/>
                <w:bCs/>
                <w:sz w:val="21"/>
                <w:szCs w:val="21"/>
              </w:rPr>
              <w:t>面</w:t>
            </w:r>
          </w:p>
          <w:p>
            <w:pPr>
              <w:spacing w:line="240" w:lineRule="auto"/>
              <w:ind w:firstLine="0" w:firstLineChars="0"/>
              <w:jc w:val="center"/>
              <w:rPr>
                <w:rFonts w:eastAsia="黑体"/>
                <w:bCs/>
                <w:sz w:val="21"/>
                <w:szCs w:val="21"/>
              </w:rPr>
            </w:pPr>
            <w:r>
              <w:rPr>
                <w:rFonts w:eastAsia="黑体"/>
                <w:bCs/>
                <w:sz w:val="21"/>
                <w:szCs w:val="21"/>
              </w:rPr>
              <w:t>积</w:t>
            </w:r>
          </w:p>
        </w:tc>
        <w:tc>
          <w:tcPr>
            <w:tcW w:w="2277" w:type="dxa"/>
            <w:gridSpan w:val="3"/>
            <w:vMerge w:val="restart"/>
            <w:vAlign w:val="center"/>
          </w:tcPr>
          <w:p>
            <w:pPr>
              <w:snapToGrid w:val="0"/>
              <w:spacing w:line="240" w:lineRule="auto"/>
              <w:ind w:firstLine="0" w:firstLineChars="0"/>
              <w:jc w:val="center"/>
              <w:rPr>
                <w:bCs/>
                <w:sz w:val="21"/>
                <w:szCs w:val="21"/>
              </w:rPr>
            </w:pPr>
            <w:r>
              <w:rPr>
                <w:bCs/>
                <w:sz w:val="21"/>
                <w:szCs w:val="21"/>
              </w:rPr>
              <w:t>一级地类</w:t>
            </w:r>
          </w:p>
        </w:tc>
        <w:tc>
          <w:tcPr>
            <w:tcW w:w="1963" w:type="dxa"/>
            <w:gridSpan w:val="2"/>
            <w:vMerge w:val="restart"/>
            <w:vAlign w:val="center"/>
          </w:tcPr>
          <w:p>
            <w:pPr>
              <w:snapToGrid w:val="0"/>
              <w:spacing w:line="240" w:lineRule="auto"/>
              <w:ind w:firstLine="0" w:firstLineChars="0"/>
              <w:jc w:val="center"/>
              <w:rPr>
                <w:bCs/>
                <w:sz w:val="21"/>
                <w:szCs w:val="21"/>
              </w:rPr>
            </w:pPr>
            <w:r>
              <w:rPr>
                <w:bCs/>
                <w:sz w:val="21"/>
                <w:szCs w:val="21"/>
              </w:rPr>
              <w:t>二级地类</w:t>
            </w:r>
          </w:p>
        </w:tc>
        <w:tc>
          <w:tcPr>
            <w:tcW w:w="4097" w:type="dxa"/>
            <w:gridSpan w:val="8"/>
            <w:vAlign w:val="center"/>
          </w:tcPr>
          <w:p>
            <w:pPr>
              <w:snapToGrid w:val="0"/>
              <w:spacing w:line="240" w:lineRule="auto"/>
              <w:ind w:firstLine="0" w:firstLineChars="0"/>
              <w:jc w:val="center"/>
              <w:rPr>
                <w:bCs/>
                <w:sz w:val="21"/>
                <w:szCs w:val="21"/>
              </w:rPr>
            </w:pPr>
            <w:r>
              <w:rPr>
                <w:bCs/>
                <w:sz w:val="21"/>
                <w:szCs w:val="21"/>
              </w:rPr>
              <w:t>面积（hm</w:t>
            </w:r>
            <w:r>
              <w:rPr>
                <w:bCs/>
                <w:sz w:val="21"/>
                <w:szCs w:val="21"/>
                <w:vertAlign w:val="superscript"/>
              </w:rPr>
              <w:t>2</w:t>
            </w: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Merge w:val="continue"/>
            <w:vAlign w:val="center"/>
          </w:tcPr>
          <w:p>
            <w:pPr>
              <w:snapToGrid w:val="0"/>
              <w:spacing w:line="240" w:lineRule="auto"/>
              <w:ind w:firstLine="0" w:firstLineChars="0"/>
              <w:jc w:val="center"/>
              <w:rPr>
                <w:bCs/>
                <w:sz w:val="21"/>
                <w:szCs w:val="21"/>
              </w:rPr>
            </w:pPr>
          </w:p>
        </w:tc>
        <w:tc>
          <w:tcPr>
            <w:tcW w:w="1963" w:type="dxa"/>
            <w:gridSpan w:val="2"/>
            <w:vMerge w:val="continue"/>
            <w:vAlign w:val="center"/>
          </w:tcPr>
          <w:p>
            <w:pPr>
              <w:snapToGrid w:val="0"/>
              <w:spacing w:line="240" w:lineRule="auto"/>
              <w:ind w:firstLine="0" w:firstLineChars="0"/>
              <w:jc w:val="center"/>
              <w:rPr>
                <w:bCs/>
                <w:sz w:val="21"/>
                <w:szCs w:val="21"/>
              </w:rPr>
            </w:pPr>
          </w:p>
        </w:tc>
        <w:tc>
          <w:tcPr>
            <w:tcW w:w="1950" w:type="dxa"/>
            <w:gridSpan w:val="4"/>
            <w:vAlign w:val="center"/>
          </w:tcPr>
          <w:p>
            <w:pPr>
              <w:snapToGrid w:val="0"/>
              <w:spacing w:line="240" w:lineRule="auto"/>
              <w:ind w:firstLine="0" w:firstLineChars="0"/>
              <w:jc w:val="center"/>
              <w:rPr>
                <w:bCs/>
                <w:sz w:val="21"/>
                <w:szCs w:val="21"/>
              </w:rPr>
            </w:pPr>
            <w:r>
              <w:rPr>
                <w:bCs/>
                <w:sz w:val="21"/>
                <w:szCs w:val="21"/>
              </w:rPr>
              <w:t>已复垦</w:t>
            </w:r>
          </w:p>
        </w:tc>
        <w:tc>
          <w:tcPr>
            <w:tcW w:w="2147" w:type="dxa"/>
            <w:gridSpan w:val="4"/>
            <w:vAlign w:val="center"/>
          </w:tcPr>
          <w:p>
            <w:pPr>
              <w:snapToGrid w:val="0"/>
              <w:spacing w:line="240" w:lineRule="auto"/>
              <w:ind w:firstLine="0" w:firstLineChars="0"/>
              <w:jc w:val="center"/>
              <w:rPr>
                <w:bCs/>
                <w:sz w:val="21"/>
                <w:szCs w:val="21"/>
              </w:rPr>
            </w:pPr>
            <w:r>
              <w:rPr>
                <w:bCs/>
                <w:sz w:val="21"/>
                <w:szCs w:val="21"/>
              </w:rPr>
              <w:t>拟复垦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bCs/>
                <w:sz w:val="21"/>
                <w:szCs w:val="21"/>
              </w:rPr>
            </w:pPr>
            <w:r>
              <w:rPr>
                <w:rFonts w:hint="eastAsia"/>
                <w:sz w:val="21"/>
                <w:szCs w:val="21"/>
              </w:rPr>
              <w:t>耕地</w:t>
            </w:r>
            <w:r>
              <w:rPr>
                <w:sz w:val="21"/>
                <w:szCs w:val="21"/>
              </w:rPr>
              <w:t>01</w:t>
            </w:r>
          </w:p>
        </w:tc>
        <w:tc>
          <w:tcPr>
            <w:tcW w:w="1963" w:type="dxa"/>
            <w:gridSpan w:val="2"/>
            <w:vAlign w:val="center"/>
          </w:tcPr>
          <w:p>
            <w:pPr>
              <w:spacing w:line="240" w:lineRule="auto"/>
              <w:ind w:firstLine="0" w:firstLineChars="0"/>
              <w:jc w:val="center"/>
              <w:rPr>
                <w:bCs/>
                <w:sz w:val="21"/>
                <w:szCs w:val="21"/>
              </w:rPr>
            </w:pPr>
            <w:r>
              <w:rPr>
                <w:rFonts w:hint="eastAsia"/>
                <w:sz w:val="21"/>
                <w:szCs w:val="21"/>
              </w:rPr>
              <w:t>水浇地</w:t>
            </w:r>
            <w:r>
              <w:rPr>
                <w:sz w:val="21"/>
                <w:szCs w:val="21"/>
              </w:rPr>
              <w:t>0102</w:t>
            </w:r>
          </w:p>
        </w:tc>
        <w:tc>
          <w:tcPr>
            <w:tcW w:w="1950" w:type="dxa"/>
            <w:gridSpan w:val="4"/>
            <w:vAlign w:val="center"/>
          </w:tcPr>
          <w:p>
            <w:pPr>
              <w:widowControl/>
              <w:snapToGrid w:val="0"/>
              <w:spacing w:line="240" w:lineRule="auto"/>
              <w:ind w:firstLine="0" w:firstLineChars="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sz w:val="21"/>
                <w:szCs w:val="21"/>
              </w:rPr>
            </w:pPr>
            <w:r>
              <w:rPr>
                <w:sz w:val="21"/>
                <w:szCs w:val="21"/>
              </w:rPr>
              <w:t>0.4026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园地</w:t>
            </w:r>
            <w:r>
              <w:rPr>
                <w:sz w:val="21"/>
                <w:szCs w:val="21"/>
              </w:rPr>
              <w:t>02</w:t>
            </w:r>
          </w:p>
        </w:tc>
        <w:tc>
          <w:tcPr>
            <w:tcW w:w="1963" w:type="dxa"/>
            <w:gridSpan w:val="2"/>
            <w:vAlign w:val="center"/>
          </w:tcPr>
          <w:p>
            <w:pPr>
              <w:spacing w:line="240" w:lineRule="auto"/>
              <w:ind w:firstLine="0" w:firstLineChars="0"/>
              <w:jc w:val="center"/>
              <w:rPr>
                <w:sz w:val="21"/>
                <w:szCs w:val="21"/>
              </w:rPr>
            </w:pPr>
            <w:r>
              <w:rPr>
                <w:rFonts w:hint="eastAsia"/>
                <w:sz w:val="21"/>
                <w:szCs w:val="21"/>
              </w:rPr>
              <w:t>果园</w:t>
            </w:r>
            <w:r>
              <w:rPr>
                <w:sz w:val="21"/>
                <w:szCs w:val="21"/>
              </w:rPr>
              <w:t>0201</w:t>
            </w:r>
          </w:p>
        </w:tc>
        <w:tc>
          <w:tcPr>
            <w:tcW w:w="1950" w:type="dxa"/>
            <w:gridSpan w:val="4"/>
            <w:vAlign w:val="center"/>
          </w:tcPr>
          <w:p>
            <w:pPr>
              <w:widowControl/>
              <w:snapToGrid w:val="0"/>
              <w:spacing w:line="240" w:lineRule="auto"/>
              <w:ind w:firstLine="0" w:firstLineChars="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sz w:val="21"/>
                <w:szCs w:val="21"/>
              </w:rPr>
            </w:pPr>
            <w:r>
              <w:rPr>
                <w:sz w:val="21"/>
                <w:szCs w:val="21"/>
              </w:rPr>
              <w:t>0.6105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Merge w:val="restart"/>
            <w:vAlign w:val="center"/>
          </w:tcPr>
          <w:p>
            <w:pPr>
              <w:spacing w:line="240" w:lineRule="auto"/>
              <w:ind w:firstLine="0" w:firstLineChars="0"/>
              <w:jc w:val="center"/>
              <w:rPr>
                <w:sz w:val="21"/>
                <w:szCs w:val="21"/>
              </w:rPr>
            </w:pPr>
            <w:r>
              <w:rPr>
                <w:rFonts w:hint="eastAsia"/>
                <w:sz w:val="21"/>
                <w:szCs w:val="21"/>
              </w:rPr>
              <w:t>林地</w:t>
            </w:r>
            <w:r>
              <w:rPr>
                <w:sz w:val="21"/>
                <w:szCs w:val="21"/>
              </w:rPr>
              <w:t>03</w:t>
            </w:r>
          </w:p>
        </w:tc>
        <w:tc>
          <w:tcPr>
            <w:tcW w:w="1963" w:type="dxa"/>
            <w:gridSpan w:val="2"/>
            <w:vAlign w:val="center"/>
          </w:tcPr>
          <w:p>
            <w:pPr>
              <w:spacing w:line="240" w:lineRule="auto"/>
              <w:ind w:firstLine="0" w:firstLineChars="0"/>
              <w:jc w:val="center"/>
              <w:rPr>
                <w:sz w:val="21"/>
                <w:szCs w:val="21"/>
              </w:rPr>
            </w:pPr>
            <w:r>
              <w:rPr>
                <w:rFonts w:hint="eastAsia"/>
                <w:sz w:val="21"/>
                <w:szCs w:val="21"/>
              </w:rPr>
              <w:t>乔木林地</w:t>
            </w:r>
            <w:r>
              <w:rPr>
                <w:sz w:val="21"/>
                <w:szCs w:val="21"/>
              </w:rPr>
              <w:t>0301</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Merge w:val="continue"/>
            <w:vAlign w:val="center"/>
          </w:tcPr>
          <w:p>
            <w:pPr>
              <w:spacing w:line="240" w:lineRule="auto"/>
              <w:ind w:firstLine="0" w:firstLineChars="0"/>
              <w:jc w:val="center"/>
              <w:rPr>
                <w:sz w:val="21"/>
                <w:szCs w:val="21"/>
              </w:rPr>
            </w:pPr>
          </w:p>
        </w:tc>
        <w:tc>
          <w:tcPr>
            <w:tcW w:w="1963" w:type="dxa"/>
            <w:gridSpan w:val="2"/>
            <w:vAlign w:val="center"/>
          </w:tcPr>
          <w:p>
            <w:pPr>
              <w:spacing w:line="240" w:lineRule="auto"/>
              <w:ind w:firstLine="0" w:firstLineChars="0"/>
              <w:jc w:val="center"/>
              <w:rPr>
                <w:sz w:val="21"/>
                <w:szCs w:val="21"/>
              </w:rPr>
            </w:pPr>
            <w:r>
              <w:rPr>
                <w:rFonts w:hint="eastAsia"/>
                <w:sz w:val="21"/>
                <w:szCs w:val="21"/>
              </w:rPr>
              <w:t>其他林地</w:t>
            </w:r>
            <w:r>
              <w:rPr>
                <w:sz w:val="21"/>
                <w:szCs w:val="21"/>
              </w:rPr>
              <w:t>0304</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草地</w:t>
            </w:r>
            <w:r>
              <w:rPr>
                <w:sz w:val="21"/>
                <w:szCs w:val="21"/>
              </w:rPr>
              <w:t>04</w:t>
            </w:r>
          </w:p>
        </w:tc>
        <w:tc>
          <w:tcPr>
            <w:tcW w:w="1963" w:type="dxa"/>
            <w:gridSpan w:val="2"/>
            <w:vAlign w:val="center"/>
          </w:tcPr>
          <w:p>
            <w:pPr>
              <w:spacing w:line="240" w:lineRule="auto"/>
              <w:ind w:firstLine="0" w:firstLineChars="0"/>
              <w:jc w:val="center"/>
              <w:rPr>
                <w:sz w:val="21"/>
                <w:szCs w:val="21"/>
              </w:rPr>
            </w:pPr>
            <w:r>
              <w:rPr>
                <w:rFonts w:hint="eastAsia"/>
                <w:sz w:val="21"/>
                <w:szCs w:val="21"/>
              </w:rPr>
              <w:t>其他草地</w:t>
            </w:r>
            <w:r>
              <w:rPr>
                <w:sz w:val="21"/>
                <w:szCs w:val="21"/>
              </w:rPr>
              <w:t>0403</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农业设施建设用地</w:t>
            </w:r>
            <w:r>
              <w:rPr>
                <w:sz w:val="21"/>
                <w:szCs w:val="21"/>
              </w:rPr>
              <w:t>06</w:t>
            </w:r>
          </w:p>
        </w:tc>
        <w:tc>
          <w:tcPr>
            <w:tcW w:w="1963" w:type="dxa"/>
            <w:gridSpan w:val="2"/>
            <w:vAlign w:val="center"/>
          </w:tcPr>
          <w:p>
            <w:pPr>
              <w:spacing w:line="240" w:lineRule="auto"/>
              <w:ind w:firstLine="0" w:firstLineChars="0"/>
              <w:jc w:val="center"/>
              <w:rPr>
                <w:sz w:val="21"/>
                <w:szCs w:val="21"/>
              </w:rPr>
            </w:pPr>
            <w:r>
              <w:rPr>
                <w:rFonts w:hint="eastAsia"/>
                <w:sz w:val="21"/>
                <w:szCs w:val="21"/>
              </w:rPr>
              <w:t>农村道路</w:t>
            </w:r>
            <w:r>
              <w:rPr>
                <w:sz w:val="21"/>
                <w:szCs w:val="21"/>
              </w:rPr>
              <w:t>0601</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1.2099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居住用地</w:t>
            </w:r>
            <w:r>
              <w:rPr>
                <w:sz w:val="21"/>
                <w:szCs w:val="21"/>
              </w:rPr>
              <w:t>07</w:t>
            </w:r>
          </w:p>
        </w:tc>
        <w:tc>
          <w:tcPr>
            <w:tcW w:w="1963" w:type="dxa"/>
            <w:gridSpan w:val="2"/>
            <w:vAlign w:val="center"/>
          </w:tcPr>
          <w:p>
            <w:pPr>
              <w:spacing w:line="240" w:lineRule="auto"/>
              <w:ind w:firstLine="0" w:firstLineChars="0"/>
              <w:jc w:val="center"/>
              <w:rPr>
                <w:sz w:val="21"/>
                <w:szCs w:val="21"/>
              </w:rPr>
            </w:pPr>
            <w:r>
              <w:rPr>
                <w:rFonts w:hint="eastAsia"/>
                <w:sz w:val="21"/>
                <w:szCs w:val="21"/>
              </w:rPr>
              <w:t>农村宅基地0</w:t>
            </w:r>
            <w:r>
              <w:rPr>
                <w:sz w:val="21"/>
                <w:szCs w:val="21"/>
              </w:rPr>
              <w:t>703</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工矿用地</w:t>
            </w:r>
            <w:r>
              <w:rPr>
                <w:sz w:val="21"/>
                <w:szCs w:val="21"/>
              </w:rPr>
              <w:t>10</w:t>
            </w:r>
          </w:p>
        </w:tc>
        <w:tc>
          <w:tcPr>
            <w:tcW w:w="1963" w:type="dxa"/>
            <w:gridSpan w:val="2"/>
            <w:vAlign w:val="center"/>
          </w:tcPr>
          <w:p>
            <w:pPr>
              <w:spacing w:line="240" w:lineRule="auto"/>
              <w:ind w:firstLine="0" w:firstLineChars="0"/>
              <w:jc w:val="center"/>
              <w:rPr>
                <w:sz w:val="21"/>
                <w:szCs w:val="21"/>
              </w:rPr>
            </w:pPr>
            <w:r>
              <w:rPr>
                <w:rFonts w:hint="eastAsia"/>
                <w:sz w:val="21"/>
                <w:szCs w:val="21"/>
              </w:rPr>
              <w:t>采矿用地</w:t>
            </w:r>
            <w:r>
              <w:rPr>
                <w:sz w:val="21"/>
                <w:szCs w:val="21"/>
              </w:rPr>
              <w:t>1002</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交通运输用地</w:t>
            </w:r>
            <w:r>
              <w:rPr>
                <w:sz w:val="21"/>
                <w:szCs w:val="21"/>
              </w:rPr>
              <w:t>12</w:t>
            </w:r>
          </w:p>
        </w:tc>
        <w:tc>
          <w:tcPr>
            <w:tcW w:w="1963" w:type="dxa"/>
            <w:gridSpan w:val="2"/>
            <w:vAlign w:val="center"/>
          </w:tcPr>
          <w:p>
            <w:pPr>
              <w:spacing w:line="240" w:lineRule="auto"/>
              <w:ind w:firstLine="0" w:firstLineChars="0"/>
              <w:jc w:val="center"/>
              <w:rPr>
                <w:sz w:val="21"/>
                <w:szCs w:val="21"/>
              </w:rPr>
            </w:pPr>
            <w:r>
              <w:rPr>
                <w:rFonts w:hint="eastAsia"/>
                <w:sz w:val="21"/>
                <w:szCs w:val="21"/>
              </w:rPr>
              <w:t>公路用地</w:t>
            </w:r>
            <w:r>
              <w:rPr>
                <w:sz w:val="21"/>
                <w:szCs w:val="21"/>
              </w:rPr>
              <w:t>1202</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特殊用地</w:t>
            </w:r>
            <w:r>
              <w:rPr>
                <w:sz w:val="21"/>
                <w:szCs w:val="21"/>
              </w:rPr>
              <w:t>15</w:t>
            </w:r>
          </w:p>
        </w:tc>
        <w:tc>
          <w:tcPr>
            <w:tcW w:w="1963" w:type="dxa"/>
            <w:gridSpan w:val="2"/>
            <w:vAlign w:val="center"/>
          </w:tcPr>
          <w:p>
            <w:pPr>
              <w:spacing w:line="240" w:lineRule="auto"/>
              <w:ind w:firstLine="0" w:firstLineChars="0"/>
              <w:jc w:val="center"/>
              <w:rPr>
                <w:sz w:val="21"/>
                <w:szCs w:val="21"/>
              </w:rPr>
            </w:pPr>
            <w:r>
              <w:rPr>
                <w:rFonts w:hint="eastAsia"/>
                <w:sz w:val="21"/>
                <w:szCs w:val="21"/>
              </w:rPr>
              <w:t>其他特殊用地</w:t>
            </w:r>
            <w:r>
              <w:rPr>
                <w:sz w:val="21"/>
                <w:szCs w:val="21"/>
              </w:rPr>
              <w:t>1507</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0.0476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2277" w:type="dxa"/>
            <w:gridSpan w:val="3"/>
            <w:vAlign w:val="center"/>
          </w:tcPr>
          <w:p>
            <w:pPr>
              <w:spacing w:line="240" w:lineRule="auto"/>
              <w:ind w:firstLine="0" w:firstLineChars="0"/>
              <w:jc w:val="center"/>
              <w:rPr>
                <w:sz w:val="21"/>
                <w:szCs w:val="21"/>
              </w:rPr>
            </w:pPr>
            <w:r>
              <w:rPr>
                <w:rFonts w:hint="eastAsia"/>
                <w:sz w:val="21"/>
                <w:szCs w:val="21"/>
              </w:rPr>
              <w:t>陆地水域</w:t>
            </w:r>
            <w:r>
              <w:rPr>
                <w:sz w:val="21"/>
                <w:szCs w:val="21"/>
              </w:rPr>
              <w:t>17</w:t>
            </w:r>
          </w:p>
        </w:tc>
        <w:tc>
          <w:tcPr>
            <w:tcW w:w="1963" w:type="dxa"/>
            <w:gridSpan w:val="2"/>
            <w:vAlign w:val="center"/>
          </w:tcPr>
          <w:p>
            <w:pPr>
              <w:spacing w:line="240" w:lineRule="auto"/>
              <w:ind w:firstLine="0" w:firstLineChars="0"/>
              <w:jc w:val="center"/>
              <w:rPr>
                <w:sz w:val="21"/>
                <w:szCs w:val="21"/>
              </w:rPr>
            </w:pPr>
            <w:r>
              <w:rPr>
                <w:rFonts w:hint="eastAsia"/>
                <w:sz w:val="21"/>
                <w:szCs w:val="21"/>
              </w:rPr>
              <w:t>沟渠</w:t>
            </w:r>
            <w:r>
              <w:rPr>
                <w:sz w:val="21"/>
                <w:szCs w:val="21"/>
              </w:rPr>
              <w:t>1705</w:t>
            </w:r>
          </w:p>
        </w:tc>
        <w:tc>
          <w:tcPr>
            <w:tcW w:w="1950" w:type="dxa"/>
            <w:gridSpan w:val="4"/>
            <w:vAlign w:val="center"/>
          </w:tcPr>
          <w:p>
            <w:pPr>
              <w:widowControl/>
              <w:snapToGrid w:val="0"/>
              <w:spacing w:line="240" w:lineRule="auto"/>
              <w:ind w:firstLine="420"/>
              <w:jc w:val="center"/>
              <w:rPr>
                <w:sz w:val="21"/>
                <w:szCs w:val="21"/>
              </w:rPr>
            </w:pPr>
            <w:r>
              <w:rPr>
                <w:sz w:val="21"/>
                <w:szCs w:val="21"/>
              </w:rPr>
              <w:t>0.0000</w:t>
            </w:r>
          </w:p>
        </w:tc>
        <w:tc>
          <w:tcPr>
            <w:tcW w:w="2147" w:type="dxa"/>
            <w:gridSpan w:val="4"/>
            <w:vAlign w:val="center"/>
          </w:tcPr>
          <w:p>
            <w:pPr>
              <w:spacing w:line="240" w:lineRule="auto"/>
              <w:ind w:firstLine="0" w:firstLineChars="0"/>
              <w:jc w:val="center"/>
              <w:rPr>
                <w:kern w:val="0"/>
                <w:sz w:val="21"/>
                <w:szCs w:val="21"/>
                <w:lang w:bidi="ar"/>
              </w:rPr>
            </w:pPr>
            <w:r>
              <w:rPr>
                <w:sz w:val="21"/>
                <w:szCs w:val="21"/>
              </w:rPr>
              <w:t>1.8212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Merge w:val="continue"/>
            <w:vAlign w:val="center"/>
          </w:tcPr>
          <w:p>
            <w:pPr>
              <w:widowControl/>
              <w:spacing w:line="240" w:lineRule="auto"/>
              <w:ind w:firstLine="0" w:firstLineChars="0"/>
              <w:jc w:val="center"/>
              <w:rPr>
                <w:rFonts w:eastAsia="黑体"/>
                <w:bCs/>
                <w:sz w:val="21"/>
                <w:szCs w:val="21"/>
              </w:rPr>
            </w:pPr>
          </w:p>
        </w:tc>
        <w:tc>
          <w:tcPr>
            <w:tcW w:w="4240" w:type="dxa"/>
            <w:gridSpan w:val="5"/>
            <w:vAlign w:val="center"/>
          </w:tcPr>
          <w:p>
            <w:pPr>
              <w:snapToGrid w:val="0"/>
              <w:spacing w:line="240" w:lineRule="auto"/>
              <w:ind w:firstLine="0" w:firstLineChars="0"/>
              <w:jc w:val="center"/>
              <w:rPr>
                <w:sz w:val="21"/>
                <w:szCs w:val="21"/>
              </w:rPr>
            </w:pPr>
            <w:r>
              <w:rPr>
                <w:sz w:val="21"/>
                <w:szCs w:val="21"/>
              </w:rPr>
              <w:t>合计</w:t>
            </w:r>
          </w:p>
        </w:tc>
        <w:tc>
          <w:tcPr>
            <w:tcW w:w="1950" w:type="dxa"/>
            <w:gridSpan w:val="4"/>
            <w:vAlign w:val="center"/>
          </w:tcPr>
          <w:p>
            <w:pPr>
              <w:widowControl/>
              <w:snapToGrid w:val="0"/>
              <w:spacing w:line="240" w:lineRule="auto"/>
              <w:ind w:firstLine="0" w:firstLineChars="0"/>
              <w:jc w:val="center"/>
              <w:rPr>
                <w:sz w:val="21"/>
                <w:szCs w:val="21"/>
              </w:rPr>
            </w:pPr>
            <w:r>
              <w:rPr>
                <w:sz w:val="21"/>
                <w:szCs w:val="21"/>
              </w:rPr>
              <w:t>0.0000</w:t>
            </w:r>
          </w:p>
        </w:tc>
        <w:tc>
          <w:tcPr>
            <w:tcW w:w="2147" w:type="dxa"/>
            <w:gridSpan w:val="4"/>
            <w:vAlign w:val="center"/>
          </w:tcPr>
          <w:p>
            <w:pPr>
              <w:widowControl/>
              <w:snapToGrid w:val="0"/>
              <w:spacing w:line="240" w:lineRule="auto"/>
              <w:ind w:firstLine="0" w:firstLineChars="0"/>
              <w:jc w:val="center"/>
              <w:rPr>
                <w:sz w:val="21"/>
                <w:szCs w:val="21"/>
              </w:rPr>
            </w:pPr>
            <w:r>
              <w:rPr>
                <w:rFonts w:hint="eastAsia"/>
                <w:bCs/>
                <w:sz w:val="21"/>
                <w:szCs w:val="21"/>
              </w:rPr>
              <w:t>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717" w:type="dxa"/>
            <w:gridSpan w:val="2"/>
            <w:vMerge w:val="continue"/>
            <w:vAlign w:val="center"/>
          </w:tcPr>
          <w:p>
            <w:pPr>
              <w:spacing w:line="240" w:lineRule="auto"/>
              <w:ind w:firstLine="0" w:firstLineChars="0"/>
              <w:jc w:val="center"/>
              <w:rPr>
                <w:rFonts w:eastAsia="黑体"/>
                <w:bCs/>
                <w:sz w:val="21"/>
                <w:szCs w:val="21"/>
              </w:rPr>
            </w:pPr>
          </w:p>
        </w:tc>
        <w:tc>
          <w:tcPr>
            <w:tcW w:w="8337" w:type="dxa"/>
            <w:gridSpan w:val="13"/>
            <w:vAlign w:val="center"/>
          </w:tcPr>
          <w:p>
            <w:pPr>
              <w:spacing w:line="240" w:lineRule="auto"/>
              <w:ind w:firstLine="0" w:firstLineChars="0"/>
              <w:jc w:val="center"/>
              <w:rPr>
                <w:bCs/>
                <w:sz w:val="21"/>
                <w:szCs w:val="21"/>
              </w:rPr>
            </w:pPr>
            <w:r>
              <w:rPr>
                <w:bCs/>
                <w:sz w:val="21"/>
                <w:szCs w:val="21"/>
              </w:rPr>
              <w:t>土地复垦率：100%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gridSpan w:val="2"/>
            <w:vAlign w:val="center"/>
          </w:tcPr>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r>
              <w:rPr>
                <w:rFonts w:eastAsia="黑体"/>
                <w:sz w:val="21"/>
                <w:szCs w:val="21"/>
              </w:rPr>
              <w:t>工</w:t>
            </w:r>
          </w:p>
          <w:p>
            <w:pPr>
              <w:spacing w:line="240" w:lineRule="auto"/>
              <w:ind w:firstLine="0" w:firstLineChars="0"/>
              <w:jc w:val="center"/>
              <w:rPr>
                <w:rFonts w:eastAsia="黑体"/>
                <w:sz w:val="21"/>
                <w:szCs w:val="21"/>
              </w:rPr>
            </w:pPr>
            <w:r>
              <w:rPr>
                <w:rFonts w:eastAsia="黑体"/>
                <w:sz w:val="21"/>
                <w:szCs w:val="21"/>
              </w:rPr>
              <w:t>作</w:t>
            </w:r>
          </w:p>
          <w:p>
            <w:pPr>
              <w:spacing w:line="240" w:lineRule="auto"/>
              <w:ind w:firstLine="0" w:firstLineChars="0"/>
              <w:jc w:val="center"/>
              <w:rPr>
                <w:rFonts w:eastAsia="黑体"/>
                <w:sz w:val="21"/>
                <w:szCs w:val="21"/>
              </w:rPr>
            </w:pPr>
            <w:r>
              <w:rPr>
                <w:rFonts w:eastAsia="黑体"/>
                <w:sz w:val="21"/>
                <w:szCs w:val="21"/>
              </w:rPr>
              <w:t>计</w:t>
            </w:r>
          </w:p>
          <w:p>
            <w:pPr>
              <w:spacing w:line="240" w:lineRule="auto"/>
              <w:ind w:firstLine="0" w:firstLineChars="0"/>
              <w:jc w:val="center"/>
              <w:rPr>
                <w:rFonts w:eastAsia="黑体"/>
                <w:sz w:val="21"/>
                <w:szCs w:val="21"/>
              </w:rPr>
            </w:pPr>
            <w:r>
              <w:rPr>
                <w:rFonts w:eastAsia="黑体"/>
                <w:sz w:val="21"/>
                <w:szCs w:val="21"/>
              </w:rPr>
              <w:t>划</w:t>
            </w:r>
          </w:p>
          <w:p>
            <w:pPr>
              <w:spacing w:line="240" w:lineRule="auto"/>
              <w:ind w:firstLine="0" w:firstLineChars="0"/>
              <w:jc w:val="center"/>
              <w:rPr>
                <w:rFonts w:eastAsia="黑体"/>
                <w:sz w:val="21"/>
                <w:szCs w:val="21"/>
              </w:rPr>
            </w:pPr>
            <w:r>
              <w:rPr>
                <w:rFonts w:eastAsia="黑体"/>
                <w:sz w:val="21"/>
                <w:szCs w:val="21"/>
              </w:rPr>
              <w:t>及</w:t>
            </w:r>
          </w:p>
          <w:p>
            <w:pPr>
              <w:spacing w:line="240" w:lineRule="auto"/>
              <w:ind w:firstLine="0" w:firstLineChars="0"/>
              <w:jc w:val="center"/>
              <w:rPr>
                <w:rFonts w:eastAsia="黑体"/>
                <w:sz w:val="21"/>
                <w:szCs w:val="21"/>
              </w:rPr>
            </w:pPr>
            <w:r>
              <w:rPr>
                <w:rFonts w:eastAsia="黑体"/>
                <w:sz w:val="21"/>
                <w:szCs w:val="21"/>
              </w:rPr>
              <w:t>主</w:t>
            </w:r>
          </w:p>
          <w:p>
            <w:pPr>
              <w:spacing w:line="240" w:lineRule="auto"/>
              <w:ind w:firstLine="0" w:firstLineChars="0"/>
              <w:jc w:val="center"/>
              <w:rPr>
                <w:rFonts w:eastAsia="黑体"/>
                <w:sz w:val="21"/>
                <w:szCs w:val="21"/>
              </w:rPr>
            </w:pPr>
            <w:r>
              <w:rPr>
                <w:rFonts w:eastAsia="黑体"/>
                <w:sz w:val="21"/>
                <w:szCs w:val="21"/>
              </w:rPr>
              <w:t>要</w:t>
            </w:r>
          </w:p>
          <w:p>
            <w:pPr>
              <w:spacing w:line="240" w:lineRule="auto"/>
              <w:ind w:firstLine="0" w:firstLineChars="0"/>
              <w:jc w:val="center"/>
              <w:rPr>
                <w:rFonts w:eastAsia="黑体"/>
                <w:sz w:val="21"/>
                <w:szCs w:val="21"/>
              </w:rPr>
            </w:pPr>
            <w:r>
              <w:rPr>
                <w:rFonts w:eastAsia="黑体"/>
                <w:sz w:val="21"/>
                <w:szCs w:val="21"/>
              </w:rPr>
              <w:t>措</w:t>
            </w:r>
          </w:p>
          <w:p>
            <w:pPr>
              <w:spacing w:line="240" w:lineRule="auto"/>
              <w:ind w:firstLine="0" w:firstLineChars="0"/>
              <w:jc w:val="center"/>
              <w:rPr>
                <w:rFonts w:eastAsia="黑体"/>
                <w:sz w:val="21"/>
                <w:szCs w:val="21"/>
              </w:rPr>
            </w:pPr>
            <w:r>
              <w:rPr>
                <w:rFonts w:eastAsia="黑体"/>
                <w:sz w:val="21"/>
                <w:szCs w:val="21"/>
              </w:rPr>
              <w:t>施</w:t>
            </w:r>
          </w:p>
        </w:tc>
        <w:tc>
          <w:tcPr>
            <w:tcW w:w="8337" w:type="dxa"/>
            <w:gridSpan w:val="13"/>
          </w:tcPr>
          <w:p>
            <w:pPr>
              <w:ind w:firstLine="422"/>
              <w:contextualSpacing/>
              <w:jc w:val="left"/>
              <w:rPr>
                <w:b/>
                <w:sz w:val="21"/>
                <w:szCs w:val="21"/>
              </w:rPr>
            </w:pPr>
            <w:r>
              <w:rPr>
                <w:b/>
                <w:sz w:val="21"/>
                <w:szCs w:val="21"/>
              </w:rPr>
              <w:t>1.主要复垦措施</w:t>
            </w:r>
          </w:p>
          <w:p>
            <w:pPr>
              <w:snapToGrid w:val="0"/>
              <w:ind w:firstLine="420"/>
              <w:jc w:val="left"/>
              <w:rPr>
                <w:sz w:val="21"/>
                <w:szCs w:val="21"/>
              </w:rPr>
            </w:pPr>
            <w:r>
              <w:rPr>
                <w:sz w:val="21"/>
                <w:szCs w:val="21"/>
              </w:rPr>
              <w:t>根据项目建设方案、项目区拟损毁土地类型、损毁方式等情况分析</w:t>
            </w:r>
            <w:r>
              <w:rPr>
                <w:rFonts w:hint="eastAsia"/>
                <w:sz w:val="21"/>
                <w:szCs w:val="21"/>
              </w:rPr>
              <w:t>。项目采用顶管穿越的方式通过公路用地，未造成实质性损毁。项目临时使用的耕地、园地复垦完成后交还原土地使用权人进行耕种。</w:t>
            </w:r>
            <w:r>
              <w:rPr>
                <w:sz w:val="21"/>
                <w:szCs w:val="21"/>
              </w:rPr>
              <w:t>方案设计土地复垦措施主要有：表土剥离及保存、表土回覆、土地平整、土壤培肥、土地翻耕、修建挡水梗、植被恢复</w:t>
            </w:r>
            <w:r>
              <w:rPr>
                <w:rFonts w:hint="eastAsia"/>
                <w:sz w:val="21"/>
                <w:szCs w:val="21"/>
              </w:rPr>
              <w:t>、</w:t>
            </w:r>
            <w:r>
              <w:rPr>
                <w:sz w:val="21"/>
                <w:szCs w:val="21"/>
              </w:rPr>
              <w:t>监测</w:t>
            </w:r>
            <w:r>
              <w:rPr>
                <w:rFonts w:hint="eastAsia"/>
                <w:sz w:val="21"/>
                <w:szCs w:val="21"/>
              </w:rPr>
              <w:t>、管护</w:t>
            </w:r>
            <w:r>
              <w:rPr>
                <w:sz w:val="21"/>
                <w:szCs w:val="21"/>
              </w:rPr>
              <w:t>。具体措施如下：</w:t>
            </w:r>
          </w:p>
          <w:p>
            <w:pPr>
              <w:snapToGrid w:val="0"/>
              <w:spacing w:line="360" w:lineRule="auto"/>
              <w:ind w:firstLine="420"/>
              <w:jc w:val="left"/>
              <w:rPr>
                <w:bCs/>
                <w:sz w:val="21"/>
                <w:szCs w:val="21"/>
              </w:rPr>
            </w:pPr>
            <w:r>
              <w:rPr>
                <w:rFonts w:hint="eastAsia"/>
                <w:bCs/>
                <w:sz w:val="21"/>
                <w:szCs w:val="21"/>
              </w:rPr>
              <w:t>（1）复垦工程设计</w:t>
            </w:r>
          </w:p>
          <w:p>
            <w:pPr>
              <w:snapToGrid w:val="0"/>
              <w:spacing w:line="360" w:lineRule="auto"/>
              <w:ind w:firstLine="630" w:firstLineChars="300"/>
              <w:jc w:val="left"/>
              <w:rPr>
                <w:bCs/>
                <w:sz w:val="21"/>
                <w:szCs w:val="21"/>
              </w:rPr>
            </w:pPr>
            <w:r>
              <w:rPr>
                <w:rFonts w:hint="eastAsia"/>
                <w:bCs/>
                <w:sz w:val="21"/>
                <w:szCs w:val="21"/>
              </w:rPr>
              <w:t>A</w:t>
            </w:r>
            <w:r>
              <w:rPr>
                <w:bCs/>
                <w:sz w:val="21"/>
                <w:szCs w:val="21"/>
              </w:rPr>
              <w:t>农用地（耕地、园地、林地、草地）主要复垦措施有以下几种：</w:t>
            </w:r>
          </w:p>
          <w:p>
            <w:pPr>
              <w:snapToGrid w:val="0"/>
              <w:spacing w:line="360" w:lineRule="auto"/>
              <w:ind w:firstLine="630" w:firstLineChars="300"/>
              <w:jc w:val="left"/>
              <w:rPr>
                <w:b/>
                <w:sz w:val="21"/>
                <w:szCs w:val="21"/>
              </w:rPr>
            </w:pPr>
            <w:r>
              <w:rPr>
                <w:rFonts w:hint="eastAsia"/>
                <w:bCs/>
                <w:sz w:val="21"/>
                <w:szCs w:val="21"/>
              </w:rPr>
              <w:t>a</w:t>
            </w:r>
            <w:r>
              <w:rPr>
                <w:bCs/>
                <w:sz w:val="21"/>
                <w:szCs w:val="21"/>
              </w:rPr>
              <w:t>表土剥离及保存</w:t>
            </w:r>
          </w:p>
          <w:p>
            <w:pPr>
              <w:snapToGrid w:val="0"/>
              <w:spacing w:line="360" w:lineRule="auto"/>
              <w:ind w:firstLine="420"/>
              <w:jc w:val="left"/>
              <w:rPr>
                <w:sz w:val="21"/>
                <w:szCs w:val="21"/>
              </w:rPr>
            </w:pPr>
            <w:r>
              <w:rPr>
                <w:sz w:val="21"/>
                <w:szCs w:val="21"/>
              </w:rPr>
              <w:t>根据《土地复垦条例》第十六条“土地复垦义务人应当首先对拟损毁的耕地、林地、牧草地进行表土剥离，剥离的表土用于被损毁土地的复垦”。</w:t>
            </w:r>
          </w:p>
          <w:p>
            <w:pPr>
              <w:snapToGrid w:val="0"/>
              <w:spacing w:line="360" w:lineRule="auto"/>
              <w:ind w:firstLine="420"/>
              <w:jc w:val="left"/>
              <w:rPr>
                <w:sz w:val="21"/>
                <w:szCs w:val="21"/>
              </w:rPr>
            </w:pPr>
            <w:r>
              <w:rPr>
                <w:sz w:val="21"/>
                <w:szCs w:val="21"/>
              </w:rPr>
              <w:t>根据《土地复垦条例实施办法》第二十四条预防控制措施：“（一）对可能被损毁的耕地、林地、草地等，应当进行表土剥离，分层存放，分层回填，优先用于复垦土地的土壤改良。表土剥离厚度应当依据相关技术标准，根据实际情况确定。表土剥离应当在生产工艺和施工建设前进行或者同步进行”。</w:t>
            </w:r>
          </w:p>
          <w:p>
            <w:pPr>
              <w:snapToGrid w:val="0"/>
              <w:spacing w:line="360" w:lineRule="auto"/>
              <w:ind w:firstLine="420"/>
              <w:jc w:val="left"/>
              <w:rPr>
                <w:bCs/>
                <w:sz w:val="21"/>
                <w:szCs w:val="21"/>
              </w:rPr>
            </w:pPr>
            <w:r>
              <w:rPr>
                <w:sz w:val="21"/>
                <w:szCs w:val="21"/>
              </w:rPr>
              <w:t>根据勘界资料及现场调查，供水管线临时用地占耕地、园地、林地、草地总面积1.2573 hm</w:t>
            </w:r>
            <w:r>
              <w:rPr>
                <w:sz w:val="21"/>
                <w:szCs w:val="21"/>
                <w:vertAlign w:val="superscript"/>
              </w:rPr>
              <w:t>2</w:t>
            </w:r>
            <w:r>
              <w:rPr>
                <w:sz w:val="21"/>
                <w:szCs w:val="21"/>
              </w:rPr>
              <w:t>。应对项目占用上述用地区域采取表土剥离措施，耕地剥离厚度50cm，园地、林地、草地剥离厚度20cm，剥离的表土堆放至管沟一侧，堆土高度不超过1.5m，采用防尘网苫盖进行保存，用于后期进行表土回覆，减少土壤熟化周期，为恢复植被生长创造土壤条件。根据建设方案，该工程由施工单位施工时实施，本方案不再重复计算工程量。</w:t>
            </w:r>
          </w:p>
          <w:p>
            <w:pPr>
              <w:snapToGrid w:val="0"/>
              <w:spacing w:line="360" w:lineRule="auto"/>
              <w:ind w:firstLine="630" w:firstLineChars="300"/>
              <w:jc w:val="left"/>
              <w:rPr>
                <w:bCs/>
                <w:sz w:val="21"/>
                <w:szCs w:val="21"/>
              </w:rPr>
            </w:pPr>
            <w:r>
              <w:rPr>
                <w:rFonts w:hint="eastAsia"/>
                <w:bCs/>
                <w:sz w:val="21"/>
                <w:szCs w:val="21"/>
              </w:rPr>
              <w:t>b</w:t>
            </w:r>
            <w:r>
              <w:rPr>
                <w:bCs/>
                <w:sz w:val="21"/>
                <w:szCs w:val="21"/>
              </w:rPr>
              <w:t>土地平整</w:t>
            </w:r>
          </w:p>
          <w:p>
            <w:pPr>
              <w:snapToGrid w:val="0"/>
              <w:spacing w:line="360" w:lineRule="auto"/>
              <w:ind w:firstLine="420"/>
              <w:jc w:val="left"/>
              <w:rPr>
                <w:bCs/>
                <w:sz w:val="21"/>
                <w:szCs w:val="21"/>
              </w:rPr>
            </w:pPr>
            <w:r>
              <w:rPr>
                <w:bCs/>
                <w:sz w:val="21"/>
                <w:szCs w:val="21"/>
              </w:rPr>
              <w:t>项目使原有的土地形态发生改变，损毁土地的表层起伏不平。为保证复垦措施的及时实施，采取推土机进行平整，使作业面保持平整，建设项目平整填挖深度平均为10cm。</w:t>
            </w:r>
          </w:p>
          <w:p>
            <w:pPr>
              <w:snapToGrid w:val="0"/>
              <w:spacing w:line="360" w:lineRule="auto"/>
              <w:ind w:firstLine="630" w:firstLineChars="300"/>
              <w:jc w:val="left"/>
              <w:rPr>
                <w:bCs/>
                <w:sz w:val="21"/>
                <w:szCs w:val="21"/>
              </w:rPr>
            </w:pPr>
            <w:r>
              <w:rPr>
                <w:rFonts w:hint="eastAsia"/>
                <w:bCs/>
                <w:sz w:val="21"/>
                <w:szCs w:val="21"/>
              </w:rPr>
              <w:t>c</w:t>
            </w:r>
            <w:r>
              <w:rPr>
                <w:bCs/>
                <w:sz w:val="21"/>
                <w:szCs w:val="21"/>
              </w:rPr>
              <w:t>表土回覆</w:t>
            </w:r>
          </w:p>
          <w:p>
            <w:pPr>
              <w:snapToGrid w:val="0"/>
              <w:spacing w:line="360" w:lineRule="auto"/>
              <w:ind w:firstLine="630" w:firstLineChars="300"/>
              <w:jc w:val="left"/>
              <w:rPr>
                <w:sz w:val="21"/>
                <w:szCs w:val="21"/>
              </w:rPr>
            </w:pPr>
            <w:r>
              <w:rPr>
                <w:sz w:val="21"/>
                <w:szCs w:val="21"/>
              </w:rPr>
              <w:t>对恢复为耕地、园地、林地、草地的用地，管线埋设完毕后进行表土回覆，覆土来源来自项目建设先期剥离的表土，耕地覆土厚度50cm，覆土面积为0.4026 hm</w:t>
            </w:r>
            <w:r>
              <w:rPr>
                <w:sz w:val="21"/>
                <w:szCs w:val="21"/>
                <w:vertAlign w:val="superscript"/>
              </w:rPr>
              <w:t>2</w:t>
            </w:r>
            <w:r>
              <w:rPr>
                <w:sz w:val="21"/>
                <w:szCs w:val="21"/>
              </w:rPr>
              <w:t>，园地、林地、草地覆土厚度20cm，覆土面积为0.8547hm</w:t>
            </w:r>
            <w:r>
              <w:rPr>
                <w:sz w:val="21"/>
                <w:szCs w:val="21"/>
                <w:vertAlign w:val="superscript"/>
              </w:rPr>
              <w:t>2</w:t>
            </w:r>
            <w:r>
              <w:rPr>
                <w:sz w:val="21"/>
                <w:szCs w:val="21"/>
              </w:rPr>
              <w:t>。根据建设方案，该工程由施工单位施工时实施，本方案不再重复计算工程量。</w:t>
            </w:r>
          </w:p>
          <w:p>
            <w:pPr>
              <w:snapToGrid w:val="0"/>
              <w:spacing w:line="360" w:lineRule="auto"/>
              <w:ind w:firstLine="630" w:firstLineChars="300"/>
              <w:jc w:val="left"/>
              <w:rPr>
                <w:bCs/>
                <w:sz w:val="21"/>
                <w:szCs w:val="21"/>
              </w:rPr>
            </w:pPr>
            <w:r>
              <w:rPr>
                <w:rFonts w:hint="eastAsia"/>
                <w:bCs/>
                <w:sz w:val="21"/>
                <w:szCs w:val="21"/>
              </w:rPr>
              <w:t>d</w:t>
            </w:r>
            <w:r>
              <w:rPr>
                <w:bCs/>
                <w:sz w:val="21"/>
                <w:szCs w:val="21"/>
              </w:rPr>
              <w:t>土壤改良与培肥</w:t>
            </w:r>
          </w:p>
          <w:p>
            <w:pPr>
              <w:snapToGrid w:val="0"/>
              <w:spacing w:line="360" w:lineRule="auto"/>
              <w:ind w:firstLine="420"/>
              <w:jc w:val="left"/>
              <w:rPr>
                <w:bCs/>
                <w:sz w:val="21"/>
                <w:szCs w:val="21"/>
              </w:rPr>
            </w:pPr>
            <w:r>
              <w:rPr>
                <w:bCs/>
                <w:sz w:val="21"/>
                <w:szCs w:val="21"/>
              </w:rPr>
              <w:t>由于项目区临时用地受到人工扰动比较大，造成了土壤肥力的降低。为了提高土壤肥力，本方案针对拟复垦的耕地、园地、林地、草地采取培肥措施，根据植物生长的需要，施用有机-无机复混肥，耕地、园地施</w:t>
            </w:r>
            <w:r>
              <w:rPr>
                <w:sz w:val="21"/>
                <w:szCs w:val="21"/>
              </w:rPr>
              <w:t>肥面积1.0131hm</w:t>
            </w:r>
            <w:r>
              <w:rPr>
                <w:sz w:val="21"/>
                <w:szCs w:val="21"/>
                <w:vertAlign w:val="superscript"/>
              </w:rPr>
              <w:t>2</w:t>
            </w:r>
            <w:r>
              <w:rPr>
                <w:sz w:val="21"/>
                <w:szCs w:val="21"/>
              </w:rPr>
              <w:t>，施用量为1500.00kg/hm</w:t>
            </w:r>
            <w:r>
              <w:rPr>
                <w:sz w:val="21"/>
                <w:szCs w:val="21"/>
                <w:vertAlign w:val="superscript"/>
              </w:rPr>
              <w:t>2</w:t>
            </w:r>
            <w:r>
              <w:rPr>
                <w:sz w:val="21"/>
                <w:szCs w:val="21"/>
              </w:rPr>
              <w:t>。</w:t>
            </w:r>
            <w:r>
              <w:rPr>
                <w:bCs/>
                <w:sz w:val="21"/>
                <w:szCs w:val="21"/>
              </w:rPr>
              <w:t>林地、草地施</w:t>
            </w:r>
            <w:r>
              <w:rPr>
                <w:sz w:val="21"/>
                <w:szCs w:val="21"/>
              </w:rPr>
              <w:t>肥面积0.2442hm</w:t>
            </w:r>
            <w:r>
              <w:rPr>
                <w:sz w:val="21"/>
                <w:szCs w:val="21"/>
                <w:vertAlign w:val="superscript"/>
              </w:rPr>
              <w:t>2</w:t>
            </w:r>
            <w:r>
              <w:rPr>
                <w:sz w:val="21"/>
                <w:szCs w:val="21"/>
              </w:rPr>
              <w:t>，施用量为450.00kg/hm</w:t>
            </w:r>
            <w:r>
              <w:rPr>
                <w:sz w:val="21"/>
                <w:szCs w:val="21"/>
                <w:vertAlign w:val="superscript"/>
              </w:rPr>
              <w:t>2</w:t>
            </w:r>
            <w:r>
              <w:rPr>
                <w:sz w:val="21"/>
                <w:szCs w:val="21"/>
              </w:rPr>
              <w:t>。</w:t>
            </w:r>
            <w:r>
              <w:rPr>
                <w:bCs/>
                <w:sz w:val="21"/>
                <w:szCs w:val="21"/>
              </w:rPr>
              <w:t>施肥方法为撒施，经过后期松土措施将有机-无机复混肥翻入表土中。</w:t>
            </w:r>
          </w:p>
          <w:p>
            <w:pPr>
              <w:snapToGrid w:val="0"/>
              <w:spacing w:line="360" w:lineRule="auto"/>
              <w:ind w:firstLine="630" w:firstLineChars="300"/>
              <w:jc w:val="left"/>
              <w:rPr>
                <w:bCs/>
                <w:sz w:val="21"/>
                <w:szCs w:val="21"/>
              </w:rPr>
            </w:pPr>
            <w:r>
              <w:rPr>
                <w:rFonts w:hint="eastAsia"/>
                <w:bCs/>
                <w:sz w:val="21"/>
                <w:szCs w:val="21"/>
              </w:rPr>
              <w:t>e</w:t>
            </w:r>
            <w:r>
              <w:rPr>
                <w:bCs/>
                <w:sz w:val="21"/>
                <w:szCs w:val="21"/>
              </w:rPr>
              <w:t>土地翻耕</w:t>
            </w:r>
          </w:p>
          <w:p>
            <w:pPr>
              <w:snapToGrid w:val="0"/>
              <w:spacing w:line="360" w:lineRule="auto"/>
              <w:ind w:firstLine="420"/>
              <w:jc w:val="left"/>
              <w:rPr>
                <w:bCs/>
                <w:sz w:val="21"/>
                <w:szCs w:val="21"/>
              </w:rPr>
            </w:pPr>
            <w:r>
              <w:rPr>
                <w:bCs/>
                <w:sz w:val="21"/>
                <w:szCs w:val="21"/>
              </w:rPr>
              <w:t>由于项目建设，造成原耕地、园地、林地、草地区域土壤结构变得紧实，透气性变差，在表土回覆后，需要对占用耕地、园地、林地、草地区域采取土地翻耕措施，从而增加土壤孔隙度，有利于接纳和贮存水分，以满足植物生长。土地翻耕采用拖拉机-三铧犁进行施工，翻耕面积1.2573hm</w:t>
            </w:r>
            <w:r>
              <w:rPr>
                <w:bCs/>
                <w:sz w:val="21"/>
                <w:szCs w:val="21"/>
                <w:vertAlign w:val="superscript"/>
              </w:rPr>
              <w:t>2</w:t>
            </w:r>
            <w:r>
              <w:rPr>
                <w:bCs/>
                <w:sz w:val="21"/>
                <w:szCs w:val="21"/>
              </w:rPr>
              <w:t>，翻耕深度15-30cm。</w:t>
            </w:r>
          </w:p>
          <w:p>
            <w:pPr>
              <w:snapToGrid w:val="0"/>
              <w:spacing w:line="360" w:lineRule="auto"/>
              <w:ind w:firstLine="630" w:firstLineChars="300"/>
              <w:jc w:val="left"/>
              <w:rPr>
                <w:bCs/>
                <w:sz w:val="21"/>
                <w:szCs w:val="21"/>
              </w:rPr>
            </w:pPr>
            <w:r>
              <w:rPr>
                <w:rFonts w:hint="eastAsia"/>
                <w:bCs/>
                <w:sz w:val="21"/>
                <w:szCs w:val="21"/>
              </w:rPr>
              <w:t>f</w:t>
            </w:r>
            <w:r>
              <w:rPr>
                <w:bCs/>
                <w:sz w:val="21"/>
                <w:szCs w:val="21"/>
              </w:rPr>
              <w:t>修建挡水梗</w:t>
            </w:r>
          </w:p>
          <w:p>
            <w:pPr>
              <w:snapToGrid w:val="0"/>
              <w:spacing w:line="360" w:lineRule="auto"/>
              <w:ind w:firstLine="420"/>
              <w:jc w:val="left"/>
              <w:rPr>
                <w:bCs/>
                <w:sz w:val="21"/>
                <w:szCs w:val="21"/>
              </w:rPr>
            </w:pPr>
            <w:r>
              <w:rPr>
                <w:bCs/>
                <w:sz w:val="21"/>
                <w:szCs w:val="21"/>
              </w:rPr>
              <w:t>对恢复为林地、草地的用地，垂直西北风向每间隔1.0m设置0.3m高0.3m宽的挡水梗，便于雨水聚集，有利于植被恢复。</w:t>
            </w:r>
          </w:p>
          <w:p>
            <w:pPr>
              <w:snapToGrid w:val="0"/>
              <w:spacing w:line="360" w:lineRule="auto"/>
              <w:ind w:firstLine="630" w:firstLineChars="300"/>
              <w:jc w:val="left"/>
              <w:rPr>
                <w:bCs/>
                <w:sz w:val="21"/>
                <w:szCs w:val="21"/>
              </w:rPr>
            </w:pPr>
            <w:r>
              <w:rPr>
                <w:rFonts w:hint="eastAsia"/>
                <w:bCs/>
                <w:sz w:val="21"/>
                <w:szCs w:val="21"/>
              </w:rPr>
              <w:t>g</w:t>
            </w:r>
            <w:r>
              <w:rPr>
                <w:bCs/>
                <w:sz w:val="21"/>
                <w:szCs w:val="21"/>
              </w:rPr>
              <w:t>植被恢复工程</w:t>
            </w:r>
          </w:p>
          <w:p>
            <w:pPr>
              <w:ind w:firstLine="420"/>
              <w:rPr>
                <w:bCs/>
                <w:sz w:val="21"/>
                <w:szCs w:val="21"/>
              </w:rPr>
            </w:pPr>
            <w:r>
              <w:rPr>
                <w:bCs/>
                <w:sz w:val="21"/>
                <w:szCs w:val="21"/>
              </w:rPr>
              <w:t>在植被生长条件恢复的基础上，进行植被重建。根据现场调查，项目区植被优势种为灰绿藜、芨芨草、碱蒿等，植被覆盖度为30%左右，本次方案针对复垦方向为林地、草地的区域进行撒播草籽，草籽选择灰绿藜、芨芨草、碱蒿，乔木林地、其他林地、其他草地草籽撒播量为35kg/hm</w:t>
            </w:r>
            <w:r>
              <w:rPr>
                <w:bCs/>
                <w:sz w:val="21"/>
                <w:szCs w:val="21"/>
                <w:vertAlign w:val="superscript"/>
              </w:rPr>
              <w:t>2</w:t>
            </w:r>
            <w:r>
              <w:rPr>
                <w:bCs/>
                <w:sz w:val="21"/>
                <w:szCs w:val="21"/>
              </w:rPr>
              <w:t>，撒播面积0.2442hm</w:t>
            </w:r>
            <w:r>
              <w:rPr>
                <w:bCs/>
                <w:sz w:val="21"/>
                <w:szCs w:val="21"/>
                <w:vertAlign w:val="superscript"/>
              </w:rPr>
              <w:t>2</w:t>
            </w:r>
            <w:r>
              <w:rPr>
                <w:bCs/>
                <w:sz w:val="21"/>
                <w:szCs w:val="21"/>
              </w:rPr>
              <w:t>。撒播草籽全部从泽普县购买，撒播时间为2027年3月上旬。</w:t>
            </w:r>
          </w:p>
          <w:p>
            <w:pPr>
              <w:ind w:firstLine="420"/>
              <w:rPr>
                <w:bCs/>
                <w:sz w:val="21"/>
                <w:szCs w:val="21"/>
              </w:rPr>
            </w:pPr>
            <w:r>
              <w:rPr>
                <w:rFonts w:hint="eastAsia"/>
                <w:bCs/>
                <w:sz w:val="21"/>
                <w:szCs w:val="21"/>
              </w:rPr>
              <w:t>B</w:t>
            </w:r>
            <w:r>
              <w:rPr>
                <w:bCs/>
                <w:sz w:val="21"/>
                <w:szCs w:val="21"/>
              </w:rPr>
              <w:t>农村道路，农村宅基地，采矿用地，公路用地，其他特殊用地，沟渠主要复垦措施有以下几种：</w:t>
            </w:r>
          </w:p>
          <w:p>
            <w:pPr>
              <w:ind w:firstLine="630" w:firstLineChars="300"/>
              <w:rPr>
                <w:bCs/>
                <w:sz w:val="21"/>
                <w:szCs w:val="21"/>
              </w:rPr>
            </w:pPr>
            <w:r>
              <w:rPr>
                <w:rFonts w:hint="eastAsia"/>
                <w:bCs/>
                <w:sz w:val="21"/>
                <w:szCs w:val="21"/>
              </w:rPr>
              <w:t>a</w:t>
            </w:r>
            <w:r>
              <w:rPr>
                <w:bCs/>
                <w:sz w:val="21"/>
                <w:szCs w:val="21"/>
              </w:rPr>
              <w:t>土地平整措施</w:t>
            </w:r>
          </w:p>
          <w:p>
            <w:pPr>
              <w:ind w:firstLine="420"/>
              <w:rPr>
                <w:bCs/>
                <w:sz w:val="21"/>
                <w:szCs w:val="21"/>
              </w:rPr>
            </w:pPr>
            <w:r>
              <w:rPr>
                <w:bCs/>
                <w:sz w:val="21"/>
                <w:szCs w:val="21"/>
              </w:rPr>
              <w:t>项目区损毁土地后，使原有的土地形态发生改变，损毁土地的表层起伏不平。为保证复垦措施的及时实施，需采取74KW推土机进行整平，推距10m，使作业面保持平整，项目平整填挖深度平均为10cm。</w:t>
            </w:r>
          </w:p>
          <w:p>
            <w:pPr>
              <w:snapToGrid w:val="0"/>
              <w:ind w:firstLine="420"/>
              <w:jc w:val="left"/>
              <w:rPr>
                <w:bCs/>
                <w:sz w:val="21"/>
                <w:szCs w:val="21"/>
              </w:rPr>
            </w:pPr>
            <w:r>
              <w:rPr>
                <w:bCs/>
                <w:sz w:val="21"/>
                <w:szCs w:val="21"/>
              </w:rPr>
              <w:t>(2)</w:t>
            </w:r>
            <w:r>
              <w:rPr>
                <w:rFonts w:hint="eastAsia"/>
                <w:bCs/>
                <w:sz w:val="21"/>
                <w:szCs w:val="21"/>
              </w:rPr>
              <w:t>监测工程设计</w:t>
            </w:r>
          </w:p>
          <w:p>
            <w:pPr>
              <w:snapToGrid w:val="0"/>
              <w:ind w:firstLine="420"/>
              <w:jc w:val="left"/>
              <w:rPr>
                <w:sz w:val="21"/>
                <w:szCs w:val="21"/>
              </w:rPr>
            </w:pPr>
            <w:r>
              <w:rPr>
                <w:rFonts w:hint="eastAsia"/>
                <w:sz w:val="21"/>
                <w:szCs w:val="21"/>
              </w:rPr>
              <w:t>土地复垦监测内容主要为土地损毁监测、土壤质量质监测和植被恢复监测。</w:t>
            </w:r>
          </w:p>
          <w:p>
            <w:pPr>
              <w:snapToGrid w:val="0"/>
              <w:ind w:firstLine="630" w:firstLineChars="300"/>
              <w:jc w:val="left"/>
              <w:rPr>
                <w:sz w:val="21"/>
                <w:szCs w:val="21"/>
              </w:rPr>
            </w:pPr>
            <w:r>
              <w:rPr>
                <w:rFonts w:hint="eastAsia"/>
                <w:sz w:val="21"/>
                <w:szCs w:val="21"/>
              </w:rPr>
              <w:t>A土地损毁监测</w:t>
            </w:r>
          </w:p>
          <w:p>
            <w:pPr>
              <w:snapToGrid w:val="0"/>
              <w:ind w:firstLine="630" w:firstLineChars="300"/>
              <w:jc w:val="left"/>
              <w:rPr>
                <w:sz w:val="21"/>
                <w:szCs w:val="21"/>
              </w:rPr>
            </w:pPr>
            <w:r>
              <w:rPr>
                <w:rFonts w:hint="eastAsia"/>
                <w:sz w:val="21"/>
                <w:szCs w:val="21"/>
              </w:rPr>
              <w:t>a监测内容</w:t>
            </w:r>
          </w:p>
          <w:p>
            <w:pPr>
              <w:snapToGrid w:val="0"/>
              <w:ind w:firstLine="420"/>
              <w:jc w:val="left"/>
              <w:rPr>
                <w:sz w:val="21"/>
                <w:szCs w:val="21"/>
              </w:rPr>
            </w:pPr>
            <w:r>
              <w:rPr>
                <w:rFonts w:hint="eastAsia"/>
                <w:sz w:val="21"/>
                <w:szCs w:val="21"/>
              </w:rPr>
              <w:t>对挖损土地损毁范围、损毁程度及植被影响情况进行监测。</w:t>
            </w:r>
          </w:p>
          <w:p>
            <w:pPr>
              <w:snapToGrid w:val="0"/>
              <w:ind w:firstLine="630" w:firstLineChars="300"/>
              <w:jc w:val="left"/>
              <w:rPr>
                <w:sz w:val="21"/>
                <w:szCs w:val="21"/>
              </w:rPr>
            </w:pPr>
            <w:r>
              <w:rPr>
                <w:rFonts w:hint="eastAsia"/>
                <w:sz w:val="21"/>
                <w:szCs w:val="21"/>
              </w:rPr>
              <w:t>b监测点设置</w:t>
            </w:r>
          </w:p>
          <w:p>
            <w:pPr>
              <w:snapToGrid w:val="0"/>
              <w:ind w:firstLine="420"/>
              <w:jc w:val="left"/>
              <w:rPr>
                <w:sz w:val="21"/>
                <w:szCs w:val="21"/>
              </w:rPr>
            </w:pPr>
            <w:r>
              <w:rPr>
                <w:rFonts w:hint="eastAsia"/>
                <w:sz w:val="21"/>
                <w:szCs w:val="21"/>
              </w:rPr>
              <w:t>本项目在供水管线用地共设置6个土地损毁监测点。在项目建设完成后进行1次土地损毁监测。</w:t>
            </w:r>
          </w:p>
          <w:p>
            <w:pPr>
              <w:snapToGrid w:val="0"/>
              <w:ind w:firstLine="630" w:firstLineChars="300"/>
              <w:jc w:val="left"/>
              <w:rPr>
                <w:sz w:val="21"/>
                <w:szCs w:val="21"/>
              </w:rPr>
            </w:pPr>
            <w:r>
              <w:rPr>
                <w:rFonts w:hint="eastAsia"/>
                <w:sz w:val="21"/>
                <w:szCs w:val="21"/>
              </w:rPr>
              <w:t>c监测方法</w:t>
            </w:r>
          </w:p>
          <w:p>
            <w:pPr>
              <w:snapToGrid w:val="0"/>
              <w:ind w:firstLine="420"/>
              <w:jc w:val="left"/>
              <w:rPr>
                <w:sz w:val="21"/>
                <w:szCs w:val="21"/>
              </w:rPr>
            </w:pPr>
            <w:r>
              <w:rPr>
                <w:rFonts w:hint="eastAsia"/>
                <w:sz w:val="21"/>
                <w:szCs w:val="21"/>
              </w:rPr>
              <w:t>采用实地勘测、地形测量等方法，结合GIS和GPS技术的应用，对上述内容进行监测。</w:t>
            </w:r>
          </w:p>
          <w:p>
            <w:pPr>
              <w:snapToGrid w:val="0"/>
              <w:ind w:firstLine="630" w:firstLineChars="300"/>
              <w:jc w:val="left"/>
              <w:rPr>
                <w:sz w:val="21"/>
                <w:szCs w:val="21"/>
              </w:rPr>
            </w:pPr>
            <w:r>
              <w:rPr>
                <w:rFonts w:hint="eastAsia"/>
                <w:sz w:val="21"/>
                <w:szCs w:val="21"/>
              </w:rPr>
              <w:t>B土地复垦效果监测</w:t>
            </w:r>
          </w:p>
          <w:p>
            <w:pPr>
              <w:snapToGrid w:val="0"/>
              <w:ind w:firstLine="630" w:firstLineChars="300"/>
              <w:jc w:val="left"/>
              <w:rPr>
                <w:sz w:val="21"/>
                <w:szCs w:val="21"/>
              </w:rPr>
            </w:pPr>
            <w:r>
              <w:rPr>
                <w:rFonts w:hint="eastAsia"/>
                <w:sz w:val="21"/>
                <w:szCs w:val="21"/>
              </w:rPr>
              <w:t>a土壤质量监测</w:t>
            </w:r>
          </w:p>
          <w:p>
            <w:pPr>
              <w:snapToGrid w:val="0"/>
              <w:ind w:firstLine="420"/>
              <w:jc w:val="left"/>
              <w:rPr>
                <w:sz w:val="21"/>
                <w:szCs w:val="21"/>
              </w:rPr>
            </w:pPr>
            <w:r>
              <w:rPr>
                <w:rFonts w:hint="eastAsia"/>
                <w:sz w:val="21"/>
                <w:szCs w:val="21"/>
              </w:rPr>
              <w:t>监测内容与方法：有效土层厚度、土壤砾石含量、土壤容重、PH值、有机质含量等。采用定点监测，工程开工建设前监测1次，复垦施工完成后监测1次。</w:t>
            </w:r>
          </w:p>
          <w:p>
            <w:pPr>
              <w:snapToGrid w:val="0"/>
              <w:ind w:firstLine="630" w:firstLineChars="300"/>
              <w:jc w:val="left"/>
              <w:rPr>
                <w:sz w:val="21"/>
                <w:szCs w:val="21"/>
              </w:rPr>
            </w:pPr>
            <w:r>
              <w:rPr>
                <w:rFonts w:hint="eastAsia"/>
                <w:sz w:val="21"/>
                <w:szCs w:val="21"/>
              </w:rPr>
              <w:t>b植被恢复监测</w:t>
            </w:r>
          </w:p>
          <w:p>
            <w:pPr>
              <w:snapToGrid w:val="0"/>
              <w:ind w:firstLine="420"/>
              <w:jc w:val="left"/>
              <w:rPr>
                <w:sz w:val="21"/>
                <w:szCs w:val="21"/>
              </w:rPr>
            </w:pPr>
            <w:r>
              <w:rPr>
                <w:rFonts w:hint="eastAsia"/>
                <w:sz w:val="21"/>
                <w:szCs w:val="21"/>
              </w:rPr>
              <w:t>监测内容与方法：草地植被恢复状况、植被存活率、植被群落分布、植物种类、植被覆盖度等。采用定点监测，持续监测3年，每年监测3次（5月、7月、9月各1次）。</w:t>
            </w:r>
          </w:p>
          <w:p>
            <w:pPr>
              <w:snapToGrid w:val="0"/>
              <w:ind w:firstLine="630" w:firstLineChars="300"/>
              <w:jc w:val="left"/>
              <w:rPr>
                <w:sz w:val="21"/>
                <w:szCs w:val="21"/>
              </w:rPr>
            </w:pPr>
            <w:r>
              <w:rPr>
                <w:rFonts w:hint="eastAsia"/>
                <w:sz w:val="21"/>
                <w:szCs w:val="21"/>
              </w:rPr>
              <w:t>c监测点设置</w:t>
            </w:r>
          </w:p>
          <w:p>
            <w:pPr>
              <w:snapToGrid w:val="0"/>
              <w:ind w:firstLine="420"/>
              <w:jc w:val="left"/>
              <w:rPr>
                <w:sz w:val="21"/>
                <w:szCs w:val="21"/>
              </w:rPr>
            </w:pPr>
            <w:r>
              <w:rPr>
                <w:rFonts w:hint="eastAsia"/>
                <w:sz w:val="21"/>
                <w:szCs w:val="21"/>
              </w:rPr>
              <w:t>本项目在供水管线用地设置6个土壤质量监测点、3个植被恢复监测点。土壤质量监测工程开工建设前监测1次，复垦施工完成后监测1次。在管护期内，植被恢复监测3次/年。</w:t>
            </w:r>
          </w:p>
          <w:p>
            <w:pPr>
              <w:snapToGrid w:val="0"/>
              <w:ind w:firstLine="630" w:firstLineChars="300"/>
              <w:jc w:val="left"/>
              <w:rPr>
                <w:sz w:val="21"/>
                <w:szCs w:val="21"/>
              </w:rPr>
            </w:pPr>
            <w:r>
              <w:rPr>
                <w:rFonts w:hint="eastAsia"/>
                <w:sz w:val="21"/>
                <w:szCs w:val="21"/>
              </w:rPr>
              <w:t>C</w:t>
            </w:r>
            <w:r>
              <w:rPr>
                <w:sz w:val="21"/>
                <w:szCs w:val="21"/>
              </w:rPr>
              <w:t>复垦监测成果管理</w:t>
            </w:r>
          </w:p>
          <w:p>
            <w:pPr>
              <w:snapToGrid w:val="0"/>
              <w:ind w:firstLine="420"/>
              <w:jc w:val="left"/>
              <w:rPr>
                <w:sz w:val="21"/>
                <w:szCs w:val="21"/>
              </w:rPr>
            </w:pPr>
            <w:r>
              <w:rPr>
                <w:sz w:val="21"/>
                <w:szCs w:val="21"/>
              </w:rPr>
              <w:t>土地复垦外业监测工作完成后，需要对复垦外业监测数据进行整理与汇总，撰写复垦监测成果报告并装订成册，之后报企业土地复垦管理机构归档保存，便于今后查阅。同时，土地复垦监测成果应当定期向地方自然资源主管部门汇报。复垦监测方案见表7</w:t>
            </w:r>
            <w:r>
              <w:rPr>
                <w:rFonts w:hint="eastAsia"/>
                <w:sz w:val="21"/>
                <w:szCs w:val="21"/>
              </w:rPr>
              <w:t>.1.3-1</w:t>
            </w:r>
            <w:r>
              <w:rPr>
                <w:sz w:val="21"/>
                <w:szCs w:val="21"/>
              </w:rPr>
              <w:t>。</w:t>
            </w:r>
          </w:p>
          <w:p>
            <w:pPr>
              <w:snapToGrid w:val="0"/>
              <w:ind w:firstLine="420"/>
              <w:jc w:val="left"/>
              <w:rPr>
                <w:sz w:val="21"/>
                <w:szCs w:val="21"/>
              </w:rPr>
            </w:pPr>
            <w:r>
              <w:rPr>
                <w:rFonts w:hint="eastAsia"/>
                <w:sz w:val="21"/>
                <w:szCs w:val="21"/>
              </w:rPr>
              <w:t>(3)管护工程设计</w:t>
            </w:r>
          </w:p>
          <w:p>
            <w:pPr>
              <w:snapToGrid w:val="0"/>
              <w:ind w:firstLine="420"/>
              <w:jc w:val="left"/>
              <w:rPr>
                <w:sz w:val="21"/>
                <w:szCs w:val="21"/>
              </w:rPr>
            </w:pPr>
            <w:r>
              <w:rPr>
                <w:sz w:val="21"/>
                <w:szCs w:val="21"/>
              </w:rPr>
              <w:t>项目区地处于</w:t>
            </w:r>
            <w:r>
              <w:rPr>
                <w:rFonts w:hint="eastAsia"/>
                <w:sz w:val="21"/>
                <w:szCs w:val="21"/>
              </w:rPr>
              <w:t>西北</w:t>
            </w:r>
            <w:r>
              <w:rPr>
                <w:sz w:val="21"/>
                <w:szCs w:val="21"/>
              </w:rPr>
              <w:t>干旱区，植被的成活率很难得到保障，因此，需要对复垦土地进行管护，具体管护措施如下：</w:t>
            </w:r>
          </w:p>
          <w:p>
            <w:pPr>
              <w:snapToGrid w:val="0"/>
              <w:ind w:firstLine="630" w:firstLineChars="300"/>
              <w:jc w:val="left"/>
              <w:rPr>
                <w:sz w:val="21"/>
                <w:szCs w:val="21"/>
              </w:rPr>
            </w:pPr>
            <w:r>
              <w:rPr>
                <w:rFonts w:hint="eastAsia"/>
                <w:sz w:val="21"/>
                <w:szCs w:val="21"/>
              </w:rPr>
              <w:t>A</w:t>
            </w:r>
            <w:r>
              <w:rPr>
                <w:sz w:val="21"/>
                <w:szCs w:val="21"/>
              </w:rPr>
              <w:t>灌溉措施</w:t>
            </w:r>
          </w:p>
          <w:p>
            <w:pPr>
              <w:snapToGrid w:val="0"/>
              <w:spacing w:line="360" w:lineRule="auto"/>
              <w:ind w:firstLine="420"/>
              <w:jc w:val="left"/>
              <w:rPr>
                <w:sz w:val="21"/>
                <w:szCs w:val="21"/>
              </w:rPr>
            </w:pPr>
            <w:r>
              <w:rPr>
                <w:sz w:val="21"/>
                <w:szCs w:val="21"/>
              </w:rPr>
              <w:t>项目区气候属</w:t>
            </w:r>
            <w:r>
              <w:rPr>
                <w:rFonts w:hint="eastAsia"/>
                <w:sz w:val="21"/>
                <w:szCs w:val="21"/>
              </w:rPr>
              <w:t>大陆性暖温带干旱气候</w:t>
            </w:r>
            <w:r>
              <w:rPr>
                <w:sz w:val="21"/>
                <w:szCs w:val="21"/>
              </w:rPr>
              <w:t>，降水稀少，夏季炎热，冬季寒冷，年温差和日温差大，光照充足，热量丰富，蒸发强烈，风沙活动频繁。</w:t>
            </w:r>
            <w:r>
              <w:rPr>
                <w:rFonts w:hint="eastAsia"/>
                <w:sz w:val="21"/>
                <w:szCs w:val="21"/>
              </w:rPr>
              <w:t>由于植物生长初期根系未发育完全，管护期第一年需对复垦植被进行人工灌溉，促进植被根系生长。待复垦植被根系发育完全后项目区降水量可满足植被正常生长条件</w:t>
            </w:r>
            <w:r>
              <w:rPr>
                <w:sz w:val="21"/>
                <w:szCs w:val="21"/>
              </w:rPr>
              <w:t>。</w:t>
            </w:r>
            <w:r>
              <w:rPr>
                <w:rFonts w:hint="eastAsia"/>
                <w:sz w:val="21"/>
                <w:szCs w:val="21"/>
              </w:rPr>
              <w:t>参照新疆《农业灌溉用水定额》（DB65/3611—2014）其他类作物灌水定额，结合项目区降水量确定本项目林地、草地全年灌溉水量3300m</w:t>
            </w:r>
            <w:r>
              <w:rPr>
                <w:rFonts w:hint="eastAsia"/>
                <w:sz w:val="21"/>
                <w:szCs w:val="21"/>
                <w:vertAlign w:val="superscript"/>
              </w:rPr>
              <w:t>3</w:t>
            </w:r>
            <w:r>
              <w:rPr>
                <w:rFonts w:hint="eastAsia"/>
                <w:sz w:val="21"/>
                <w:szCs w:val="21"/>
              </w:rPr>
              <w:t>/hm</w:t>
            </w:r>
            <w:r>
              <w:rPr>
                <w:rFonts w:hint="eastAsia"/>
                <w:sz w:val="21"/>
                <w:szCs w:val="21"/>
                <w:vertAlign w:val="superscript"/>
              </w:rPr>
              <w:t>2</w:t>
            </w:r>
            <w:r>
              <w:rPr>
                <w:rFonts w:hint="eastAsia"/>
                <w:sz w:val="21"/>
                <w:szCs w:val="21"/>
              </w:rPr>
              <w:t>，每次洒水灌溉825m</w:t>
            </w:r>
            <w:r>
              <w:rPr>
                <w:rFonts w:hint="eastAsia"/>
                <w:sz w:val="21"/>
                <w:szCs w:val="21"/>
                <w:vertAlign w:val="superscript"/>
              </w:rPr>
              <w:t>3</w:t>
            </w:r>
            <w:r>
              <w:rPr>
                <w:rFonts w:hint="eastAsia"/>
                <w:sz w:val="21"/>
                <w:szCs w:val="21"/>
              </w:rPr>
              <w:t>/hm</w:t>
            </w:r>
            <w:r>
              <w:rPr>
                <w:rFonts w:hint="eastAsia"/>
                <w:sz w:val="21"/>
                <w:szCs w:val="21"/>
                <w:vertAlign w:val="superscript"/>
              </w:rPr>
              <w:t>2</w:t>
            </w:r>
            <w:r>
              <w:rPr>
                <w:rFonts w:hint="eastAsia"/>
                <w:sz w:val="21"/>
                <w:szCs w:val="21"/>
              </w:rPr>
              <w:t>，一年灌溉4次。林地、草地区灌溉面积0.2442hm</w:t>
            </w:r>
            <w:r>
              <w:rPr>
                <w:rFonts w:hint="eastAsia"/>
                <w:sz w:val="21"/>
                <w:szCs w:val="21"/>
                <w:vertAlign w:val="superscript"/>
              </w:rPr>
              <w:t>2</w:t>
            </w:r>
            <w:r>
              <w:rPr>
                <w:rFonts w:hint="eastAsia"/>
                <w:sz w:val="21"/>
                <w:szCs w:val="21"/>
              </w:rPr>
              <w:t>，总灌溉水量805.86m</w:t>
            </w:r>
            <w:r>
              <w:rPr>
                <w:rFonts w:hint="eastAsia"/>
                <w:sz w:val="21"/>
                <w:szCs w:val="21"/>
                <w:vertAlign w:val="superscript"/>
              </w:rPr>
              <w:t>3</w:t>
            </w:r>
            <w:r>
              <w:rPr>
                <w:rFonts w:hint="eastAsia"/>
                <w:sz w:val="21"/>
                <w:szCs w:val="21"/>
              </w:rPr>
              <w:t>，单次灌溉水量201.47m</w:t>
            </w:r>
            <w:r>
              <w:rPr>
                <w:rFonts w:hint="eastAsia"/>
                <w:sz w:val="21"/>
                <w:szCs w:val="21"/>
                <w:vertAlign w:val="superscript"/>
              </w:rPr>
              <w:t>3</w:t>
            </w:r>
            <w:r>
              <w:rPr>
                <w:rFonts w:hint="eastAsia"/>
                <w:sz w:val="21"/>
                <w:szCs w:val="21"/>
              </w:rPr>
              <w:t>。灌溉用水取自阿依库勒支渠，灌溉水类型为地表水。</w:t>
            </w:r>
          </w:p>
          <w:p>
            <w:pPr>
              <w:snapToGrid w:val="0"/>
              <w:spacing w:line="360" w:lineRule="auto"/>
              <w:ind w:firstLine="420"/>
              <w:jc w:val="left"/>
              <w:rPr>
                <w:sz w:val="21"/>
                <w:szCs w:val="21"/>
              </w:rPr>
            </w:pPr>
            <w:r>
              <w:rPr>
                <w:sz w:val="21"/>
                <w:szCs w:val="21"/>
              </w:rPr>
              <w:t>项目区位于</w:t>
            </w:r>
            <w:r>
              <w:rPr>
                <w:rFonts w:hint="eastAsia"/>
                <w:sz w:val="21"/>
                <w:szCs w:val="21"/>
              </w:rPr>
              <w:t>山前洪积平原区</w:t>
            </w:r>
            <w:r>
              <w:rPr>
                <w:sz w:val="21"/>
                <w:szCs w:val="21"/>
              </w:rPr>
              <w:t>，</w:t>
            </w:r>
            <w:r>
              <w:rPr>
                <w:rFonts w:hint="eastAsia"/>
                <w:sz w:val="21"/>
                <w:szCs w:val="21"/>
              </w:rPr>
              <w:t>管护第一年</w:t>
            </w:r>
            <w:r>
              <w:rPr>
                <w:sz w:val="21"/>
                <w:szCs w:val="21"/>
              </w:rPr>
              <w:t>采用洒水车到</w:t>
            </w:r>
            <w:r>
              <w:rPr>
                <w:rFonts w:hint="eastAsia"/>
                <w:sz w:val="21"/>
                <w:szCs w:val="21"/>
              </w:rPr>
              <w:t>阿依库勒支渠</w:t>
            </w:r>
            <w:r>
              <w:rPr>
                <w:sz w:val="21"/>
                <w:szCs w:val="21"/>
              </w:rPr>
              <w:t>拉水进行浇灌，</w:t>
            </w:r>
            <w:r>
              <w:rPr>
                <w:rFonts w:hint="eastAsia"/>
                <w:sz w:val="21"/>
                <w:szCs w:val="21"/>
              </w:rPr>
              <w:t>拉运距离1km。待</w:t>
            </w:r>
            <w:r>
              <w:rPr>
                <w:sz w:val="21"/>
                <w:szCs w:val="21"/>
              </w:rPr>
              <w:t>植被根系发育完全后项目区降水量及地下水补给即可满足植被正常生长的条件，故方案设计只在管护期第一年进行洒水以促进植被根系发育，5月、6月、7月、8月各浇水一次。</w:t>
            </w:r>
          </w:p>
          <w:p>
            <w:pPr>
              <w:snapToGrid w:val="0"/>
              <w:ind w:firstLine="630" w:firstLineChars="300"/>
              <w:jc w:val="left"/>
              <w:rPr>
                <w:sz w:val="21"/>
                <w:szCs w:val="21"/>
              </w:rPr>
            </w:pPr>
            <w:r>
              <w:rPr>
                <w:rFonts w:hint="eastAsia"/>
                <w:sz w:val="21"/>
                <w:szCs w:val="21"/>
              </w:rPr>
              <w:t>B</w:t>
            </w:r>
            <w:r>
              <w:rPr>
                <w:sz w:val="21"/>
                <w:szCs w:val="21"/>
              </w:rPr>
              <w:t>植被补播</w:t>
            </w:r>
          </w:p>
          <w:p>
            <w:pPr>
              <w:snapToGrid w:val="0"/>
              <w:ind w:firstLine="420"/>
              <w:jc w:val="left"/>
            </w:pPr>
            <w:r>
              <w:rPr>
                <w:sz w:val="21"/>
                <w:szCs w:val="21"/>
              </w:rPr>
              <w:t>在管护期内逐年对成活率不高的区域进行补播草籽，预计第一年植被补播系数为植被恢复面积的20%，第二年为10%，第三年为5%，</w:t>
            </w:r>
            <w:r>
              <w:rPr>
                <w:rFonts w:hint="eastAsia"/>
                <w:sz w:val="21"/>
                <w:szCs w:val="21"/>
              </w:rPr>
              <w:t>补播时间选择在管护期每年的3月或者11月进行</w:t>
            </w:r>
            <w:r>
              <w:rPr>
                <w:sz w:val="21"/>
                <w:szCs w:val="21"/>
              </w:rPr>
              <w:t>。</w:t>
            </w:r>
          </w:p>
          <w:p>
            <w:pPr>
              <w:ind w:firstLine="482"/>
            </w:pPr>
            <w:r>
              <w:rPr>
                <w:b/>
              </w:rPr>
              <w:t>2.土地复垦工程量汇总</w:t>
            </w:r>
          </w:p>
          <w:p>
            <w:pPr>
              <w:spacing w:line="240" w:lineRule="auto"/>
              <w:ind w:firstLine="0" w:firstLineChars="0"/>
              <w:jc w:val="center"/>
              <w:rPr>
                <w:rFonts w:eastAsia="黑体"/>
                <w:bCs/>
                <w:sz w:val="21"/>
                <w:szCs w:val="21"/>
              </w:rPr>
            </w:pPr>
            <w:r>
              <w:rPr>
                <w:rFonts w:eastAsia="黑体"/>
                <w:bCs/>
                <w:sz w:val="21"/>
                <w:szCs w:val="21"/>
              </w:rPr>
              <w:t>土地复垦工程量汇总表</w:t>
            </w:r>
          </w:p>
          <w:tbl>
            <w:tblPr>
              <w:tblStyle w:val="88"/>
              <w:tblW w:w="8091" w:type="dxa"/>
              <w:tblInd w:w="0" w:type="dxa"/>
              <w:tblLayout w:type="fixed"/>
              <w:tblCellMar>
                <w:top w:w="0" w:type="dxa"/>
                <w:left w:w="108" w:type="dxa"/>
                <w:bottom w:w="0" w:type="dxa"/>
                <w:right w:w="108" w:type="dxa"/>
              </w:tblCellMar>
            </w:tblPr>
            <w:tblGrid>
              <w:gridCol w:w="809"/>
              <w:gridCol w:w="1084"/>
              <w:gridCol w:w="1654"/>
              <w:gridCol w:w="2777"/>
              <w:gridCol w:w="921"/>
              <w:gridCol w:w="846"/>
            </w:tblGrid>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序号</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定额编号</w:t>
                  </w: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工程名称</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单位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工程量</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一</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土壤重构工程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表土剥离工程（耕地区）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推土机推土</w:t>
                  </w:r>
                  <w:r>
                    <w:rPr>
                      <w:kern w:val="0"/>
                      <w:sz w:val="21"/>
                      <w:szCs w:val="21"/>
                      <w:lang w:bidi="ar"/>
                    </w:rPr>
                    <w:t>-二类土-10m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20.13</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表土剥离工程（</w:t>
                  </w:r>
                  <w:r>
                    <w:rPr>
                      <w:rFonts w:hint="eastAsia"/>
                      <w:kern w:val="0"/>
                      <w:sz w:val="21"/>
                      <w:szCs w:val="21"/>
                      <w:lang w:eastAsia="zh-CN" w:bidi="ar"/>
                    </w:rPr>
                    <w:t>林地及草地区</w:t>
                  </w:r>
                  <w:r>
                    <w:rPr>
                      <w:rFonts w:hint="eastAsia"/>
                      <w:kern w:val="0"/>
                      <w:sz w:val="21"/>
                      <w:szCs w:val="21"/>
                      <w:lang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推土机推土</w:t>
                  </w:r>
                  <w:r>
                    <w:rPr>
                      <w:kern w:val="0"/>
                      <w:sz w:val="21"/>
                      <w:szCs w:val="21"/>
                      <w:lang w:bidi="ar"/>
                    </w:rPr>
                    <w:t>-二类土-10m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17.09</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（三）</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表土回覆（耕地区）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推土机推土</w:t>
                  </w:r>
                  <w:r>
                    <w:rPr>
                      <w:kern w:val="0"/>
                      <w:sz w:val="21"/>
                      <w:szCs w:val="21"/>
                      <w:lang w:bidi="ar"/>
                    </w:rPr>
                    <w:t>-二类土-10m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20.13</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（四）</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表土回覆（</w:t>
                  </w:r>
                  <w:r>
                    <w:rPr>
                      <w:rFonts w:hint="eastAsia"/>
                      <w:kern w:val="0"/>
                      <w:sz w:val="21"/>
                      <w:szCs w:val="21"/>
                      <w:lang w:eastAsia="zh-CN" w:bidi="ar"/>
                    </w:rPr>
                    <w:t>林地及草地区</w:t>
                  </w:r>
                  <w:r>
                    <w:rPr>
                      <w:rFonts w:hint="eastAsia"/>
                      <w:kern w:val="0"/>
                      <w:sz w:val="21"/>
                      <w:szCs w:val="21"/>
                      <w:lang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10305</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推土机推土</w:t>
                  </w:r>
                  <w:r>
                    <w:rPr>
                      <w:kern w:val="0"/>
                      <w:sz w:val="21"/>
                      <w:szCs w:val="21"/>
                      <w:lang w:bidi="ar"/>
                    </w:rPr>
                    <w:t>-二类土-10m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17.09</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（五）</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土地平整工程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10313</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推土机推土-三类土-10m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43.59</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（六）</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土壤培肥（耕地区）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参90030</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施有机</w:t>
                  </w:r>
                  <w:r>
                    <w:rPr>
                      <w:kern w:val="0"/>
                      <w:sz w:val="21"/>
                      <w:szCs w:val="21"/>
                      <w:lang w:bidi="ar"/>
                    </w:rPr>
                    <w:t>-无机混合肥-1500kg</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1.0131</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（七）</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土壤培肥（</w:t>
                  </w:r>
                  <w:r>
                    <w:rPr>
                      <w:rFonts w:hint="eastAsia"/>
                      <w:kern w:val="0"/>
                      <w:sz w:val="21"/>
                      <w:szCs w:val="21"/>
                      <w:lang w:eastAsia="zh-CN" w:bidi="ar"/>
                    </w:rPr>
                    <w:t>林地及草地区</w:t>
                  </w:r>
                  <w:r>
                    <w:rPr>
                      <w:rFonts w:hint="eastAsia"/>
                      <w:kern w:val="0"/>
                      <w:sz w:val="21"/>
                      <w:szCs w:val="21"/>
                      <w:lang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参90030</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施有机-无机混合肥-450kg</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（八）</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土地翻耕工程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10043</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土地翻耕-二类土</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1.2573</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（九）</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修建挡水梗</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10302</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推土机推土-二类土-10m</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100m</w:t>
                  </w:r>
                  <w:r>
                    <w:rPr>
                      <w:kern w:val="0"/>
                      <w:sz w:val="21"/>
                      <w:szCs w:val="21"/>
                      <w:vertAlign w:val="superscript"/>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2.20</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植被恢复工程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撒播草籽（</w:t>
                  </w:r>
                  <w:r>
                    <w:rPr>
                      <w:rFonts w:hint="eastAsia"/>
                      <w:kern w:val="0"/>
                      <w:sz w:val="21"/>
                      <w:szCs w:val="21"/>
                      <w:lang w:eastAsia="zh-CN" w:bidi="ar"/>
                    </w:rPr>
                    <w:t>林地及草地区</w:t>
                  </w:r>
                  <w:r>
                    <w:rPr>
                      <w:rFonts w:hint="eastAsia"/>
                      <w:kern w:val="0"/>
                      <w:sz w:val="21"/>
                      <w:szCs w:val="21"/>
                      <w:lang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90031</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撒播-草籽-35kg/hm2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三</w:t>
                  </w:r>
                </w:p>
              </w:tc>
              <w:tc>
                <w:tcPr>
                  <w:tcW w:w="1084"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监测工程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土地损毁监测</w:t>
                  </w:r>
                </w:p>
              </w:tc>
              <w:tc>
                <w:tcPr>
                  <w:tcW w:w="2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土地损毁情况调查</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6</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r>
                    <w:rPr>
                      <w:kern w:val="0"/>
                      <w:sz w:val="21"/>
                      <w:szCs w:val="21"/>
                      <w:lang w:bidi="ar"/>
                    </w:rPr>
                    <w:t>复垦效果监测</w:t>
                  </w:r>
                </w:p>
              </w:tc>
              <w:tc>
                <w:tcPr>
                  <w:tcW w:w="2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植被监测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27</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按市场</w:t>
                  </w:r>
                </w:p>
              </w:tc>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kern w:val="0"/>
                      <w:sz w:val="21"/>
                      <w:szCs w:val="21"/>
                      <w:lang w:bidi="ar"/>
                    </w:rPr>
                  </w:pPr>
                </w:p>
              </w:tc>
              <w:tc>
                <w:tcPr>
                  <w:tcW w:w="2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土壤监测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点•次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12</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四</w:t>
                  </w:r>
                </w:p>
              </w:tc>
              <w:tc>
                <w:tcPr>
                  <w:tcW w:w="1084"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管护工程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（一）</w:t>
                  </w:r>
                </w:p>
              </w:tc>
              <w:tc>
                <w:tcPr>
                  <w:tcW w:w="1084"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洒水灌溉工程</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参公路8007041</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洒水</w:t>
                  </w:r>
                  <w:r>
                    <w:rPr>
                      <w:kern w:val="0"/>
                      <w:sz w:val="21"/>
                      <w:szCs w:val="21"/>
                      <w:lang w:bidi="ar"/>
                    </w:rPr>
                    <w:t>-3300m</w:t>
                  </w:r>
                  <w:r>
                    <w:rPr>
                      <w:kern w:val="0"/>
                      <w:sz w:val="21"/>
                      <w:szCs w:val="21"/>
                      <w:vertAlign w:val="superscript"/>
                      <w:lang w:bidi="ar"/>
                    </w:rPr>
                    <w:t>3</w:t>
                  </w:r>
                  <w:r>
                    <w:rPr>
                      <w:kern w:val="0"/>
                      <w:sz w:val="21"/>
                      <w:szCs w:val="21"/>
                      <w:lang w:bidi="ar"/>
                    </w:rPr>
                    <w:t>/hm</w:t>
                  </w:r>
                  <w:r>
                    <w:rPr>
                      <w:kern w:val="0"/>
                      <w:sz w:val="21"/>
                      <w:szCs w:val="21"/>
                      <w:vertAlign w:val="superscript"/>
                      <w:lang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0.2442</w:t>
                  </w: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（二）</w:t>
                  </w:r>
                </w:p>
              </w:tc>
              <w:tc>
                <w:tcPr>
                  <w:tcW w:w="1084" w:type="dxa"/>
                  <w:tcBorders>
                    <w:top w:val="single" w:color="000000" w:sz="4" w:space="0"/>
                    <w:left w:val="single" w:color="000000" w:sz="4" w:space="0"/>
                    <w:bottom w:val="single" w:color="000000" w:sz="4" w:space="0"/>
                    <w:right w:val="nil"/>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4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rFonts w:hint="eastAsia"/>
                      <w:kern w:val="0"/>
                      <w:sz w:val="21"/>
                      <w:szCs w:val="21"/>
                      <w:lang w:bidi="ar"/>
                    </w:rPr>
                    <w:t>补播种草（</w:t>
                  </w:r>
                  <w:r>
                    <w:rPr>
                      <w:rFonts w:hint="eastAsia"/>
                      <w:kern w:val="0"/>
                      <w:sz w:val="21"/>
                      <w:szCs w:val="21"/>
                      <w:lang w:eastAsia="zh-CN" w:bidi="ar"/>
                    </w:rPr>
                    <w:t>林地及草地区</w:t>
                  </w:r>
                  <w:r>
                    <w:rPr>
                      <w:rFonts w:hint="eastAsia"/>
                      <w:kern w:val="0"/>
                      <w:sz w:val="21"/>
                      <w:szCs w:val="21"/>
                      <w:lang w:bidi="ar"/>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p>
              </w:tc>
            </w:tr>
            <w:tr>
              <w:tblPrEx>
                <w:tblLayout w:type="fixed"/>
                <w:tblCellMar>
                  <w:top w:w="0" w:type="dxa"/>
                  <w:left w:w="108" w:type="dxa"/>
                  <w:bottom w:w="0" w:type="dxa"/>
                  <w:right w:w="108" w:type="dxa"/>
                </w:tblCellMar>
              </w:tblPrEx>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90030</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供水管线用地</w:t>
                  </w:r>
                </w:p>
              </w:tc>
              <w:tc>
                <w:tcPr>
                  <w:tcW w:w="2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撒播-不覆土-草籽35kg</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hm</w:t>
                  </w:r>
                  <w:r>
                    <w:rPr>
                      <w:kern w:val="0"/>
                      <w:sz w:val="21"/>
                      <w:szCs w:val="21"/>
                      <w:vertAlign w:val="superscript"/>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kern w:val="0"/>
                      <w:sz w:val="21"/>
                      <w:szCs w:val="21"/>
                      <w:lang w:bidi="ar"/>
                    </w:rPr>
                  </w:pPr>
                  <w:r>
                    <w:rPr>
                      <w:kern w:val="0"/>
                      <w:sz w:val="21"/>
                      <w:szCs w:val="21"/>
                      <w:lang w:bidi="ar"/>
                    </w:rPr>
                    <w:t>0.0855</w:t>
                  </w:r>
                </w:p>
              </w:tc>
            </w:tr>
          </w:tbl>
          <w:p>
            <w:pPr>
              <w:ind w:firstLine="482"/>
              <w:contextualSpacing/>
              <w:rPr>
                <w:b/>
              </w:rPr>
            </w:pPr>
            <w:r>
              <w:rPr>
                <w:b/>
              </w:rPr>
              <w:t>3.土地复垦工作计划</w:t>
            </w:r>
          </w:p>
          <w:p>
            <w:pPr>
              <w:snapToGrid w:val="0"/>
              <w:ind w:firstLine="420"/>
              <w:jc w:val="left"/>
              <w:rPr>
                <w:sz w:val="21"/>
                <w:szCs w:val="21"/>
              </w:rPr>
            </w:pPr>
            <w:r>
              <w:rPr>
                <w:sz w:val="21"/>
                <w:szCs w:val="21"/>
              </w:rPr>
              <w:t>（1）第一阶段：建设项目施工阶段，</w:t>
            </w:r>
            <w:r>
              <w:rPr>
                <w:rFonts w:hint="eastAsia"/>
                <w:sz w:val="21"/>
                <w:szCs w:val="21"/>
              </w:rPr>
              <w:t>2024年9月至2026年8月</w:t>
            </w:r>
            <w:r>
              <w:rPr>
                <w:sz w:val="21"/>
                <w:szCs w:val="21"/>
              </w:rPr>
              <w:t>，开展复垦前期工作，并对项目临时用地进行</w:t>
            </w:r>
            <w:r>
              <w:rPr>
                <w:rFonts w:hint="eastAsia"/>
                <w:sz w:val="21"/>
                <w:szCs w:val="21"/>
              </w:rPr>
              <w:t>土地损毁监测、土壤质量监测、表土剥离、</w:t>
            </w:r>
            <w:r>
              <w:rPr>
                <w:sz w:val="21"/>
                <w:szCs w:val="21"/>
              </w:rPr>
              <w:t>监管、控制，防止超范围、超期使用土地。</w:t>
            </w:r>
          </w:p>
          <w:p>
            <w:pPr>
              <w:snapToGrid w:val="0"/>
              <w:ind w:firstLine="420"/>
              <w:jc w:val="left"/>
              <w:rPr>
                <w:sz w:val="21"/>
                <w:szCs w:val="21"/>
              </w:rPr>
            </w:pPr>
            <w:r>
              <w:rPr>
                <w:sz w:val="21"/>
                <w:szCs w:val="21"/>
              </w:rPr>
              <w:t>（2）第二阶段：复垦施工阶段，</w:t>
            </w:r>
            <w:r>
              <w:rPr>
                <w:rFonts w:hint="eastAsia"/>
                <w:sz w:val="21"/>
                <w:szCs w:val="21"/>
              </w:rPr>
              <w:t>2026年8月至2027年3月</w:t>
            </w:r>
            <w:r>
              <w:rPr>
                <w:sz w:val="21"/>
                <w:szCs w:val="21"/>
              </w:rPr>
              <w:t>，主要对项目建设临时损毁的土地采取工程措施、生物化学复垦措施。</w:t>
            </w:r>
          </w:p>
          <w:p>
            <w:pPr>
              <w:ind w:firstLine="420"/>
              <w:contextualSpacing/>
            </w:pPr>
            <w:r>
              <w:rPr>
                <w:sz w:val="21"/>
                <w:szCs w:val="21"/>
              </w:rPr>
              <w:t>（3）第三阶段：监测与管护阶段，</w:t>
            </w:r>
            <w:r>
              <w:rPr>
                <w:rFonts w:hint="eastAsia"/>
                <w:sz w:val="21"/>
                <w:szCs w:val="21"/>
              </w:rPr>
              <w:t>2027年4月至2030年3月</w:t>
            </w:r>
            <w:r>
              <w:rPr>
                <w:sz w:val="21"/>
                <w:szCs w:val="21"/>
              </w:rPr>
              <w:t>，主要对复垦土地进行监测和管护，在第二阶段复垦工程实施基础上，对重建植被采取管护措施以及复垦效果监测。</w:t>
            </w:r>
          </w:p>
          <w:p>
            <w:pPr>
              <w:ind w:firstLine="482"/>
              <w:contextualSpacing/>
              <w:rPr>
                <w:b/>
              </w:rPr>
            </w:pPr>
            <w:r>
              <w:rPr>
                <w:b/>
              </w:rPr>
              <w:t>4.土地复垦保障措施</w:t>
            </w:r>
          </w:p>
          <w:p>
            <w:pPr>
              <w:ind w:firstLine="480"/>
              <w:contextualSpacing/>
            </w:pPr>
            <w:r>
              <w:t>（1）土地复垦方案报请自然资源行政主管部门审批后，由建设单位负责组织实施，认真贯彻、执行“谁破坏、谁复垦”的复垦方针；</w:t>
            </w:r>
          </w:p>
          <w:p>
            <w:pPr>
              <w:ind w:firstLine="480"/>
              <w:contextualSpacing/>
            </w:pPr>
            <w:r>
              <w:t>（2）切实加强领导，真正做到责任、措施和投入“三到位”，认真组织方案的实施和管理，定期检查，接受社会监督；</w:t>
            </w:r>
          </w:p>
          <w:p>
            <w:pPr>
              <w:ind w:firstLine="480"/>
              <w:contextualSpacing/>
            </w:pPr>
            <w:r>
              <w:t>（3）加强土地复垦的宣传、教育工作，提高各级管理人员、施工人员的土地复垦意识；</w:t>
            </w:r>
          </w:p>
          <w:p>
            <w:pPr>
              <w:ind w:firstLine="480"/>
              <w:contextualSpacing/>
            </w:pPr>
            <w:r>
              <w:t>（4）土地复垦施工时，应采取各种有效措施，避免对其范围外的土地进行扰动、破坏，避免对周边生态环境造成影响；</w:t>
            </w:r>
          </w:p>
          <w:p>
            <w:pPr>
              <w:ind w:firstLine="480"/>
              <w:contextualSpacing/>
            </w:pPr>
            <w:r>
              <w:t>（5）土地复垦施工时，应采取各种有效措施，避免对其范围外的土地进行扰动、破坏，避免对周边生态环境造成影响；</w:t>
            </w:r>
          </w:p>
          <w:p>
            <w:pPr>
              <w:ind w:firstLine="480"/>
              <w:rPr>
                <w:sz w:val="21"/>
                <w:szCs w:val="21"/>
              </w:rPr>
            </w:pPr>
            <w:r>
              <w:t>（6）土地复垦投资应列入相应资金计划，土地复垦费用应专款专用，根据土地复垦实施进度与资金年度计划按期拨付，并进行监督、检查。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91" w:type="dxa"/>
            <w:vMerge w:val="restart"/>
            <w:vAlign w:val="center"/>
          </w:tcPr>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p>
          <w:p>
            <w:pPr>
              <w:spacing w:line="240" w:lineRule="auto"/>
              <w:ind w:firstLine="0" w:firstLineChars="0"/>
              <w:jc w:val="center"/>
              <w:rPr>
                <w:rFonts w:eastAsia="黑体"/>
                <w:sz w:val="21"/>
                <w:szCs w:val="21"/>
              </w:rPr>
            </w:pPr>
            <w:r>
              <w:rPr>
                <w:rFonts w:eastAsia="黑体"/>
                <w:sz w:val="21"/>
                <w:szCs w:val="21"/>
              </w:rPr>
              <w:t>投资估算</w:t>
            </w:r>
          </w:p>
        </w:tc>
        <w:tc>
          <w:tcPr>
            <w:tcW w:w="426" w:type="dxa"/>
            <w:vAlign w:val="center"/>
          </w:tcPr>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p>
          <w:p>
            <w:pPr>
              <w:spacing w:line="240" w:lineRule="auto"/>
              <w:ind w:firstLine="0" w:firstLineChars="0"/>
              <w:jc w:val="left"/>
              <w:rPr>
                <w:rFonts w:eastAsia="黑体"/>
                <w:sz w:val="21"/>
                <w:szCs w:val="21"/>
              </w:rPr>
            </w:pPr>
            <w:r>
              <w:rPr>
                <w:rFonts w:eastAsia="黑体"/>
                <w:sz w:val="21"/>
                <w:szCs w:val="21"/>
              </w:rPr>
              <w:t>测</w:t>
            </w:r>
          </w:p>
          <w:p>
            <w:pPr>
              <w:spacing w:line="240" w:lineRule="auto"/>
              <w:ind w:firstLine="0" w:firstLineChars="0"/>
              <w:jc w:val="left"/>
              <w:rPr>
                <w:rFonts w:eastAsia="黑体"/>
                <w:sz w:val="21"/>
                <w:szCs w:val="21"/>
              </w:rPr>
            </w:pPr>
            <w:r>
              <w:rPr>
                <w:rFonts w:eastAsia="黑体"/>
                <w:sz w:val="21"/>
                <w:szCs w:val="21"/>
              </w:rPr>
              <w:t>算</w:t>
            </w:r>
          </w:p>
          <w:p>
            <w:pPr>
              <w:spacing w:line="240" w:lineRule="auto"/>
              <w:ind w:firstLine="0" w:firstLineChars="0"/>
              <w:jc w:val="left"/>
              <w:rPr>
                <w:rFonts w:eastAsia="黑体"/>
                <w:sz w:val="21"/>
                <w:szCs w:val="21"/>
              </w:rPr>
            </w:pPr>
            <w:r>
              <w:rPr>
                <w:rFonts w:eastAsia="黑体"/>
                <w:sz w:val="21"/>
                <w:szCs w:val="21"/>
              </w:rPr>
              <w:t>依</w:t>
            </w:r>
          </w:p>
          <w:p>
            <w:pPr>
              <w:spacing w:line="240" w:lineRule="auto"/>
              <w:ind w:firstLine="0" w:firstLineChars="0"/>
              <w:jc w:val="left"/>
              <w:rPr>
                <w:rFonts w:eastAsia="黑体"/>
                <w:sz w:val="21"/>
                <w:szCs w:val="21"/>
              </w:rPr>
            </w:pPr>
            <w:r>
              <w:rPr>
                <w:rFonts w:eastAsia="黑体"/>
                <w:sz w:val="21"/>
                <w:szCs w:val="21"/>
              </w:rPr>
              <w:t>据</w:t>
            </w:r>
          </w:p>
        </w:tc>
        <w:tc>
          <w:tcPr>
            <w:tcW w:w="8337" w:type="dxa"/>
            <w:gridSpan w:val="13"/>
          </w:tcPr>
          <w:p>
            <w:pPr>
              <w:ind w:firstLine="482"/>
              <w:contextualSpacing/>
              <w:rPr>
                <w:b/>
              </w:rPr>
            </w:pPr>
            <w:r>
              <w:rPr>
                <w:b/>
              </w:rPr>
              <w:t>土地复垦投资估算依据</w:t>
            </w:r>
          </w:p>
          <w:p>
            <w:pPr>
              <w:ind w:firstLine="480"/>
              <w:contextualSpacing/>
            </w:pPr>
            <w:r>
              <w:t>（1）《土地复垦方案编制规程》（TD/T1031.1-2011）；</w:t>
            </w:r>
          </w:p>
          <w:p>
            <w:pPr>
              <w:ind w:firstLine="480"/>
              <w:contextualSpacing/>
            </w:pPr>
            <w:r>
              <w:t>（2）财政部、国土资源部《土地开发整理项目预算编制规定》（2012年）；</w:t>
            </w:r>
          </w:p>
          <w:p>
            <w:pPr>
              <w:ind w:firstLine="480"/>
              <w:contextualSpacing/>
            </w:pPr>
            <w:r>
              <w:t>（3）财政部、国土资源部《土地开发整理项目预算定额标准》（2012年）；</w:t>
            </w:r>
          </w:p>
          <w:p>
            <w:pPr>
              <w:ind w:firstLine="480"/>
              <w:contextualSpacing/>
            </w:pPr>
            <w:r>
              <w:t>（4）财政部、国土资源部《土地开发整理项目施工机械台班费定额》（2012年）；</w:t>
            </w:r>
          </w:p>
          <w:p>
            <w:pPr>
              <w:ind w:firstLine="480"/>
              <w:contextualSpacing/>
            </w:pPr>
            <w:r>
              <w:t>（5）国土资源部土地整理中心《土地复垦方案编制实务》（2011年）；</w:t>
            </w:r>
          </w:p>
          <w:p>
            <w:pPr>
              <w:ind w:firstLine="480"/>
              <w:contextualSpacing/>
            </w:pPr>
            <w:r>
              <w:t>（6）《自然资源部关于规范临时用地管理的通知》自然资规〔2021〕2号；</w:t>
            </w:r>
          </w:p>
          <w:p>
            <w:pPr>
              <w:ind w:firstLine="480"/>
              <w:contextualSpacing/>
            </w:pPr>
            <w:r>
              <w:t>（7）《关于进一步规范临时用地管理的通知》（新自然资规〔2022〕2号）</w:t>
            </w:r>
          </w:p>
          <w:p>
            <w:pPr>
              <w:ind w:firstLine="480"/>
              <w:rPr>
                <w:sz w:val="21"/>
                <w:szCs w:val="21"/>
              </w:rPr>
            </w:pPr>
            <w:r>
              <w:t>（8）《</w:t>
            </w:r>
            <w:r>
              <w:rPr>
                <w:rFonts w:hint="eastAsia"/>
              </w:rPr>
              <w:t>2024年7</w:t>
            </w:r>
            <w:r>
              <w:t>月喀什地区建设工程除税综合价格信息》（</w:t>
            </w:r>
            <w:r>
              <w:rPr>
                <w:rFonts w:hint="eastAsia"/>
              </w:rPr>
              <w:t>喀什地区</w:t>
            </w:r>
            <w:r>
              <w:t>住房和城乡建设局</w:t>
            </w:r>
            <w:r>
              <w:rPr>
                <w:rFonts w:hint="eastAsia"/>
              </w:rPr>
              <w:t>2024年8</w:t>
            </w:r>
            <w:r>
              <w:t>月</w:t>
            </w:r>
            <w:r>
              <w:rPr>
                <w:rFonts w:hint="eastAsia"/>
              </w:rPr>
              <w:t>22</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restart"/>
            <w:vAlign w:val="center"/>
          </w:tcPr>
          <w:p>
            <w:pPr>
              <w:spacing w:line="240" w:lineRule="auto"/>
              <w:ind w:firstLine="0" w:firstLineChars="0"/>
              <w:jc w:val="left"/>
              <w:rPr>
                <w:sz w:val="21"/>
                <w:szCs w:val="21"/>
              </w:rPr>
            </w:pPr>
            <w:r>
              <w:rPr>
                <w:rFonts w:eastAsia="黑体"/>
                <w:sz w:val="21"/>
                <w:szCs w:val="21"/>
              </w:rPr>
              <w:t>费用构成</w:t>
            </w:r>
          </w:p>
        </w:tc>
        <w:tc>
          <w:tcPr>
            <w:tcW w:w="1070" w:type="dxa"/>
            <w:gridSpan w:val="2"/>
            <w:vAlign w:val="center"/>
          </w:tcPr>
          <w:p>
            <w:pPr>
              <w:widowControl/>
              <w:spacing w:line="240" w:lineRule="auto"/>
              <w:ind w:firstLine="0" w:firstLineChars="0"/>
              <w:jc w:val="center"/>
              <w:rPr>
                <w:b/>
                <w:kern w:val="0"/>
              </w:rPr>
            </w:pPr>
            <w:r>
              <w:rPr>
                <w:b/>
                <w:kern w:val="0"/>
              </w:rPr>
              <w:t>序号</w:t>
            </w:r>
          </w:p>
        </w:tc>
        <w:tc>
          <w:tcPr>
            <w:tcW w:w="2746" w:type="dxa"/>
            <w:gridSpan w:val="2"/>
            <w:vAlign w:val="center"/>
          </w:tcPr>
          <w:p>
            <w:pPr>
              <w:widowControl/>
              <w:spacing w:line="240" w:lineRule="auto"/>
              <w:ind w:firstLine="0" w:firstLineChars="0"/>
              <w:jc w:val="center"/>
              <w:rPr>
                <w:b/>
                <w:kern w:val="0"/>
              </w:rPr>
            </w:pPr>
            <w:r>
              <w:rPr>
                <w:b/>
                <w:kern w:val="0"/>
              </w:rPr>
              <w:t>工程或费用名称</w:t>
            </w:r>
          </w:p>
        </w:tc>
        <w:tc>
          <w:tcPr>
            <w:tcW w:w="1616" w:type="dxa"/>
            <w:gridSpan w:val="4"/>
            <w:vAlign w:val="center"/>
          </w:tcPr>
          <w:p>
            <w:pPr>
              <w:widowControl/>
              <w:spacing w:line="240" w:lineRule="auto"/>
              <w:ind w:firstLine="0" w:firstLineChars="0"/>
              <w:jc w:val="center"/>
              <w:rPr>
                <w:b/>
                <w:kern w:val="0"/>
              </w:rPr>
            </w:pPr>
            <w:r>
              <w:rPr>
                <w:b/>
                <w:kern w:val="0"/>
              </w:rPr>
              <w:t>费用/万元</w:t>
            </w:r>
          </w:p>
        </w:tc>
        <w:tc>
          <w:tcPr>
            <w:tcW w:w="2905" w:type="dxa"/>
            <w:gridSpan w:val="5"/>
            <w:vAlign w:val="center"/>
          </w:tcPr>
          <w:p>
            <w:pPr>
              <w:widowControl/>
              <w:spacing w:line="240" w:lineRule="auto"/>
              <w:ind w:firstLine="0" w:firstLineChars="0"/>
              <w:jc w:val="center"/>
              <w:rPr>
                <w:b/>
                <w:kern w:val="0"/>
              </w:rPr>
            </w:pPr>
            <w:r>
              <w:rPr>
                <w:b/>
                <w:kern w:val="0"/>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一</w:t>
            </w:r>
          </w:p>
        </w:tc>
        <w:tc>
          <w:tcPr>
            <w:tcW w:w="2746" w:type="dxa"/>
            <w:gridSpan w:val="2"/>
            <w:vAlign w:val="center"/>
          </w:tcPr>
          <w:p>
            <w:pPr>
              <w:widowControl/>
              <w:spacing w:line="240" w:lineRule="auto"/>
              <w:ind w:firstLine="0" w:firstLineChars="0"/>
              <w:jc w:val="center"/>
              <w:rPr>
                <w:kern w:val="0"/>
              </w:rPr>
            </w:pPr>
            <w:r>
              <w:rPr>
                <w:kern w:val="0"/>
              </w:rPr>
              <w:t>工程施工费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7.31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53.98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二</w:t>
            </w:r>
          </w:p>
        </w:tc>
        <w:tc>
          <w:tcPr>
            <w:tcW w:w="2746" w:type="dxa"/>
            <w:gridSpan w:val="2"/>
            <w:vAlign w:val="center"/>
          </w:tcPr>
          <w:p>
            <w:pPr>
              <w:widowControl/>
              <w:spacing w:line="240" w:lineRule="auto"/>
              <w:ind w:firstLine="0" w:firstLineChars="0"/>
              <w:jc w:val="center"/>
              <w:rPr>
                <w:kern w:val="0"/>
              </w:rPr>
            </w:pPr>
            <w:r>
              <w:rPr>
                <w:kern w:val="0"/>
              </w:rPr>
              <w:t>设备费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0.00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三</w:t>
            </w:r>
          </w:p>
        </w:tc>
        <w:tc>
          <w:tcPr>
            <w:tcW w:w="2746" w:type="dxa"/>
            <w:gridSpan w:val="2"/>
            <w:vAlign w:val="center"/>
          </w:tcPr>
          <w:p>
            <w:pPr>
              <w:widowControl/>
              <w:spacing w:line="240" w:lineRule="auto"/>
              <w:ind w:firstLine="0" w:firstLineChars="0"/>
              <w:jc w:val="center"/>
              <w:rPr>
                <w:kern w:val="0"/>
              </w:rPr>
            </w:pPr>
            <w:r>
              <w:rPr>
                <w:kern w:val="0"/>
              </w:rPr>
              <w:t>其他费用</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2.70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四</w:t>
            </w:r>
          </w:p>
        </w:tc>
        <w:tc>
          <w:tcPr>
            <w:tcW w:w="2746" w:type="dxa"/>
            <w:gridSpan w:val="2"/>
            <w:vAlign w:val="center"/>
          </w:tcPr>
          <w:p>
            <w:pPr>
              <w:widowControl/>
              <w:spacing w:line="240" w:lineRule="auto"/>
              <w:ind w:firstLine="0" w:firstLineChars="0"/>
              <w:jc w:val="center"/>
              <w:rPr>
                <w:kern w:val="0"/>
              </w:rPr>
            </w:pPr>
            <w:r>
              <w:rPr>
                <w:kern w:val="0"/>
              </w:rPr>
              <w:t>监测与管护费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3.23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（一）</w:t>
            </w:r>
          </w:p>
        </w:tc>
        <w:tc>
          <w:tcPr>
            <w:tcW w:w="2746" w:type="dxa"/>
            <w:gridSpan w:val="2"/>
            <w:vAlign w:val="center"/>
          </w:tcPr>
          <w:p>
            <w:pPr>
              <w:widowControl/>
              <w:spacing w:line="240" w:lineRule="auto"/>
              <w:ind w:firstLine="0" w:firstLineChars="0"/>
              <w:jc w:val="center"/>
              <w:rPr>
                <w:kern w:val="0"/>
              </w:rPr>
            </w:pPr>
            <w:r>
              <w:rPr>
                <w:kern w:val="0"/>
              </w:rPr>
              <w:t>复垦监测费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2.37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（二）</w:t>
            </w:r>
          </w:p>
        </w:tc>
        <w:tc>
          <w:tcPr>
            <w:tcW w:w="2746" w:type="dxa"/>
            <w:gridSpan w:val="2"/>
            <w:vAlign w:val="center"/>
          </w:tcPr>
          <w:p>
            <w:pPr>
              <w:widowControl/>
              <w:spacing w:line="240" w:lineRule="auto"/>
              <w:ind w:firstLine="0" w:firstLineChars="0"/>
              <w:jc w:val="center"/>
              <w:rPr>
                <w:kern w:val="0"/>
              </w:rPr>
            </w:pPr>
            <w:r>
              <w:rPr>
                <w:kern w:val="0"/>
              </w:rPr>
              <w:t>管护费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0.86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五</w:t>
            </w:r>
          </w:p>
        </w:tc>
        <w:tc>
          <w:tcPr>
            <w:tcW w:w="2746" w:type="dxa"/>
            <w:gridSpan w:val="2"/>
            <w:vAlign w:val="center"/>
          </w:tcPr>
          <w:p>
            <w:pPr>
              <w:widowControl/>
              <w:spacing w:line="240" w:lineRule="auto"/>
              <w:ind w:firstLine="0" w:firstLineChars="0"/>
              <w:jc w:val="center"/>
              <w:rPr>
                <w:kern w:val="0"/>
              </w:rPr>
            </w:pPr>
            <w:r>
              <w:rPr>
                <w:kern w:val="0"/>
              </w:rPr>
              <w:t>预备费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0.30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（一）</w:t>
            </w:r>
          </w:p>
        </w:tc>
        <w:tc>
          <w:tcPr>
            <w:tcW w:w="2746" w:type="dxa"/>
            <w:gridSpan w:val="2"/>
            <w:vAlign w:val="center"/>
          </w:tcPr>
          <w:p>
            <w:pPr>
              <w:widowControl/>
              <w:spacing w:line="240" w:lineRule="auto"/>
              <w:ind w:firstLine="0" w:firstLineChars="0"/>
              <w:jc w:val="center"/>
              <w:rPr>
                <w:kern w:val="0"/>
              </w:rPr>
            </w:pPr>
            <w:r>
              <w:rPr>
                <w:kern w:val="0"/>
              </w:rPr>
              <w:t>基本预备费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0.30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（二）</w:t>
            </w:r>
          </w:p>
        </w:tc>
        <w:tc>
          <w:tcPr>
            <w:tcW w:w="2746" w:type="dxa"/>
            <w:gridSpan w:val="2"/>
            <w:vAlign w:val="center"/>
          </w:tcPr>
          <w:p>
            <w:pPr>
              <w:widowControl/>
              <w:spacing w:line="240" w:lineRule="auto"/>
              <w:ind w:firstLine="0" w:firstLineChars="0"/>
              <w:jc w:val="center"/>
              <w:rPr>
                <w:kern w:val="0"/>
              </w:rPr>
            </w:pPr>
            <w:r>
              <w:rPr>
                <w:kern w:val="0"/>
              </w:rPr>
              <w:t>价差预备费</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0.00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（三）</w:t>
            </w:r>
          </w:p>
        </w:tc>
        <w:tc>
          <w:tcPr>
            <w:tcW w:w="2746" w:type="dxa"/>
            <w:gridSpan w:val="2"/>
            <w:vAlign w:val="center"/>
          </w:tcPr>
          <w:p>
            <w:pPr>
              <w:widowControl/>
              <w:spacing w:line="240" w:lineRule="auto"/>
              <w:ind w:firstLine="0" w:firstLineChars="0"/>
              <w:jc w:val="center"/>
              <w:rPr>
                <w:kern w:val="0"/>
              </w:rPr>
            </w:pPr>
            <w:r>
              <w:rPr>
                <w:kern w:val="0"/>
              </w:rPr>
              <w:t>风险金</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0.00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1070" w:type="dxa"/>
            <w:gridSpan w:val="2"/>
            <w:vAlign w:val="center"/>
          </w:tcPr>
          <w:p>
            <w:pPr>
              <w:widowControl/>
              <w:spacing w:line="240" w:lineRule="auto"/>
              <w:ind w:firstLine="0" w:firstLineChars="0"/>
              <w:jc w:val="center"/>
              <w:rPr>
                <w:kern w:val="0"/>
              </w:rPr>
            </w:pPr>
            <w:r>
              <w:rPr>
                <w:kern w:val="0"/>
              </w:rPr>
              <w:t>六</w:t>
            </w:r>
          </w:p>
        </w:tc>
        <w:tc>
          <w:tcPr>
            <w:tcW w:w="2746" w:type="dxa"/>
            <w:gridSpan w:val="2"/>
            <w:vAlign w:val="center"/>
          </w:tcPr>
          <w:p>
            <w:pPr>
              <w:widowControl/>
              <w:spacing w:line="240" w:lineRule="auto"/>
              <w:ind w:firstLine="0" w:firstLineChars="0"/>
              <w:jc w:val="center"/>
              <w:rPr>
                <w:kern w:val="0"/>
              </w:rPr>
            </w:pPr>
            <w:r>
              <w:rPr>
                <w:kern w:val="0"/>
              </w:rPr>
              <w:t>静态总投资</w:t>
            </w:r>
          </w:p>
        </w:tc>
        <w:tc>
          <w:tcPr>
            <w:tcW w:w="1616" w:type="dxa"/>
            <w:gridSpan w:val="4"/>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 xml:space="preserve">13.54 </w:t>
            </w:r>
          </w:p>
        </w:tc>
        <w:tc>
          <w:tcPr>
            <w:tcW w:w="2905" w:type="dxa"/>
            <w:gridSpan w:val="5"/>
            <w:vAlign w:val="center"/>
          </w:tcPr>
          <w:p>
            <w:pPr>
              <w:widowControl/>
              <w:spacing w:line="240" w:lineRule="auto"/>
              <w:ind w:firstLine="0" w:firstLineChars="0"/>
              <w:jc w:val="center"/>
              <w:rPr>
                <w:rFonts w:ascii="Times New Roman" w:hAnsi="Times New Roman" w:cs="Times New Roman"/>
                <w:kern w:val="0"/>
              </w:rPr>
            </w:pPr>
            <w:r>
              <w:rPr>
                <w:rFonts w:hint="default" w:ascii="Times New Roman" w:hAnsi="Times New Roman" w:cs="Times New Roman"/>
                <w:kern w:val="0"/>
                <w:lang w:val="en-US" w:eastAsia="zh-CN"/>
              </w:rPr>
              <w:t>100.00</w:t>
            </w:r>
          </w:p>
        </w:tc>
      </w:tr>
    </w:tbl>
    <w:p>
      <w:pPr>
        <w:spacing w:line="240" w:lineRule="auto"/>
        <w:ind w:firstLine="420"/>
        <w:rPr>
          <w:rFonts w:eastAsia="黑体"/>
          <w:sz w:val="21"/>
          <w:szCs w:val="21"/>
        </w:rPr>
      </w:pPr>
      <w:r>
        <w:rPr>
          <w:rFonts w:hint="eastAsia" w:ascii="黑体" w:hAnsi="黑体" w:eastAsia="黑体" w:cs="黑体"/>
          <w:sz w:val="21"/>
          <w:szCs w:val="21"/>
        </w:rPr>
        <w:t>填表人：唐莹</w:t>
      </w:r>
      <w:r>
        <w:rPr>
          <w:rFonts w:hint="eastAsia" w:ascii="黑体" w:hAnsi="黑体" w:eastAsia="黑体" w:cs="黑体"/>
          <w:sz w:val="21"/>
          <w:szCs w:val="21"/>
          <w:lang w:val="en-US" w:eastAsia="zh-CN"/>
        </w:rPr>
        <w:t xml:space="preserve">                                                  </w:t>
      </w:r>
      <w:r>
        <w:rPr>
          <w:rFonts w:eastAsia="黑体"/>
          <w:sz w:val="21"/>
          <w:szCs w:val="21"/>
        </w:rPr>
        <w:t>填表日期：</w:t>
      </w:r>
      <w:r>
        <w:rPr>
          <w:rFonts w:hint="eastAsia" w:eastAsia="黑体"/>
          <w:sz w:val="21"/>
          <w:szCs w:val="21"/>
        </w:rPr>
        <w:t>2024年9月</w:t>
      </w:r>
    </w:p>
    <w:p>
      <w:pPr>
        <w:spacing w:line="240" w:lineRule="auto"/>
        <w:ind w:firstLine="482"/>
        <w:jc w:val="center"/>
        <w:outlineLvl w:val="0"/>
        <w:rPr>
          <w:b/>
          <w:szCs w:val="21"/>
        </w:rPr>
      </w:pPr>
      <w:bookmarkStart w:id="837" w:name="_Toc4765"/>
      <w:bookmarkStart w:id="838" w:name="_Toc21803"/>
      <w:bookmarkStart w:id="839" w:name="_Toc21766"/>
      <w:bookmarkStart w:id="840" w:name="_Toc22717"/>
      <w:bookmarkStart w:id="841" w:name="_Toc116061710"/>
      <w:bookmarkStart w:id="842" w:name="_Toc5973"/>
      <w:bookmarkStart w:id="843" w:name="_Toc18797"/>
      <w:bookmarkStart w:id="844" w:name="_Toc3461"/>
      <w:bookmarkStart w:id="845" w:name="_Toc1259"/>
      <w:r>
        <w:rPr>
          <w:b/>
          <w:szCs w:val="21"/>
        </w:rPr>
        <w:t>填表说明</w:t>
      </w:r>
      <w:bookmarkEnd w:id="837"/>
      <w:bookmarkEnd w:id="838"/>
      <w:bookmarkEnd w:id="839"/>
      <w:bookmarkEnd w:id="840"/>
      <w:bookmarkEnd w:id="841"/>
      <w:bookmarkEnd w:id="842"/>
      <w:bookmarkEnd w:id="843"/>
      <w:bookmarkEnd w:id="844"/>
      <w:bookmarkEnd w:id="845"/>
    </w:p>
    <w:p>
      <w:pPr>
        <w:spacing w:line="240" w:lineRule="auto"/>
        <w:ind w:firstLine="480"/>
        <w:rPr>
          <w:szCs w:val="21"/>
        </w:rPr>
      </w:pPr>
      <w:r>
        <w:rPr>
          <w:szCs w:val="21"/>
        </w:rPr>
        <w:t>1.有关指标解释、编制原则、编制依据、主要计量单位等同报告书要求。</w:t>
      </w:r>
    </w:p>
    <w:p>
      <w:pPr>
        <w:spacing w:line="240" w:lineRule="auto"/>
        <w:ind w:firstLine="480"/>
        <w:rPr>
          <w:szCs w:val="21"/>
        </w:rPr>
      </w:pPr>
      <w:r>
        <w:rPr>
          <w:szCs w:val="21"/>
        </w:rPr>
        <w:t>2.表内关系：</w:t>
      </w:r>
    </w:p>
    <w:p>
      <w:pPr>
        <w:spacing w:line="240" w:lineRule="auto"/>
        <w:ind w:firstLine="480"/>
        <w:rPr>
          <w:szCs w:val="21"/>
        </w:rPr>
      </w:pPr>
      <w:r>
        <w:rPr>
          <w:szCs w:val="21"/>
        </w:rPr>
        <w:t>（1）复垦区面积=永久性用地面积+损毁土地面积=复垦区土地利用现状合计。</w:t>
      </w:r>
    </w:p>
    <w:p>
      <w:pPr>
        <w:spacing w:line="240" w:lineRule="auto"/>
        <w:ind w:firstLine="480"/>
      </w:pPr>
      <w:r>
        <w:rPr>
          <w:szCs w:val="21"/>
        </w:rPr>
        <w:t>（2）损毁土地面积=复垦责任范围内土地损毁类型合计≥复垦面积合计。</w:t>
      </w:r>
    </w:p>
    <w:p>
      <w:pPr>
        <w:spacing w:line="240" w:lineRule="auto"/>
        <w:ind w:firstLine="480"/>
      </w:pPr>
      <w:bookmarkStart w:id="846" w:name="_GoBack"/>
      <w:r>
        <w:rPr>
          <w:rFonts w:hint="eastAsia" w:ascii="仿宋_GB2312" w:hAnsi="仿宋_GB2312" w:eastAsia="仿宋_GB2312" w:cs="仿宋_GB2312"/>
          <w:szCs w:val="32"/>
          <w:lang w:eastAsia="zh-CN"/>
        </w:rPr>
        <w:drawing>
          <wp:anchor distT="0" distB="0" distL="114300" distR="114300" simplePos="0" relativeHeight="251801600" behindDoc="1" locked="0" layoutInCell="1" allowOverlap="1">
            <wp:simplePos x="0" y="0"/>
            <wp:positionH relativeFrom="column">
              <wp:posOffset>0</wp:posOffset>
            </wp:positionH>
            <wp:positionV relativeFrom="paragraph">
              <wp:posOffset>63500</wp:posOffset>
            </wp:positionV>
            <wp:extent cx="7559675" cy="10692130"/>
            <wp:effectExtent l="0" t="0" r="9525" b="1270"/>
            <wp:wrapThrough wrapText="bothSides">
              <wp:wrapPolygon>
                <wp:start x="0" y="0"/>
                <wp:lineTo x="0" y="21577"/>
                <wp:lineTo x="21555" y="21577"/>
                <wp:lineTo x="21555" y="0"/>
                <wp:lineTo x="0" y="0"/>
              </wp:wrapPolygon>
            </wp:wrapThrough>
            <wp:docPr id="23" name="图片 23" descr="E:/肖雪/报告书/胡总/喀什（复垦）-阳光测绘/喀什地区泽普县供水城乡一体化建设工程（泽普县农村规模化供水管道连通工程）/专家意见/复核意见/《喀什地区泽普县供水城乡一体化建设工程（泽普县农村规模化供水管道连通工程）临时用地土地复垦方案报告书》专家复核意见_01.jpg《喀什地区泽普县供水城乡一体化建设工程（泽普县农村规模化供水管道连通工程）临时用地土地复垦方案报告书》专家复核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肖雪/报告书/胡总/喀什（复垦）-阳光测绘/喀什地区泽普县供水城乡一体化建设工程（泽普县农村规模化供水管道连通工程）/专家意见/复核意见/《喀什地区泽普县供水城乡一体化建设工程（泽普县农村规模化供水管道连通工程）临时用地土地复垦方案报告书》专家复核意见_01.jpg《喀什地区泽普县供水城乡一体化建设工程（泽普县农村规模化供水管道连通工程）临时用地土地复垦方案报告书》专家复核意见_01"/>
                    <pic:cNvPicPr>
                      <a:picLocks noChangeAspect="1"/>
                    </pic:cNvPicPr>
                  </pic:nvPicPr>
                  <pic:blipFill>
                    <a:blip r:embed="rId23"/>
                    <a:srcRect/>
                    <a:stretch>
                      <a:fillRect/>
                    </a:stretch>
                  </pic:blipFill>
                  <pic:spPr>
                    <a:xfrm>
                      <a:off x="0" y="0"/>
                      <a:ext cx="7559675" cy="10692130"/>
                    </a:xfrm>
                    <a:prstGeom prst="rect">
                      <a:avLst/>
                    </a:prstGeom>
                  </pic:spPr>
                </pic:pic>
              </a:graphicData>
            </a:graphic>
          </wp:anchor>
        </w:drawing>
      </w:r>
      <w:bookmarkEnd w:id="846"/>
    </w:p>
    <w:sectPr>
      <w:type w:val="nextColumn"/>
      <w:pgSz w:w="11906" w:h="16838"/>
      <w:pgMar w:top="1418" w:right="1247" w:bottom="1418" w:left="1247" w:header="851" w:footer="992" w:gutter="34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楷体简体">
    <w:panose1 w:val="02010601030101010101"/>
    <w:charset w:val="86"/>
    <w:family w:val="auto"/>
    <w:pitch w:val="default"/>
    <w:sig w:usb0="00000001" w:usb1="080E0000" w:usb2="00000000" w:usb3="00000000" w:csb0="00040000" w:csb1="00000000"/>
  </w:font>
  <w:font w:name="Georgia">
    <w:panose1 w:val="02040502050405020303"/>
    <w:charset w:val="00"/>
    <w:family w:val="roman"/>
    <w:pitch w:val="default"/>
    <w:sig w:usb0="00000287" w:usb1="00000000" w:usb2="00000000" w:usb3="00000000" w:csb0="2000009F" w:csb1="00000000"/>
  </w:font>
  <w:font w:name="TIME">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HiddenHorzOCl">
    <w:altName w:val="宋体"/>
    <w:panose1 w:val="00000000000000000000"/>
    <w:charset w:val="86"/>
    <w:family w:val="swiss"/>
    <w:pitch w:val="default"/>
    <w:sig w:usb0="00000000" w:usb1="00000000" w:usb2="0000001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0" w:lineRule="exact"/>
      <w:ind w:firstLine="0" w:firstLineChars="0"/>
      <w:rPr>
        <w:spacing w:val="-10"/>
        <w:sz w:val="21"/>
        <w:szCs w:val="21"/>
      </w:rPr>
    </w:pPr>
    <w:r>
      <w:rPr>
        <w:sz w:val="21"/>
        <w:szCs w:val="21"/>
      </w:rPr>
      <mc:AlternateContent>
        <mc:Choice Requires="wps">
          <w:drawing>
            <wp:anchor distT="0" distB="0" distL="114300" distR="114300" simplePos="0" relativeHeight="251688960" behindDoc="0" locked="0" layoutInCell="1" allowOverlap="1">
              <wp:simplePos x="0" y="0"/>
              <wp:positionH relativeFrom="column">
                <wp:posOffset>50800</wp:posOffset>
              </wp:positionH>
              <wp:positionV relativeFrom="paragraph">
                <wp:posOffset>24130</wp:posOffset>
              </wp:positionV>
              <wp:extent cx="2764155" cy="254000"/>
              <wp:effectExtent l="0" t="0" r="0" b="0"/>
              <wp:wrapNone/>
              <wp:docPr id="76" name="文本框 1025"/>
              <wp:cNvGraphicFramePr/>
              <a:graphic xmlns:a="http://schemas.openxmlformats.org/drawingml/2006/main">
                <a:graphicData uri="http://schemas.microsoft.com/office/word/2010/wordprocessingShape">
                  <wps:wsp>
                    <wps:cNvSpPr txBox="1"/>
                    <wps:spPr>
                      <a:xfrm>
                        <a:off x="0" y="0"/>
                        <a:ext cx="2764155" cy="254000"/>
                      </a:xfrm>
                      <a:prstGeom prst="rect">
                        <a:avLst/>
                      </a:prstGeom>
                      <a:noFill/>
                      <a:ln>
                        <a:noFill/>
                      </a:ln>
                    </wps:spPr>
                    <wps:txbx>
                      <w:txbxContent>
                        <w:p>
                          <w:pPr>
                            <w:spacing w:line="240" w:lineRule="auto"/>
                            <w:ind w:firstLine="0" w:firstLineChars="0"/>
                            <w:rPr>
                              <w:sz w:val="21"/>
                              <w:szCs w:val="21"/>
                            </w:rPr>
                          </w:pPr>
                          <w:r>
                            <w:rPr>
                              <w:rFonts w:hint="eastAsia"/>
                              <w:sz w:val="21"/>
                              <w:szCs w:val="21"/>
                            </w:rPr>
                            <w:t>汉唐规划设计集团有限公司新疆分公司</w:t>
                          </w:r>
                        </w:p>
                      </w:txbxContent>
                    </wps:txbx>
                    <wps:bodyPr wrap="square" upright="1"/>
                  </wps:wsp>
                </a:graphicData>
              </a:graphic>
            </wp:anchor>
          </w:drawing>
        </mc:Choice>
        <mc:Fallback>
          <w:pict>
            <v:shape id="文本框 1025" o:spid="_x0000_s1026" o:spt="202" type="#_x0000_t202" style="position:absolute;left:0pt;margin-left:4pt;margin-top:1.9pt;height:20pt;width:217.65pt;z-index:251688960;mso-width-relative:page;mso-height-relative:page;" filled="f" stroked="f" coordsize="21600,21600" o:gfxdata="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J1CgNNMAAAAGAQAADwAAAAAAAAABACAA&#10;AAAiAAAAZHJzL2Rvd25yZXYueG1sUEsBAhQAFAAAAAgAh07iQHDo/7egAQAAEgMAAA4AAAAAAAAA&#10;AQAgAAAAIgEAAGRycy9lMm9Eb2MueG1sUEsFBgAAAAAGAAYAWQEAADQFAAAAAA==&#10;">
              <v:fill on="f" focussize="0,0"/>
              <v:stroke on="f"/>
              <v:imagedata o:title=""/>
              <o:lock v:ext="edit" aspectratio="f"/>
              <v:textbox>
                <w:txbxContent>
                  <w:p>
                    <w:pPr>
                      <w:spacing w:line="240" w:lineRule="auto"/>
                      <w:ind w:firstLine="0" w:firstLineChars="0"/>
                      <w:rPr>
                        <w:sz w:val="21"/>
                        <w:szCs w:val="21"/>
                      </w:rPr>
                    </w:pPr>
                    <w:r>
                      <w:rPr>
                        <w:rFonts w:hint="eastAsia"/>
                        <w:sz w:val="21"/>
                        <w:szCs w:val="21"/>
                      </w:rPr>
                      <w:t>汉唐规划设计集团有限公司新疆分公司</w:t>
                    </w:r>
                  </w:p>
                </w:txbxContent>
              </v:textbox>
            </v:shape>
          </w:pict>
        </mc:Fallback>
      </mc:AlternateContent>
    </w:r>
  </w:p>
  <w:p>
    <w:pPr>
      <w:pStyle w:val="57"/>
      <w:pBdr>
        <w:top w:val="none" w:color="auto" w:sz="0" w:space="1"/>
        <w:left w:val="none" w:color="auto" w:sz="0" w:space="4"/>
        <w:bottom w:val="none" w:color="auto" w:sz="0" w:space="1"/>
        <w:right w:val="none" w:color="auto" w:sz="0" w:space="4"/>
      </w:pBdr>
      <w:ind w:firstLine="0" w:firstLineChars="0"/>
      <w:rPr>
        <w:sz w:val="21"/>
        <w:szCs w:val="21"/>
      </w:rPr>
    </w:pPr>
    <w:r>
      <w:rPr>
        <w:sz w:val="21"/>
      </w:rPr>
      <mc:AlternateContent>
        <mc:Choice Requires="wps">
          <w:drawing>
            <wp:anchor distT="0" distB="0" distL="114300" distR="114300" simplePos="0" relativeHeight="251698176" behindDoc="0" locked="0" layoutInCell="1" allowOverlap="1">
              <wp:simplePos x="0" y="0"/>
              <wp:positionH relativeFrom="column">
                <wp:posOffset>-43180</wp:posOffset>
              </wp:positionH>
              <wp:positionV relativeFrom="paragraph">
                <wp:posOffset>304165</wp:posOffset>
              </wp:positionV>
              <wp:extent cx="5816600" cy="635"/>
              <wp:effectExtent l="0" t="0" r="0" b="0"/>
              <wp:wrapNone/>
              <wp:docPr id="77" name="直线 27"/>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7" o:spid="_x0000_s1026" o:spt="20" style="position:absolute;left:0pt;margin-left:-3.4pt;margin-top:23.95pt;height:0.05pt;width:458pt;z-index:251698176;mso-width-relative:page;mso-height-relative:page;" filled="f" stroked="f" coordsize="21600,21600" o:gfxdata="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Ag9X7x2AAA&#10;AAgBAAAPAAAAAAAAAAEAIAAAACIAAABkcnMvZG93bnJldi54bWxQSwECFAAUAAAACACHTuJAEXBf&#10;LH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-34290</wp:posOffset>
              </wp:positionH>
              <wp:positionV relativeFrom="paragraph">
                <wp:posOffset>269875</wp:posOffset>
              </wp:positionV>
              <wp:extent cx="5816600" cy="635"/>
              <wp:effectExtent l="0" t="0" r="0" b="0"/>
              <wp:wrapNone/>
              <wp:docPr id="78" name="直线 26"/>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6" o:spid="_x0000_s1026" o:spt="20" style="position:absolute;left:0pt;margin-left:-2.7pt;margin-top:21.25pt;height:0.05pt;width:458pt;z-index:251697152;mso-width-relative:page;mso-height-relative:page;" filled="f" stroked="f" coordsize="21600,21600" o:gfxdata="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MwL447YAAAA&#10;CAEAAA8AAAAAAAAAAQAgAAAAIgAAAGRycy9kb3ducmV2LnhtbFBLAQIUABQAAAAIAIdO4kAuRvQD&#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75565</wp:posOffset>
              </wp:positionH>
              <wp:positionV relativeFrom="paragraph">
                <wp:posOffset>287020</wp:posOffset>
              </wp:positionV>
              <wp:extent cx="2954655" cy="84455"/>
              <wp:effectExtent l="0" t="0" r="0" b="0"/>
              <wp:wrapNone/>
              <wp:docPr id="79" name="直线 25"/>
              <wp:cNvGraphicFramePr/>
              <a:graphic xmlns:a="http://schemas.openxmlformats.org/drawingml/2006/main">
                <a:graphicData uri="http://schemas.microsoft.com/office/word/2010/wordprocessingShape">
                  <wps:wsp>
                    <wps:cNvCnPr/>
                    <wps:spPr>
                      <a:xfrm>
                        <a:off x="0" y="0"/>
                        <a:ext cx="2954655" cy="84455"/>
                      </a:xfrm>
                      <a:prstGeom prst="line">
                        <a:avLst/>
                      </a:prstGeom>
                      <a:ln>
                        <a:noFill/>
                      </a:ln>
                    </wps:spPr>
                    <wps:bodyPr/>
                  </wps:wsp>
                </a:graphicData>
              </a:graphic>
            </wp:anchor>
          </w:drawing>
        </mc:Choice>
        <mc:Fallback>
          <w:pict>
            <v:line id="直线 25" o:spid="_x0000_s1026" o:spt="20" style="position:absolute;left:0pt;margin-left:5.95pt;margin-top:22.6pt;height:6.65pt;width:232.65pt;z-index:251696128;mso-width-relative:page;mso-height-relative:page;" filled="f" stroked="f" coordsize="21600,21600" o:gfxdata="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vnKTmtgA&#10;AAAIAQAADwAAAAAAAAABACAAAAAiAAAAZHJzL2Rvd25yZXYueG1sUEsBAhQAFAAAAAgAh07iQOGc&#10;K/50AQAA0gIAAA4AAAAAAAAAAQAgAAAAJwEAAGRycy9lMm9Eb2MueG1sUEsFBgAAAAAGAAYAWQEA&#10;AA0FA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-635</wp:posOffset>
              </wp:positionH>
              <wp:positionV relativeFrom="paragraph">
                <wp:posOffset>-80645</wp:posOffset>
              </wp:positionV>
              <wp:extent cx="5782945" cy="635"/>
              <wp:effectExtent l="0" t="0" r="0" b="0"/>
              <wp:wrapNone/>
              <wp:docPr id="80" name="直线 23"/>
              <wp:cNvGraphicFramePr/>
              <a:graphic xmlns:a="http://schemas.openxmlformats.org/drawingml/2006/main">
                <a:graphicData uri="http://schemas.microsoft.com/office/word/2010/wordprocessingShape">
                  <wps:wsp>
                    <wps:cNvCnPr/>
                    <wps:spPr>
                      <a:xfrm>
                        <a:off x="0" y="0"/>
                        <a:ext cx="5782945" cy="635"/>
                      </a:xfrm>
                      <a:prstGeom prst="line">
                        <a:avLst/>
                      </a:prstGeom>
                      <a:ln>
                        <a:noFill/>
                      </a:ln>
                    </wps:spPr>
                    <wps:bodyPr/>
                  </wps:wsp>
                </a:graphicData>
              </a:graphic>
            </wp:anchor>
          </w:drawing>
        </mc:Choice>
        <mc:Fallback>
          <w:pict>
            <v:line id="直线 23" o:spid="_x0000_s1026" o:spt="20" style="position:absolute;left:0pt;margin-left:-0.05pt;margin-top:-6.35pt;height:0.05pt;width:455.35pt;z-index:251695104;mso-width-relative:page;mso-height-relative:page;" filled="f" stroked="f" coordsize="21600,21600" o:gfxdata="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Ddxzgo2AAA&#10;AAkBAAAPAAAAAAAAAAEAIAAAACIAAABkcnMvZG93bnJldi54bWxQSwECFAAUAAAACACHTuJACbmL&#10;D3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-8890</wp:posOffset>
              </wp:positionH>
              <wp:positionV relativeFrom="paragraph">
                <wp:posOffset>253365</wp:posOffset>
              </wp:positionV>
              <wp:extent cx="5791200" cy="635"/>
              <wp:effectExtent l="0" t="0" r="0" b="0"/>
              <wp:wrapNone/>
              <wp:docPr id="81" name="直线 22"/>
              <wp:cNvGraphicFramePr/>
              <a:graphic xmlns:a="http://schemas.openxmlformats.org/drawingml/2006/main">
                <a:graphicData uri="http://schemas.microsoft.com/office/word/2010/wordprocessingShape">
                  <wps:wsp>
                    <wps:cNvCnPr/>
                    <wps:spPr>
                      <a:xfrm>
                        <a:off x="0" y="0"/>
                        <a:ext cx="5791200" cy="635"/>
                      </a:xfrm>
                      <a:prstGeom prst="line">
                        <a:avLst/>
                      </a:prstGeom>
                      <a:ln>
                        <a:noFill/>
                      </a:ln>
                    </wps:spPr>
                    <wps:bodyPr/>
                  </wps:wsp>
                </a:graphicData>
              </a:graphic>
            </wp:anchor>
          </w:drawing>
        </mc:Choice>
        <mc:Fallback>
          <w:pict>
            <v:line id="直线 22" o:spid="_x0000_s1026" o:spt="20" style="position:absolute;left:0pt;margin-left:-0.7pt;margin-top:19.95pt;height:0.05pt;width:456pt;z-index:251694080;mso-width-relative:page;mso-height-relative:page;" filled="f" stroked="f" coordsize="21600,21600" o:gfxdata="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CtbVeLYAAAA&#10;CAEAAA8AAAAAAAAAAQAgAAAAIgAAAGRycy9kb3ducmV2LnhtbFBLAQIUABQAAAAIAIdO4kAOcC0s&#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-635</wp:posOffset>
              </wp:positionH>
              <wp:positionV relativeFrom="paragraph">
                <wp:posOffset>227965</wp:posOffset>
              </wp:positionV>
              <wp:extent cx="5765800" cy="635"/>
              <wp:effectExtent l="0" t="0" r="0" b="0"/>
              <wp:wrapNone/>
              <wp:docPr id="82" name="直线 21"/>
              <wp:cNvGraphicFramePr/>
              <a:graphic xmlns:a="http://schemas.openxmlformats.org/drawingml/2006/main">
                <a:graphicData uri="http://schemas.microsoft.com/office/word/2010/wordprocessingShape">
                  <wps:wsp>
                    <wps:cNvCnPr/>
                    <wps:spPr>
                      <a:xfrm>
                        <a:off x="0" y="0"/>
                        <a:ext cx="5765800" cy="635"/>
                      </a:xfrm>
                      <a:prstGeom prst="line">
                        <a:avLst/>
                      </a:prstGeom>
                      <a:ln>
                        <a:noFill/>
                      </a:ln>
                    </wps:spPr>
                    <wps:bodyPr/>
                  </wps:wsp>
                </a:graphicData>
              </a:graphic>
            </wp:anchor>
          </w:drawing>
        </mc:Choice>
        <mc:Fallback>
          <w:pict>
            <v:line id="直线 21" o:spid="_x0000_s1026" o:spt="20" style="position:absolute;left:0pt;margin-left:-0.05pt;margin-top:17.95pt;height:0.05pt;width:454pt;z-index:251693056;mso-width-relative:page;mso-height-relative:page;" filled="f" stroked="f" coordsize="21600,21600" o:gfxdata="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">
              <v:fill on="f" focussize="0,0"/>
              <v:stroke on="f"/>
              <v:imagedata o:title=""/>
              <o:lock v:ext="edit" aspectratio="f"/>
            </v:line>
          </w:pict>
        </mc:Fallback>
      </mc:AlternateContent>
    </w:r>
    <w:r>
      <w:rPr>
        <w:sz w:val="21"/>
        <w:szCs w:val="21"/>
      </w:rPr>
      <mc:AlternateContent>
        <mc:Choice Requires="wps">
          <w:drawing>
            <wp:anchor distT="0" distB="0" distL="114300" distR="114300" simplePos="0" relativeHeight="251692032" behindDoc="0" locked="0" layoutInCell="1" allowOverlap="1">
              <wp:simplePos x="0" y="0"/>
              <wp:positionH relativeFrom="column">
                <wp:posOffset>128905</wp:posOffset>
              </wp:positionH>
              <wp:positionV relativeFrom="paragraph">
                <wp:posOffset>-41275</wp:posOffset>
              </wp:positionV>
              <wp:extent cx="1555750" cy="0"/>
              <wp:effectExtent l="0" t="0" r="0" b="0"/>
              <wp:wrapNone/>
              <wp:docPr id="83" name="自选图形 1028"/>
              <wp:cNvGraphicFramePr/>
              <a:graphic xmlns:a="http://schemas.openxmlformats.org/drawingml/2006/main">
                <a:graphicData uri="http://schemas.microsoft.com/office/word/2010/wordprocessingShape">
                  <wps:wsp>
                    <wps:cNvCnPr/>
                    <wps:spPr>
                      <a:xfrm>
                        <a:off x="0" y="0"/>
                        <a:ext cx="1555750" cy="0"/>
                      </a:xfrm>
                      <a:prstGeom prst="straightConnector1">
                        <a:avLst/>
                      </a:prstGeom>
                      <a:ln>
                        <a:noFill/>
                      </a:ln>
                    </wps:spPr>
                    <wps:bodyPr/>
                  </wps:wsp>
                </a:graphicData>
              </a:graphic>
            </wp:anchor>
          </w:drawing>
        </mc:Choice>
        <mc:Fallback>
          <w:pict>
            <v:shape id="自选图形 1028" o:spid="_x0000_s1026" o:spt="32" type="#_x0000_t32" style="position:absolute;left:0pt;margin-left:10.15pt;margin-top:-3.25pt;height:0pt;width:122.5pt;z-index:251692032;mso-width-relative:page;mso-height-relative:page;" filled="f" stroked="f" coordsize="21600,21600" o:gfxdata="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J2Ec9YAAAAIAQAADwAAAAAAAAABACAAAAAiAAAAZHJzL2Rvd25yZXYu&#10;eG1sUEsBAhQAFAAAAAgAh07iQKrDGOyLAQAA5AIAAA4AAAAAAAAAAQAgAAAAJQEAAGRycy9lMm9E&#10;b2MueG1sUEsFBgAAAAAGAAYAWQEAACIFA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91008" behindDoc="0" locked="0" layoutInCell="1" allowOverlap="1">
              <wp:simplePos x="0" y="0"/>
              <wp:positionH relativeFrom="column">
                <wp:posOffset>59055</wp:posOffset>
              </wp:positionH>
              <wp:positionV relativeFrom="paragraph">
                <wp:posOffset>-92075</wp:posOffset>
              </wp:positionV>
              <wp:extent cx="463550" cy="0"/>
              <wp:effectExtent l="0" t="0" r="0" b="0"/>
              <wp:wrapNone/>
              <wp:docPr id="84" name="自选图形 1027"/>
              <wp:cNvGraphicFramePr/>
              <a:graphic xmlns:a="http://schemas.openxmlformats.org/drawingml/2006/main">
                <a:graphicData uri="http://schemas.microsoft.com/office/word/2010/wordprocessingShape">
                  <wps:wsp>
                    <wps:cNvCnPr/>
                    <wps:spPr>
                      <a:xfrm>
                        <a:off x="0" y="0"/>
                        <a:ext cx="463550" cy="0"/>
                      </a:xfrm>
                      <a:prstGeom prst="straightConnector1">
                        <a:avLst/>
                      </a:prstGeom>
                      <a:ln>
                        <a:noFill/>
                      </a:ln>
                    </wps:spPr>
                    <wps:bodyPr/>
                  </wps:wsp>
                </a:graphicData>
              </a:graphic>
            </wp:anchor>
          </w:drawing>
        </mc:Choice>
        <mc:Fallback>
          <w:pict>
            <v:shape id="自选图形 1027" o:spid="_x0000_s1026" o:spt="32" type="#_x0000_t32" style="position:absolute;left:0pt;margin-left:4.65pt;margin-top:-7.25pt;height:0pt;width:36.5pt;z-index:251691008;mso-width-relative:page;mso-height-relative:page;" filled="f" stroked="f" coordsize="21600,21600" o:gfxdata="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WddS9YAAAAIAQAADwAAAAAAAAABACAAAAAiAAAAZHJzL2Rvd25yZXYu&#10;eG1sUEsBAhQAFAAAAAgAh07iQDqfswuLAQAA4wIAAA4AAAAAAAAAAQAgAAAAJQEAAGRycy9lMm9E&#10;b2MueG1sUEsFBgAAAAAGAAYAWQEAACIFA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89984" behindDoc="0" locked="0" layoutInCell="1" allowOverlap="1">
              <wp:simplePos x="0" y="0"/>
              <wp:positionH relativeFrom="column">
                <wp:posOffset>59055</wp:posOffset>
              </wp:positionH>
              <wp:positionV relativeFrom="paragraph">
                <wp:posOffset>-92075</wp:posOffset>
              </wp:positionV>
              <wp:extent cx="5556250" cy="6350"/>
              <wp:effectExtent l="0" t="0" r="0" b="0"/>
              <wp:wrapNone/>
              <wp:docPr id="85" name="自选图形 1026"/>
              <wp:cNvGraphicFramePr/>
              <a:graphic xmlns:a="http://schemas.openxmlformats.org/drawingml/2006/main">
                <a:graphicData uri="http://schemas.microsoft.com/office/word/2010/wordprocessingShape">
                  <wps:wsp>
                    <wps:cNvCnPr/>
                    <wps:spPr>
                      <a:xfrm>
                        <a:off x="0" y="0"/>
                        <a:ext cx="5556250" cy="6350"/>
                      </a:xfrm>
                      <a:prstGeom prst="straightConnector1">
                        <a:avLst/>
                      </a:prstGeom>
                      <a:ln>
                        <a:noFill/>
                      </a:ln>
                    </wps:spPr>
                    <wps:bodyPr/>
                  </wps:wsp>
                </a:graphicData>
              </a:graphic>
            </wp:anchor>
          </w:drawing>
        </mc:Choice>
        <mc:Fallback>
          <w:pict>
            <v:shape id="自选图形 1026" o:spid="_x0000_s1026" o:spt="32" type="#_x0000_t32" style="position:absolute;left:0pt;margin-left:4.65pt;margin-top:-7.25pt;height:0.5pt;width:437.5pt;z-index:251689984;mso-width-relative:page;mso-height-relative:page;" filled="f" stroked="f" coordsize="21600,21600" o:gfxdata="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uOKvvXAAAACQEAAA8AAAAAAAAAAQAgAAAAIgAAAGRycy9kb3du&#10;cmV2LnhtbFBLAQIUABQAAAAIAIdO4kAC51hejgEAAOcCAAAOAAAAAAAAAAEAIAAAACYBAABkcnMv&#10;ZTJvRG9jLnhtbFBLBQYAAAAABgAGAFkBAAAmBQAAAAA=&#10;">
              <v:fill on="f" focussize="0,0"/>
              <v:stroke on="f"/>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0" w:lineRule="exact"/>
      <w:ind w:firstLine="0" w:firstLineChars="0"/>
      <w:rPr>
        <w:spacing w:val="-10"/>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posOffset>2677795</wp:posOffset>
              </wp:positionH>
              <wp:positionV relativeFrom="paragraph">
                <wp:posOffset>53975</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0.85pt;margin-top:4.25pt;height:144pt;width:144pt;mso-position-horizontal-relative:margin;mso-wrap-style:none;z-index:251715584;mso-width-relative:page;mso-height-relative:page;" filled="f" stroked="f" coordsize="21600,21600" o:gfxdata="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9LCj61gAAAAkBAAAPAAAAAAAAAAEA&#10;IAAAACIAAABkcnMvZG93bnJldi54bWxQSwECFAAUAAAACACHTuJAjaIsFxECAAAJBAAADgAAAAAA&#10;AAABACAAAAAlAQAAZHJzL2Uyb0RvYy54bWxQSwUGAAAAAAYABgBZAQAAqAUAAAAA&#10;">
              <v:fill on="f" focussize="0,0"/>
              <v:stroke on="f" weight="0.5pt"/>
              <v:imagedata o:title=""/>
              <o:lock v:ext="edit" aspectratio="f"/>
              <v:textbox inset="0mm,0mm,0mm,0mm" style="mso-fit-shape-to-text:t;">
                <w:txbxContent>
                  <w:p>
                    <w:pPr>
                      <w:pStyle w:val="57"/>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21"/>
        <w:szCs w:val="21"/>
      </w:rPr>
      <mc:AlternateContent>
        <mc:Choice Requires="wps">
          <w:drawing>
            <wp:anchor distT="0" distB="0" distL="114300" distR="114300" simplePos="0" relativeHeight="251713536" behindDoc="0" locked="0" layoutInCell="1" allowOverlap="1">
              <wp:simplePos x="0" y="0"/>
              <wp:positionH relativeFrom="column">
                <wp:posOffset>50800</wp:posOffset>
              </wp:positionH>
              <wp:positionV relativeFrom="paragraph">
                <wp:posOffset>24130</wp:posOffset>
              </wp:positionV>
              <wp:extent cx="2764155" cy="254000"/>
              <wp:effectExtent l="0" t="0" r="0" b="0"/>
              <wp:wrapNone/>
              <wp:docPr id="33" name="文本框 1025"/>
              <wp:cNvGraphicFramePr/>
              <a:graphic xmlns:a="http://schemas.openxmlformats.org/drawingml/2006/main">
                <a:graphicData uri="http://schemas.microsoft.com/office/word/2010/wordprocessingShape">
                  <wps:wsp>
                    <wps:cNvSpPr txBox="1"/>
                    <wps:spPr>
                      <a:xfrm>
                        <a:off x="0" y="0"/>
                        <a:ext cx="2764155" cy="254000"/>
                      </a:xfrm>
                      <a:prstGeom prst="rect">
                        <a:avLst/>
                      </a:prstGeom>
                      <a:noFill/>
                      <a:ln>
                        <a:noFill/>
                      </a:ln>
                    </wps:spPr>
                    <wps:txbx>
                      <w:txbxContent>
                        <w:p>
                          <w:pPr>
                            <w:spacing w:line="240" w:lineRule="auto"/>
                            <w:ind w:firstLine="0" w:firstLineChars="0"/>
                            <w:rPr>
                              <w:sz w:val="21"/>
                              <w:szCs w:val="21"/>
                            </w:rPr>
                          </w:pPr>
                          <w:r>
                            <w:rPr>
                              <w:rFonts w:hint="eastAsia"/>
                              <w:sz w:val="21"/>
                              <w:szCs w:val="21"/>
                            </w:rPr>
                            <w:t>汉唐规划设计集团有限公司新疆分公司</w:t>
                          </w:r>
                        </w:p>
                      </w:txbxContent>
                    </wps:txbx>
                    <wps:bodyPr wrap="square" upright="1"/>
                  </wps:wsp>
                </a:graphicData>
              </a:graphic>
            </wp:anchor>
          </w:drawing>
        </mc:Choice>
        <mc:Fallback>
          <w:pict>
            <v:shape id="文本框 1025" o:spid="_x0000_s1026" o:spt="202" type="#_x0000_t202" style="position:absolute;left:0pt;margin-left:4pt;margin-top:1.9pt;height:20pt;width:217.65pt;z-index:251713536;mso-width-relative:page;mso-height-relative:page;" filled="f" stroked="f" coordsize="21600,21600" o:gfxdata="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J1CgNNMAAAAGAQAADwAAAAAAAAABACAA&#10;AAAiAAAAZHJzL2Rvd25yZXYueG1sUEsBAhQAFAAAAAgAh07iQBh78wmgAQAAEgMAAA4AAAAAAAAA&#10;AQAgAAAAIgEAAGRycy9lMm9Eb2MueG1sUEsFBgAAAAAGAAYAWQEAADQFAAAAAA==&#10;">
              <v:fill on="f" focussize="0,0"/>
              <v:stroke on="f"/>
              <v:imagedata o:title=""/>
              <o:lock v:ext="edit" aspectratio="f"/>
              <v:textbox>
                <w:txbxContent>
                  <w:p>
                    <w:pPr>
                      <w:spacing w:line="240" w:lineRule="auto"/>
                      <w:ind w:firstLine="0" w:firstLineChars="0"/>
                      <w:rPr>
                        <w:sz w:val="21"/>
                        <w:szCs w:val="21"/>
                      </w:rPr>
                    </w:pPr>
                    <w:r>
                      <w:rPr>
                        <w:rFonts w:hint="eastAsia"/>
                        <w:sz w:val="21"/>
                        <w:szCs w:val="21"/>
                      </w:rPr>
                      <w:t>汉唐规划设计集团有限公司新疆分公司</w:t>
                    </w:r>
                  </w:p>
                </w:txbxContent>
              </v:textbox>
            </v:shape>
          </w:pict>
        </mc:Fallback>
      </mc:AlternateContent>
    </w:r>
  </w:p>
  <w:p>
    <w:pPr>
      <w:pStyle w:val="57"/>
      <w:pBdr>
        <w:top w:val="none" w:color="auto" w:sz="0" w:space="1"/>
        <w:left w:val="none" w:color="auto" w:sz="0" w:space="4"/>
        <w:bottom w:val="none" w:color="auto" w:sz="0" w:space="1"/>
        <w:right w:val="none" w:color="auto" w:sz="0" w:space="4"/>
      </w:pBdr>
      <w:ind w:firstLine="0" w:firstLineChars="0"/>
      <w:rPr>
        <w:sz w:val="21"/>
        <w:szCs w:val="21"/>
      </w:rPr>
    </w:pPr>
    <w:r>
      <w:rPr>
        <w:sz w:val="21"/>
      </w:rPr>
      <mc:AlternateContent>
        <mc:Choice Requires="wps">
          <w:drawing>
            <wp:anchor distT="0" distB="0" distL="114300" distR="114300" simplePos="0" relativeHeight="251723776" behindDoc="0" locked="0" layoutInCell="1" allowOverlap="1">
              <wp:simplePos x="0" y="0"/>
              <wp:positionH relativeFrom="column">
                <wp:posOffset>-43180</wp:posOffset>
              </wp:positionH>
              <wp:positionV relativeFrom="paragraph">
                <wp:posOffset>304165</wp:posOffset>
              </wp:positionV>
              <wp:extent cx="5816600" cy="635"/>
              <wp:effectExtent l="0" t="0" r="0" b="0"/>
              <wp:wrapNone/>
              <wp:docPr id="34" name="直线 27"/>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7" o:spid="_x0000_s1026" o:spt="20" style="position:absolute;left:0pt;margin-left:-3.4pt;margin-top:23.95pt;height:0.05pt;width:458pt;z-index:251723776;mso-width-relative:page;mso-height-relative:page;" filled="f" stroked="f" coordsize="21600,21600" o:gfxdata="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Ag9X7x2AAA&#10;AAgBAAAPAAAAAAAAAAEAIAAAACIAAABkcnMvZG93bnJldi54bWxQSwECFAAUAAAACACHTuJA0K5M&#10;UX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-34290</wp:posOffset>
              </wp:positionH>
              <wp:positionV relativeFrom="paragraph">
                <wp:posOffset>269875</wp:posOffset>
              </wp:positionV>
              <wp:extent cx="5816600" cy="635"/>
              <wp:effectExtent l="0" t="0" r="0" b="0"/>
              <wp:wrapNone/>
              <wp:docPr id="35" name="直线 26"/>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6" o:spid="_x0000_s1026" o:spt="20" style="position:absolute;left:0pt;margin-left:-2.7pt;margin-top:21.25pt;height:0.05pt;width:458pt;z-index:251722752;mso-width-relative:page;mso-height-relative:page;" filled="f" stroked="f" coordsize="21600,21600" o:gfxdata="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DMC+OO2AAA&#10;AAgBAAAPAAAAAAAAAAEAIAAAACIAAABkcnMvZG93bnJldi54bWxQSwECFAAUAAAACACHTuJARtmB&#10;/3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75565</wp:posOffset>
              </wp:positionH>
              <wp:positionV relativeFrom="paragraph">
                <wp:posOffset>287020</wp:posOffset>
              </wp:positionV>
              <wp:extent cx="2954655" cy="84455"/>
              <wp:effectExtent l="0" t="0" r="0" b="0"/>
              <wp:wrapNone/>
              <wp:docPr id="38" name="直线 25"/>
              <wp:cNvGraphicFramePr/>
              <a:graphic xmlns:a="http://schemas.openxmlformats.org/drawingml/2006/main">
                <a:graphicData uri="http://schemas.microsoft.com/office/word/2010/wordprocessingShape">
                  <wps:wsp>
                    <wps:cNvCnPr/>
                    <wps:spPr>
                      <a:xfrm>
                        <a:off x="0" y="0"/>
                        <a:ext cx="2954655" cy="84455"/>
                      </a:xfrm>
                      <a:prstGeom prst="line">
                        <a:avLst/>
                      </a:prstGeom>
                      <a:ln>
                        <a:noFill/>
                      </a:ln>
                    </wps:spPr>
                    <wps:bodyPr/>
                  </wps:wsp>
                </a:graphicData>
              </a:graphic>
            </wp:anchor>
          </w:drawing>
        </mc:Choice>
        <mc:Fallback>
          <w:pict>
            <v:line id="直线 25" o:spid="_x0000_s1026" o:spt="20" style="position:absolute;left:0pt;margin-left:5.95pt;margin-top:22.6pt;height:6.65pt;width:232.65pt;z-index:251721728;mso-width-relative:page;mso-height-relative:page;" filled="f" stroked="f" coordsize="21600,21600" o:gfxdata="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vnKTmtgA&#10;AAAIAQAADwAAAAAAAAABACAAAAAiAAAAZHJzL2Rvd25yZXYueG1sUEsBAhQAFAAAAAgAh07iQHVo&#10;tRp0AQAA0gIAAA4AAAAAAAAAAQAgAAAAJwEAAGRycy9lMm9Eb2MueG1sUEsFBgAAAAAGAAYAWQEA&#10;AA0FA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-635</wp:posOffset>
              </wp:positionH>
              <wp:positionV relativeFrom="paragraph">
                <wp:posOffset>-80645</wp:posOffset>
              </wp:positionV>
              <wp:extent cx="5782945" cy="635"/>
              <wp:effectExtent l="0" t="0" r="0" b="0"/>
              <wp:wrapNone/>
              <wp:docPr id="39" name="直线 23"/>
              <wp:cNvGraphicFramePr/>
              <a:graphic xmlns:a="http://schemas.openxmlformats.org/drawingml/2006/main">
                <a:graphicData uri="http://schemas.microsoft.com/office/word/2010/wordprocessingShape">
                  <wps:wsp>
                    <wps:cNvCnPr/>
                    <wps:spPr>
                      <a:xfrm>
                        <a:off x="0" y="0"/>
                        <a:ext cx="5782945" cy="635"/>
                      </a:xfrm>
                      <a:prstGeom prst="line">
                        <a:avLst/>
                      </a:prstGeom>
                      <a:ln>
                        <a:noFill/>
                      </a:ln>
                    </wps:spPr>
                    <wps:bodyPr/>
                  </wps:wsp>
                </a:graphicData>
              </a:graphic>
            </wp:anchor>
          </w:drawing>
        </mc:Choice>
        <mc:Fallback>
          <w:pict>
            <v:line id="直线 23" o:spid="_x0000_s1026" o:spt="20" style="position:absolute;left:0pt;margin-left:-0.05pt;margin-top:-6.35pt;height:0.05pt;width:455.35pt;z-index:251720704;mso-width-relative:page;mso-height-relative:page;" filled="f" stroked="f" coordsize="21600,21600" o:gfxdata="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3cc4KNgA&#10;AAAJAQAADwAAAAAAAAABACAAAAAiAAAAZHJzL2Rvd25yZXYueG1sUEsBAhQAFAAAAAgAh07iQItl&#10;NUp0AQAA0AIAAA4AAAAAAAAAAQAgAAAAJwEAAGRycy9lMm9Eb2MueG1sUEsFBgAAAAAGAAYAWQEA&#10;AA0FA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-8890</wp:posOffset>
              </wp:positionH>
              <wp:positionV relativeFrom="paragraph">
                <wp:posOffset>253365</wp:posOffset>
              </wp:positionV>
              <wp:extent cx="5791200" cy="635"/>
              <wp:effectExtent l="0" t="0" r="0" b="0"/>
              <wp:wrapNone/>
              <wp:docPr id="43" name="直线 22"/>
              <wp:cNvGraphicFramePr/>
              <a:graphic xmlns:a="http://schemas.openxmlformats.org/drawingml/2006/main">
                <a:graphicData uri="http://schemas.microsoft.com/office/word/2010/wordprocessingShape">
                  <wps:wsp>
                    <wps:cNvCnPr/>
                    <wps:spPr>
                      <a:xfrm>
                        <a:off x="0" y="0"/>
                        <a:ext cx="5791200" cy="635"/>
                      </a:xfrm>
                      <a:prstGeom prst="line">
                        <a:avLst/>
                      </a:prstGeom>
                      <a:ln>
                        <a:noFill/>
                      </a:ln>
                    </wps:spPr>
                    <wps:bodyPr/>
                  </wps:wsp>
                </a:graphicData>
              </a:graphic>
            </wp:anchor>
          </w:drawing>
        </mc:Choice>
        <mc:Fallback>
          <w:pict>
            <v:line id="直线 22" o:spid="_x0000_s1026" o:spt="20" style="position:absolute;left:0pt;margin-left:-0.7pt;margin-top:19.95pt;height:0.05pt;width:456pt;z-index:251719680;mso-width-relative:page;mso-height-relative:page;" filled="f" stroked="f" coordsize="21600,21600" o:gfxdata="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ArW1Xi2AAA&#10;AAgBAAAPAAAAAAAAAAEAIAAAACIAAABkcnMvZG93bnJldi54bWxQSwECFAAUAAAACACHTuJAubAS&#10;Bn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227965</wp:posOffset>
              </wp:positionV>
              <wp:extent cx="5765800" cy="635"/>
              <wp:effectExtent l="0" t="0" r="0" b="0"/>
              <wp:wrapNone/>
              <wp:docPr id="44" name="直线 21"/>
              <wp:cNvGraphicFramePr/>
              <a:graphic xmlns:a="http://schemas.openxmlformats.org/drawingml/2006/main">
                <a:graphicData uri="http://schemas.microsoft.com/office/word/2010/wordprocessingShape">
                  <wps:wsp>
                    <wps:cNvCnPr/>
                    <wps:spPr>
                      <a:xfrm>
                        <a:off x="0" y="0"/>
                        <a:ext cx="5765800" cy="635"/>
                      </a:xfrm>
                      <a:prstGeom prst="line">
                        <a:avLst/>
                      </a:prstGeom>
                      <a:ln>
                        <a:noFill/>
                      </a:ln>
                    </wps:spPr>
                    <wps:bodyPr/>
                  </wps:wsp>
                </a:graphicData>
              </a:graphic>
            </wp:anchor>
          </w:drawing>
        </mc:Choice>
        <mc:Fallback>
          <w:pict>
            <v:line id="直线 21" o:spid="_x0000_s1026" o:spt="20" style="position:absolute;left:0pt;margin-left:-0.05pt;margin-top:17.95pt;height:0.05pt;width:454pt;z-index:251718656;mso-width-relative:page;mso-height-relative:page;" filled="f" stroked="f" coordsize="21600,21600" o:gfxdata="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">
              <v:fill on="f" focussize="0,0"/>
              <v:stroke on="f"/>
              <v:imagedata o:title=""/>
              <o:lock v:ext="edit" aspectratio="f"/>
            </v:line>
          </w:pict>
        </mc:Fallback>
      </mc:AlternateContent>
    </w:r>
    <w:r>
      <w:rPr>
        <w:sz w:val="21"/>
        <w:szCs w:val="21"/>
      </w:rPr>
      <mc:AlternateContent>
        <mc:Choice Requires="wps">
          <w:drawing>
            <wp:anchor distT="0" distB="0" distL="114300" distR="114300" simplePos="0" relativeHeight="251717632" behindDoc="0" locked="0" layoutInCell="1" allowOverlap="1">
              <wp:simplePos x="0" y="0"/>
              <wp:positionH relativeFrom="column">
                <wp:posOffset>128905</wp:posOffset>
              </wp:positionH>
              <wp:positionV relativeFrom="paragraph">
                <wp:posOffset>-41275</wp:posOffset>
              </wp:positionV>
              <wp:extent cx="1555750" cy="0"/>
              <wp:effectExtent l="0" t="0" r="0" b="0"/>
              <wp:wrapNone/>
              <wp:docPr id="45" name="自选图形 1028"/>
              <wp:cNvGraphicFramePr/>
              <a:graphic xmlns:a="http://schemas.openxmlformats.org/drawingml/2006/main">
                <a:graphicData uri="http://schemas.microsoft.com/office/word/2010/wordprocessingShape">
                  <wps:wsp>
                    <wps:cNvCnPr/>
                    <wps:spPr>
                      <a:xfrm>
                        <a:off x="0" y="0"/>
                        <a:ext cx="1555750" cy="0"/>
                      </a:xfrm>
                      <a:prstGeom prst="straightConnector1">
                        <a:avLst/>
                      </a:prstGeom>
                      <a:ln>
                        <a:noFill/>
                      </a:ln>
                    </wps:spPr>
                    <wps:bodyPr/>
                  </wps:wsp>
                </a:graphicData>
              </a:graphic>
            </wp:anchor>
          </w:drawing>
        </mc:Choice>
        <mc:Fallback>
          <w:pict>
            <v:shape id="自选图形 1028" o:spid="_x0000_s1026" o:spt="32" type="#_x0000_t32" style="position:absolute;left:0pt;margin-left:10.15pt;margin-top:-3.25pt;height:0pt;width:122.5pt;z-index:251717632;mso-width-relative:page;mso-height-relative:page;" filled="f" stroked="f" coordsize="21600,21600" o:gfxdata="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J2Ec9YAAAAIAQAADwAAAAAAAAABACAAAAAiAAAAZHJzL2Rvd25yZXYu&#10;eG1sUEsBAhQAFAAAAAgAh07iQIVov86LAQAA5AIAAA4AAAAAAAAAAQAgAAAAJQEAAGRycy9lMm9E&#10;b2MueG1sUEsFBgAAAAAGAAYAWQEAACIFA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716608" behindDoc="0" locked="0" layoutInCell="1" allowOverlap="1">
              <wp:simplePos x="0" y="0"/>
              <wp:positionH relativeFrom="column">
                <wp:posOffset>59055</wp:posOffset>
              </wp:positionH>
              <wp:positionV relativeFrom="paragraph">
                <wp:posOffset>-92075</wp:posOffset>
              </wp:positionV>
              <wp:extent cx="463550" cy="0"/>
              <wp:effectExtent l="0" t="0" r="0" b="0"/>
              <wp:wrapNone/>
              <wp:docPr id="47" name="自选图形 1027"/>
              <wp:cNvGraphicFramePr/>
              <a:graphic xmlns:a="http://schemas.openxmlformats.org/drawingml/2006/main">
                <a:graphicData uri="http://schemas.microsoft.com/office/word/2010/wordprocessingShape">
                  <wps:wsp>
                    <wps:cNvCnPr/>
                    <wps:spPr>
                      <a:xfrm>
                        <a:off x="0" y="0"/>
                        <a:ext cx="463550" cy="0"/>
                      </a:xfrm>
                      <a:prstGeom prst="straightConnector1">
                        <a:avLst/>
                      </a:prstGeom>
                      <a:ln>
                        <a:noFill/>
                      </a:ln>
                    </wps:spPr>
                    <wps:bodyPr/>
                  </wps:wsp>
                </a:graphicData>
              </a:graphic>
            </wp:anchor>
          </w:drawing>
        </mc:Choice>
        <mc:Fallback>
          <w:pict>
            <v:shape id="自选图形 1027" o:spid="_x0000_s1026" o:spt="32" type="#_x0000_t32" style="position:absolute;left:0pt;margin-left:4.65pt;margin-top:-7.25pt;height:0pt;width:36.5pt;z-index:251716608;mso-width-relative:page;mso-height-relative:page;" filled="f" stroked="f" coordsize="21600,21600" o:gfxdata="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WddS9YAAAAIAQAADwAAAAAAAAABACAAAAAiAAAAZHJzL2Rvd25yZXYu&#10;eG1sUEsBAhQAFAAAAAgAh07iQJmej4KLAQAA4wIAAA4AAAAAAAAAAQAgAAAAJQEAAGRycy9lMm9E&#10;b2MueG1sUEsFBgAAAAAGAAYAWQEAACIFA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714560" behindDoc="0" locked="0" layoutInCell="1" allowOverlap="1">
              <wp:simplePos x="0" y="0"/>
              <wp:positionH relativeFrom="column">
                <wp:posOffset>59055</wp:posOffset>
              </wp:positionH>
              <wp:positionV relativeFrom="paragraph">
                <wp:posOffset>-92075</wp:posOffset>
              </wp:positionV>
              <wp:extent cx="5556250" cy="6350"/>
              <wp:effectExtent l="0" t="0" r="0" b="0"/>
              <wp:wrapNone/>
              <wp:docPr id="48" name="自选图形 1026"/>
              <wp:cNvGraphicFramePr/>
              <a:graphic xmlns:a="http://schemas.openxmlformats.org/drawingml/2006/main">
                <a:graphicData uri="http://schemas.microsoft.com/office/word/2010/wordprocessingShape">
                  <wps:wsp>
                    <wps:cNvCnPr/>
                    <wps:spPr>
                      <a:xfrm>
                        <a:off x="0" y="0"/>
                        <a:ext cx="5556250" cy="6350"/>
                      </a:xfrm>
                      <a:prstGeom prst="straightConnector1">
                        <a:avLst/>
                      </a:prstGeom>
                      <a:ln>
                        <a:noFill/>
                      </a:ln>
                    </wps:spPr>
                    <wps:bodyPr/>
                  </wps:wsp>
                </a:graphicData>
              </a:graphic>
            </wp:anchor>
          </w:drawing>
        </mc:Choice>
        <mc:Fallback>
          <w:pict>
            <v:shape id="自选图形 1026" o:spid="_x0000_s1026" o:spt="32" type="#_x0000_t32" style="position:absolute;left:0pt;margin-left:4.65pt;margin-top:-7.25pt;height:0.5pt;width:437.5pt;z-index:251714560;mso-width-relative:page;mso-height-relative:page;" filled="f" stroked="f" coordsize="21600,21600" o:gfxdata="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uOKvvXAAAACQEAAA8AAAAAAAAAAQAgAAAAIgAAAGRycy9kb3du&#10;cmV2LnhtbFBLAQIUABQAAAAIAIdO4kAtv4wzjgEAAOcCAAAOAAAAAAAAAAEAIAAAACYBAABkcnMv&#10;ZTJvRG9jLnhtbFBLBQYAAAAABgAGAFkBAAAmBQAAAAA=&#10;">
              <v:fill on="f" focussize="0,0"/>
              <v:stroke on="f"/>
              <v:imagedata o:title=""/>
              <o:lock v:ext="edit" aspectratio="f"/>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0" w:lineRule="exact"/>
      <w:ind w:firstLine="0" w:firstLineChars="0"/>
      <w:rPr>
        <w:spacing w:val="-10"/>
        <w:sz w:val="21"/>
        <w:szCs w:val="21"/>
      </w:rPr>
    </w:pPr>
    <w:r>
      <w:rPr>
        <w:sz w:val="21"/>
        <w:szCs w:val="21"/>
      </w:rPr>
      <mc:AlternateContent>
        <mc:Choice Requires="wps">
          <w:drawing>
            <wp:anchor distT="0" distB="0" distL="114300" distR="114300" simplePos="0" relativeHeight="251679744" behindDoc="0" locked="0" layoutInCell="1" allowOverlap="1">
              <wp:simplePos x="0" y="0"/>
              <wp:positionH relativeFrom="column">
                <wp:posOffset>50800</wp:posOffset>
              </wp:positionH>
              <wp:positionV relativeFrom="paragraph">
                <wp:posOffset>24130</wp:posOffset>
              </wp:positionV>
              <wp:extent cx="2755265" cy="254000"/>
              <wp:effectExtent l="0" t="0" r="0" b="0"/>
              <wp:wrapNone/>
              <wp:docPr id="52" name="文本框 1025"/>
              <wp:cNvGraphicFramePr/>
              <a:graphic xmlns:a="http://schemas.openxmlformats.org/drawingml/2006/main">
                <a:graphicData uri="http://schemas.microsoft.com/office/word/2010/wordprocessingShape">
                  <wps:wsp>
                    <wps:cNvSpPr txBox="1"/>
                    <wps:spPr>
                      <a:xfrm>
                        <a:off x="0" y="0"/>
                        <a:ext cx="2755265" cy="254000"/>
                      </a:xfrm>
                      <a:prstGeom prst="rect">
                        <a:avLst/>
                      </a:prstGeom>
                      <a:noFill/>
                      <a:ln>
                        <a:noFill/>
                      </a:ln>
                    </wps:spPr>
                    <wps:txbx>
                      <w:txbxContent>
                        <w:p>
                          <w:pPr>
                            <w:spacing w:line="240" w:lineRule="auto"/>
                            <w:ind w:firstLine="0" w:firstLineChars="0"/>
                            <w:rPr>
                              <w:sz w:val="21"/>
                              <w:szCs w:val="21"/>
                            </w:rPr>
                          </w:pPr>
                          <w:r>
                            <w:rPr>
                              <w:rFonts w:hint="eastAsia"/>
                              <w:sz w:val="21"/>
                              <w:szCs w:val="21"/>
                            </w:rPr>
                            <w:t>汉唐规划设计集团有限公司新疆分公司</w:t>
                          </w:r>
                        </w:p>
                      </w:txbxContent>
                    </wps:txbx>
                    <wps:bodyPr wrap="square" upright="1"/>
                  </wps:wsp>
                </a:graphicData>
              </a:graphic>
            </wp:anchor>
          </w:drawing>
        </mc:Choice>
        <mc:Fallback>
          <w:pict>
            <v:shape id="文本框 1025" o:spid="_x0000_s1026" o:spt="202" type="#_x0000_t202" style="position:absolute;left:0pt;margin-left:4pt;margin-top:1.9pt;height:20pt;width:216.95pt;z-index:251679744;mso-width-relative:page;mso-height-relative:page;" filled="f" stroked="f" coordsize="21600,21600" o:gfxdata="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VSlEo0wAAAAYBAAAPAAAAAAAAAAEAIAAA&#10;ACIAAABkcnMvZG93bnJldi54bWxQSwECFAAUAAAACACHTuJAXfHfgJ8BAAASAwAADgAAAAAAAAAB&#10;ACAAAAAiAQAAZHJzL2Uyb0RvYy54bWxQSwUGAAAAAAYABgBZAQAAMwUAAAAA&#10;">
              <v:fill on="f" focussize="0,0"/>
              <v:stroke on="f"/>
              <v:imagedata o:title=""/>
              <o:lock v:ext="edit" aspectratio="f"/>
              <v:textbox>
                <w:txbxContent>
                  <w:p>
                    <w:pPr>
                      <w:spacing w:line="240" w:lineRule="auto"/>
                      <w:ind w:firstLine="0" w:firstLineChars="0"/>
                      <w:rPr>
                        <w:sz w:val="21"/>
                        <w:szCs w:val="21"/>
                      </w:rPr>
                    </w:pPr>
                    <w:r>
                      <w:rPr>
                        <w:rFonts w:hint="eastAsia"/>
                        <w:sz w:val="21"/>
                        <w:szCs w:val="21"/>
                      </w:rPr>
                      <w:t>汉唐规划设计集团有限公司新疆分公司</w:t>
                    </w:r>
                  </w:p>
                </w:txbxContent>
              </v:textbox>
            </v:shape>
          </w:pict>
        </mc:Fallback>
      </mc:AlternateContent>
    </w:r>
  </w:p>
  <w:p>
    <w:pPr>
      <w:pStyle w:val="57"/>
      <w:pBdr>
        <w:top w:val="none" w:color="auto" w:sz="0" w:space="1"/>
        <w:left w:val="none" w:color="auto" w:sz="0" w:space="4"/>
        <w:bottom w:val="none" w:color="auto" w:sz="0" w:space="1"/>
        <w:right w:val="none" w:color="auto" w:sz="0" w:space="4"/>
      </w:pBdr>
      <w:ind w:firstLine="0" w:firstLineChars="0"/>
      <w:rPr>
        <w:sz w:val="21"/>
        <w:szCs w:val="21"/>
      </w:rPr>
    </w:pPr>
    <w:r>
      <w:rPr>
        <w:sz w:val="21"/>
      </w:rPr>
      <mc:AlternateContent>
        <mc:Choice Requires="wps">
          <w:drawing>
            <wp:anchor distT="0" distB="0" distL="114300" distR="114300" simplePos="0" relativeHeight="251687936" behindDoc="0" locked="0" layoutInCell="1" allowOverlap="1">
              <wp:simplePos x="0" y="0"/>
              <wp:positionH relativeFrom="column">
                <wp:posOffset>-43180</wp:posOffset>
              </wp:positionH>
              <wp:positionV relativeFrom="paragraph">
                <wp:posOffset>304165</wp:posOffset>
              </wp:positionV>
              <wp:extent cx="5816600" cy="635"/>
              <wp:effectExtent l="0" t="0" r="0" b="0"/>
              <wp:wrapNone/>
              <wp:docPr id="53" name="直线 27"/>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7" o:spid="_x0000_s1026" o:spt="20" style="position:absolute;left:0pt;margin-left:-3.4pt;margin-top:23.95pt;height:0.05pt;width:458pt;z-index:251687936;mso-width-relative:page;mso-height-relative:page;" filled="f" stroked="f" coordsize="21600,21600" o:gfxdata="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Ag9X7x2AAA&#10;AAgBAAAPAAAAAAAAAAEAIAAAACIAAABkcnMvZG93bnJldi54bWxQSwECFAAUAAAACACHTuJAuI8o&#10;eH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269875</wp:posOffset>
              </wp:positionV>
              <wp:extent cx="5816600" cy="635"/>
              <wp:effectExtent l="0" t="0" r="0" b="0"/>
              <wp:wrapNone/>
              <wp:docPr id="54" name="直线 26"/>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6" o:spid="_x0000_s1026" o:spt="20" style="position:absolute;left:0pt;margin-left:-2.7pt;margin-top:21.25pt;height:0.05pt;width:458pt;z-index:251686912;mso-width-relative:page;mso-height-relative:page;" filled="f" stroked="f" coordsize="21600,21600" o:gfxdata="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MwL447YAAAA&#10;CAEAAA8AAAAAAAAAAQAgAAAAIgAAAGRycy9kb3ducmV2LnhtbFBLAQIUABQAAAAIAIdO4kA9uiYH&#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75565</wp:posOffset>
              </wp:positionH>
              <wp:positionV relativeFrom="paragraph">
                <wp:posOffset>287020</wp:posOffset>
              </wp:positionV>
              <wp:extent cx="2954655" cy="84455"/>
              <wp:effectExtent l="0" t="0" r="0" b="0"/>
              <wp:wrapNone/>
              <wp:docPr id="55" name="直线 25"/>
              <wp:cNvGraphicFramePr/>
              <a:graphic xmlns:a="http://schemas.openxmlformats.org/drawingml/2006/main">
                <a:graphicData uri="http://schemas.microsoft.com/office/word/2010/wordprocessingShape">
                  <wps:wsp>
                    <wps:cNvCnPr/>
                    <wps:spPr>
                      <a:xfrm>
                        <a:off x="0" y="0"/>
                        <a:ext cx="2954655" cy="84455"/>
                      </a:xfrm>
                      <a:prstGeom prst="line">
                        <a:avLst/>
                      </a:prstGeom>
                      <a:ln>
                        <a:noFill/>
                      </a:ln>
                    </wps:spPr>
                    <wps:bodyPr/>
                  </wps:wsp>
                </a:graphicData>
              </a:graphic>
            </wp:anchor>
          </w:drawing>
        </mc:Choice>
        <mc:Fallback>
          <w:pict>
            <v:line id="直线 25" o:spid="_x0000_s1026" o:spt="20" style="position:absolute;left:0pt;margin-left:5.95pt;margin-top:22.6pt;height:6.65pt;width:232.65pt;z-index:251685888;mso-width-relative:page;mso-height-relative:page;" filled="f" stroked="f" coordsize="21600,21600" o:gfxdata="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C+cpOa2AAA&#10;AAgBAAAPAAAAAAAAAAEAIAAAACIAAABkcnMvZG93bnJldi54bWxQSwECFAAUAAAACACHTuJAlmfP&#10;K3MBAADS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-80645</wp:posOffset>
              </wp:positionV>
              <wp:extent cx="5782945" cy="635"/>
              <wp:effectExtent l="0" t="0" r="0" b="0"/>
              <wp:wrapNone/>
              <wp:docPr id="56" name="直线 23"/>
              <wp:cNvGraphicFramePr/>
              <a:graphic xmlns:a="http://schemas.openxmlformats.org/drawingml/2006/main">
                <a:graphicData uri="http://schemas.microsoft.com/office/word/2010/wordprocessingShape">
                  <wps:wsp>
                    <wps:cNvCnPr/>
                    <wps:spPr>
                      <a:xfrm>
                        <a:off x="0" y="0"/>
                        <a:ext cx="5782945" cy="635"/>
                      </a:xfrm>
                      <a:prstGeom prst="line">
                        <a:avLst/>
                      </a:prstGeom>
                      <a:ln>
                        <a:noFill/>
                      </a:ln>
                    </wps:spPr>
                    <wps:bodyPr/>
                  </wps:wsp>
                </a:graphicData>
              </a:graphic>
            </wp:anchor>
          </w:drawing>
        </mc:Choice>
        <mc:Fallback>
          <w:pict>
            <v:line id="直线 23" o:spid="_x0000_s1026" o:spt="20" style="position:absolute;left:0pt;margin-left:-0.05pt;margin-top:-6.35pt;height:0.05pt;width:455.35pt;z-index:251684864;mso-width-relative:page;mso-height-relative:page;" filled="f" stroked="f" coordsize="21600,21600" o:gfxdata="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3cc4KNgA&#10;AAAJAQAADwAAAAAAAAABACAAAAAiAAAAZHJzL2Rvd25yZXYueG1sUEsBAhQAFAAAAAgAh07iQFlH&#10;9DN0AQAA0AIAAA4AAAAAAAAAAQAgAAAAJwEAAGRycy9lMm9Eb2MueG1sUEsFBgAAAAAGAAYAWQEA&#10;AA0FA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-8890</wp:posOffset>
              </wp:positionH>
              <wp:positionV relativeFrom="paragraph">
                <wp:posOffset>253365</wp:posOffset>
              </wp:positionV>
              <wp:extent cx="5791200" cy="635"/>
              <wp:effectExtent l="0" t="0" r="0" b="0"/>
              <wp:wrapNone/>
              <wp:docPr id="57" name="直线 22"/>
              <wp:cNvGraphicFramePr/>
              <a:graphic xmlns:a="http://schemas.openxmlformats.org/drawingml/2006/main">
                <a:graphicData uri="http://schemas.microsoft.com/office/word/2010/wordprocessingShape">
                  <wps:wsp>
                    <wps:cNvCnPr/>
                    <wps:spPr>
                      <a:xfrm>
                        <a:off x="0" y="0"/>
                        <a:ext cx="5791200" cy="635"/>
                      </a:xfrm>
                      <a:prstGeom prst="line">
                        <a:avLst/>
                      </a:prstGeom>
                      <a:ln>
                        <a:noFill/>
                      </a:ln>
                    </wps:spPr>
                    <wps:bodyPr/>
                  </wps:wsp>
                </a:graphicData>
              </a:graphic>
            </wp:anchor>
          </w:drawing>
        </mc:Choice>
        <mc:Fallback>
          <w:pict>
            <v:line id="直线 22" o:spid="_x0000_s1026" o:spt="20" style="position:absolute;left:0pt;margin-left:-0.7pt;margin-top:19.95pt;height:0.05pt;width:456pt;z-index:251683840;mso-width-relative:page;mso-height-relative:page;" filled="f" stroked="f" coordsize="21600,21600" o:gfxdata="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CtbVeLYAAAA&#10;CAEAAA8AAAAAAAAAAQAgAAAAIgAAAGRycy9kb3ducmV2LnhtbFBLAQIUABQAAAAIAIdO4kBejlIQ&#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-635</wp:posOffset>
              </wp:positionH>
              <wp:positionV relativeFrom="paragraph">
                <wp:posOffset>227965</wp:posOffset>
              </wp:positionV>
              <wp:extent cx="5765800" cy="635"/>
              <wp:effectExtent l="0" t="0" r="0" b="0"/>
              <wp:wrapNone/>
              <wp:docPr id="58" name="直线 21"/>
              <wp:cNvGraphicFramePr/>
              <a:graphic xmlns:a="http://schemas.openxmlformats.org/drawingml/2006/main">
                <a:graphicData uri="http://schemas.microsoft.com/office/word/2010/wordprocessingShape">
                  <wps:wsp>
                    <wps:cNvCnPr/>
                    <wps:spPr>
                      <a:xfrm>
                        <a:off x="0" y="0"/>
                        <a:ext cx="5765800" cy="635"/>
                      </a:xfrm>
                      <a:prstGeom prst="line">
                        <a:avLst/>
                      </a:prstGeom>
                      <a:ln>
                        <a:noFill/>
                      </a:ln>
                    </wps:spPr>
                    <wps:bodyPr/>
                  </wps:wsp>
                </a:graphicData>
              </a:graphic>
            </wp:anchor>
          </w:drawing>
        </mc:Choice>
        <mc:Fallback>
          <w:pict>
            <v:line id="直线 21" o:spid="_x0000_s1026" o:spt="20" style="position:absolute;left:0pt;margin-left:-0.05pt;margin-top:17.95pt;height:0.05pt;width:454pt;z-index:251682816;mso-width-relative:page;mso-height-relative:page;" filled="f" stroked="f" coordsize="21600,21600" o:gfxdata="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">
              <v:fill on="f" focussize="0,0"/>
              <v:stroke on="f"/>
              <v:imagedata o:title=""/>
              <o:lock v:ext="edit" aspectratio="f"/>
            </v:line>
          </w:pict>
        </mc:Fallback>
      </mc:AlternateContent>
    </w:r>
    <w:r>
      <w:rPr>
        <w:sz w:val="21"/>
        <w:szCs w:val="21"/>
      </w:rPr>
      <mc:AlternateContent>
        <mc:Choice Requires="wps">
          <w:drawing>
            <wp:anchor distT="0" distB="0" distL="114300" distR="114300" simplePos="0" relativeHeight="251681792" behindDoc="0" locked="0" layoutInCell="1" allowOverlap="1">
              <wp:simplePos x="0" y="0"/>
              <wp:positionH relativeFrom="column">
                <wp:posOffset>128905</wp:posOffset>
              </wp:positionH>
              <wp:positionV relativeFrom="paragraph">
                <wp:posOffset>-41275</wp:posOffset>
              </wp:positionV>
              <wp:extent cx="1555750" cy="0"/>
              <wp:effectExtent l="0" t="0" r="0" b="0"/>
              <wp:wrapNone/>
              <wp:docPr id="59" name="自选图形 1028"/>
              <wp:cNvGraphicFramePr/>
              <a:graphic xmlns:a="http://schemas.openxmlformats.org/drawingml/2006/main">
                <a:graphicData uri="http://schemas.microsoft.com/office/word/2010/wordprocessingShape">
                  <wps:wsp>
                    <wps:cNvCnPr/>
                    <wps:spPr>
                      <a:xfrm>
                        <a:off x="0" y="0"/>
                        <a:ext cx="1555750" cy="0"/>
                      </a:xfrm>
                      <a:prstGeom prst="straightConnector1">
                        <a:avLst/>
                      </a:prstGeom>
                      <a:ln>
                        <a:noFill/>
                      </a:ln>
                    </wps:spPr>
                    <wps:bodyPr/>
                  </wps:wsp>
                </a:graphicData>
              </a:graphic>
            </wp:anchor>
          </w:drawing>
        </mc:Choice>
        <mc:Fallback>
          <w:pict>
            <v:shape id="自选图形 1028" o:spid="_x0000_s1026" o:spt="32" type="#_x0000_t32" style="position:absolute;left:0pt;margin-left:10.15pt;margin-top:-3.25pt;height:0pt;width:122.5pt;z-index:251681792;mso-width-relative:page;mso-height-relative:page;" filled="f" stroked="f" coordsize="21600,21600" o:gfxdata="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J2Ec9YAAAAIAQAADwAAAAAAAAABACAAAAAiAAAAZHJzL2Rvd25yZXYu&#10;eG1sUEsBAhQAFAAAAAgAh07iQPAlFfiLAQAA5AIAAA4AAAAAAAAAAQAgAAAAJQEAAGRycy9lMm9E&#10;b2MueG1sUEsFBgAAAAAGAAYAWQEAACIFA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80768" behindDoc="0" locked="0" layoutInCell="1" allowOverlap="1">
              <wp:simplePos x="0" y="0"/>
              <wp:positionH relativeFrom="column">
                <wp:posOffset>59055</wp:posOffset>
              </wp:positionH>
              <wp:positionV relativeFrom="paragraph">
                <wp:posOffset>-92075</wp:posOffset>
              </wp:positionV>
              <wp:extent cx="463550" cy="0"/>
              <wp:effectExtent l="0" t="0" r="0" b="0"/>
              <wp:wrapNone/>
              <wp:docPr id="60" name="自选图形 1027"/>
              <wp:cNvGraphicFramePr/>
              <a:graphic xmlns:a="http://schemas.openxmlformats.org/drawingml/2006/main">
                <a:graphicData uri="http://schemas.microsoft.com/office/word/2010/wordprocessingShape">
                  <wps:wsp>
                    <wps:cNvCnPr/>
                    <wps:spPr>
                      <a:xfrm>
                        <a:off x="0" y="0"/>
                        <a:ext cx="463550" cy="0"/>
                      </a:xfrm>
                      <a:prstGeom prst="straightConnector1">
                        <a:avLst/>
                      </a:prstGeom>
                      <a:ln>
                        <a:noFill/>
                      </a:ln>
                    </wps:spPr>
                    <wps:bodyPr/>
                  </wps:wsp>
                </a:graphicData>
              </a:graphic>
            </wp:anchor>
          </w:drawing>
        </mc:Choice>
        <mc:Fallback>
          <w:pict>
            <v:shape id="自选图形 1027" o:spid="_x0000_s1026" o:spt="32" type="#_x0000_t32" style="position:absolute;left:0pt;margin-left:4.65pt;margin-top:-7.25pt;height:0pt;width:36.5pt;z-index:251680768;mso-width-relative:page;mso-height-relative:page;" filled="f" stroked="f" coordsize="21600,21600" o:gfxdata="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hZ11L1gAAAAgBAAAPAAAAAAAAAAEAIAAAACIAAABkcnMvZG93bnJldi54&#10;bWxQSwECFAAUAAAACACHTuJAtj07hIoBAADjAgAADgAAAAAAAAABACAAAAAlAQAAZHJzL2Uyb0Rv&#10;Yy54bWxQSwUGAAAAAAYABgBZAQAAIQU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59055</wp:posOffset>
              </wp:positionH>
              <wp:positionV relativeFrom="paragraph">
                <wp:posOffset>-92075</wp:posOffset>
              </wp:positionV>
              <wp:extent cx="5556250" cy="6350"/>
              <wp:effectExtent l="0" t="0" r="0" b="0"/>
              <wp:wrapNone/>
              <wp:docPr id="61" name="自选图形 1026"/>
              <wp:cNvGraphicFramePr/>
              <a:graphic xmlns:a="http://schemas.openxmlformats.org/drawingml/2006/main">
                <a:graphicData uri="http://schemas.microsoft.com/office/word/2010/wordprocessingShape">
                  <wps:wsp>
                    <wps:cNvCnPr/>
                    <wps:spPr>
                      <a:xfrm>
                        <a:off x="0" y="0"/>
                        <a:ext cx="5556250" cy="6350"/>
                      </a:xfrm>
                      <a:prstGeom prst="straightConnector1">
                        <a:avLst/>
                      </a:prstGeom>
                      <a:ln>
                        <a:noFill/>
                      </a:ln>
                    </wps:spPr>
                    <wps:bodyPr/>
                  </wps:wsp>
                </a:graphicData>
              </a:graphic>
            </wp:anchor>
          </w:drawing>
        </mc:Choice>
        <mc:Fallback>
          <w:pict>
            <v:shape id="自选图形 1026" o:spid="_x0000_s1026" o:spt="32" type="#_x0000_t32" style="position:absolute;left:0pt;margin-left:4.65pt;margin-top:-7.25pt;height:0.5pt;width:437.5pt;z-index:251679744;mso-width-relative:page;mso-height-relative:page;" filled="f" stroked="f" coordsize="21600,21600" o:gfxdata="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uOKvvXAAAACQEAAA8AAAAAAAAAAQAgAAAAIgAAAGRycy9kb3du&#10;cmV2LnhtbFBLAQIUABQAAAAIAIdO4kB963atjgEAAOcCAAAOAAAAAAAAAAEAIAAAACYBAABkcnMv&#10;ZTJvRG9jLnhtbFBLBQYAAAAABgAGAFkBAAAmBQAAAAA=&#10;">
              <v:fill on="f" focussize="0,0"/>
              <v:stroke on="f"/>
              <v:imagedata o:title=""/>
              <o:lock v:ext="edit" aspectratio="f"/>
            </v:shape>
          </w:pict>
        </mc:Fallback>
      </mc:AlternateConten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0" w:lineRule="exact"/>
      <w:ind w:firstLine="0" w:firstLineChars="0"/>
      <w:rPr>
        <w:spacing w:val="-10"/>
        <w:sz w:val="21"/>
        <w:szCs w:val="21"/>
      </w:rPr>
    </w:pPr>
    <w:r>
      <w:rPr>
        <w:sz w:val="21"/>
        <w:szCs w:val="21"/>
      </w:rPr>
      <mc:AlternateContent>
        <mc:Choice Requires="wps">
          <w:drawing>
            <wp:anchor distT="0" distB="0" distL="114300" distR="114300" simplePos="0" relativeHeight="251669504" behindDoc="0" locked="0" layoutInCell="1" allowOverlap="1">
              <wp:simplePos x="0" y="0"/>
              <wp:positionH relativeFrom="column">
                <wp:posOffset>50800</wp:posOffset>
              </wp:positionH>
              <wp:positionV relativeFrom="paragraph">
                <wp:posOffset>24130</wp:posOffset>
              </wp:positionV>
              <wp:extent cx="2755265" cy="2540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2755265" cy="254000"/>
                      </a:xfrm>
                      <a:prstGeom prst="rect">
                        <a:avLst/>
                      </a:prstGeom>
                      <a:noFill/>
                      <a:ln>
                        <a:noFill/>
                      </a:ln>
                    </wps:spPr>
                    <wps:txbx>
                      <w:txbxContent>
                        <w:p>
                          <w:pPr>
                            <w:spacing w:line="240" w:lineRule="auto"/>
                            <w:ind w:firstLine="0" w:firstLineChars="0"/>
                            <w:rPr>
                              <w:sz w:val="21"/>
                              <w:szCs w:val="21"/>
                            </w:rPr>
                          </w:pPr>
                          <w:r>
                            <w:rPr>
                              <w:rFonts w:hint="eastAsia"/>
                              <w:sz w:val="21"/>
                              <w:szCs w:val="21"/>
                            </w:rPr>
                            <w:t>汉唐规划设计集团有限公司新疆分公司</w:t>
                          </w:r>
                        </w:p>
                      </w:txbxContent>
                    </wps:txbx>
                    <wps:bodyPr wrap="square" upright="1"/>
                  </wps:wsp>
                </a:graphicData>
              </a:graphic>
            </wp:anchor>
          </w:drawing>
        </mc:Choice>
        <mc:Fallback>
          <w:pict>
            <v:shape id="文本框 1025" o:spid="_x0000_s1026" o:spt="202" type="#_x0000_t202" style="position:absolute;left:0pt;margin-left:4pt;margin-top:1.9pt;height:20pt;width:216.95pt;z-index:251669504;mso-width-relative:page;mso-height-relative:page;" filled="f" stroked="f" coordsize="21600,21600" o:gfxdata="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KUSjTAAAABgEAAA8AAAAAAAAAAQAgAAAA&#10;IgAAAGRycy9kb3ducmV2LnhtbFBLAQIUABQAAAAIAIdO4kCLXgMyngEAABIDAAAOAAAAAAAAAAEA&#10;IAAAACIBAABkcnMvZTJvRG9jLnhtbFBLBQYAAAAABgAGAFkBAAAyBQAAAAA=&#10;">
              <v:fill on="f" focussize="0,0"/>
              <v:stroke on="f"/>
              <v:imagedata o:title=""/>
              <o:lock v:ext="edit" aspectratio="f"/>
              <v:textbox>
                <w:txbxContent>
                  <w:p>
                    <w:pPr>
                      <w:spacing w:line="240" w:lineRule="auto"/>
                      <w:ind w:firstLine="0" w:firstLineChars="0"/>
                      <w:rPr>
                        <w:sz w:val="21"/>
                        <w:szCs w:val="21"/>
                      </w:rPr>
                    </w:pPr>
                    <w:r>
                      <w:rPr>
                        <w:rFonts w:hint="eastAsia"/>
                        <w:sz w:val="21"/>
                        <w:szCs w:val="21"/>
                      </w:rPr>
                      <w:t>汉唐规划设计集团有限公司新疆分公司</w:t>
                    </w:r>
                  </w:p>
                </w:txbxContent>
              </v:textbox>
            </v:shape>
          </w:pict>
        </mc:Fallback>
      </mc:AlternateContent>
    </w:r>
  </w:p>
  <w:p>
    <w:pPr>
      <w:pStyle w:val="57"/>
      <w:pBdr>
        <w:top w:val="none" w:color="auto" w:sz="0" w:space="1"/>
        <w:left w:val="none" w:color="auto" w:sz="0" w:space="4"/>
        <w:bottom w:val="none" w:color="auto" w:sz="0" w:space="1"/>
        <w:right w:val="none" w:color="auto" w:sz="0" w:space="4"/>
      </w:pBdr>
      <w:ind w:firstLine="0" w:firstLineChars="0"/>
      <w:rPr>
        <w:sz w:val="21"/>
        <w:szCs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-43180</wp:posOffset>
              </wp:positionH>
              <wp:positionV relativeFrom="paragraph">
                <wp:posOffset>304165</wp:posOffset>
              </wp:positionV>
              <wp:extent cx="5816600" cy="635"/>
              <wp:effectExtent l="0" t="0" r="0" b="0"/>
              <wp:wrapNone/>
              <wp:docPr id="12" name="直线 27"/>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7" o:spid="_x0000_s1026" o:spt="20" style="position:absolute;left:0pt;margin-left:-3.4pt;margin-top:23.95pt;height:0.05pt;width:458pt;z-index:251678720;mso-width-relative:page;mso-height-relative:page;" filled="f" stroked="f" coordsize="21600,21600" o:gfxdata="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CD1fvHYAAAA&#10;CAEAAA8AAAAAAAAAAQAgAAAAIgAAAGRycy9kb3ducmV2LnhtbFBLAQIUABQAAAAIAIdO4kC3kqr8&#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-34290</wp:posOffset>
              </wp:positionH>
              <wp:positionV relativeFrom="paragraph">
                <wp:posOffset>269875</wp:posOffset>
              </wp:positionV>
              <wp:extent cx="5816600" cy="635"/>
              <wp:effectExtent l="0" t="0" r="0" b="0"/>
              <wp:wrapNone/>
              <wp:docPr id="13" name="直线 26"/>
              <wp:cNvGraphicFramePr/>
              <a:graphic xmlns:a="http://schemas.openxmlformats.org/drawingml/2006/main">
                <a:graphicData uri="http://schemas.microsoft.com/office/word/2010/wordprocessingShape">
                  <wps:wsp>
                    <wps:cNvCnPr/>
                    <wps:spPr>
                      <a:xfrm>
                        <a:off x="0" y="0"/>
                        <a:ext cx="5816600" cy="635"/>
                      </a:xfrm>
                      <a:prstGeom prst="line">
                        <a:avLst/>
                      </a:prstGeom>
                      <a:ln>
                        <a:noFill/>
                      </a:ln>
                    </wps:spPr>
                    <wps:bodyPr/>
                  </wps:wsp>
                </a:graphicData>
              </a:graphic>
            </wp:anchor>
          </w:drawing>
        </mc:Choice>
        <mc:Fallback>
          <w:pict>
            <v:line id="直线 26" o:spid="_x0000_s1026" o:spt="20" style="position:absolute;left:0pt;margin-left:-2.7pt;margin-top:21.25pt;height:0.05pt;width:458pt;z-index:251677696;mso-width-relative:page;mso-height-relative:page;" filled="f" stroked="f" coordsize="21600,21600" o:gfxdata="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MwL447YAAAA&#10;CAEAAA8AAAAAAAAAAQAgAAAAIgAAAGRycy9kb3ducmV2LnhtbFBLAQIUABQAAAAIAIdO4kAh5WdS&#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75565</wp:posOffset>
              </wp:positionH>
              <wp:positionV relativeFrom="paragraph">
                <wp:posOffset>287020</wp:posOffset>
              </wp:positionV>
              <wp:extent cx="2954655" cy="84455"/>
              <wp:effectExtent l="0" t="0" r="0" b="0"/>
              <wp:wrapNone/>
              <wp:docPr id="14" name="直线 25"/>
              <wp:cNvGraphicFramePr/>
              <a:graphic xmlns:a="http://schemas.openxmlformats.org/drawingml/2006/main">
                <a:graphicData uri="http://schemas.microsoft.com/office/word/2010/wordprocessingShape">
                  <wps:wsp>
                    <wps:cNvCnPr/>
                    <wps:spPr>
                      <a:xfrm>
                        <a:off x="0" y="0"/>
                        <a:ext cx="2954655" cy="84455"/>
                      </a:xfrm>
                      <a:prstGeom prst="line">
                        <a:avLst/>
                      </a:prstGeom>
                      <a:ln>
                        <a:noFill/>
                      </a:ln>
                    </wps:spPr>
                    <wps:bodyPr/>
                  </wps:wsp>
                </a:graphicData>
              </a:graphic>
            </wp:anchor>
          </w:drawing>
        </mc:Choice>
        <mc:Fallback>
          <w:pict>
            <v:line id="直线 25" o:spid="_x0000_s1026" o:spt="20" style="position:absolute;left:0pt;margin-left:5.95pt;margin-top:22.6pt;height:6.65pt;width:232.65pt;z-index:251676672;mso-width-relative:page;mso-height-relative:page;" filled="f" stroked="f" coordsize="21600,21600" o:gfxdata="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vnKTmtgA&#10;AAAIAQAADwAAAAAAAAABACAAAAAiAAAAZHJzL2Rvd25yZXYueG1sUEsBAhQAFAAAAAgAh07iQAKT&#10;Uc90AQAA0gIAAA4AAAAAAAAAAQAgAAAAJwEAAGRycy9lMm9Eb2MueG1sUEsFBgAAAAAGAAYAWQEA&#10;AA0FA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-635</wp:posOffset>
              </wp:positionH>
              <wp:positionV relativeFrom="paragraph">
                <wp:posOffset>-80645</wp:posOffset>
              </wp:positionV>
              <wp:extent cx="5782945" cy="635"/>
              <wp:effectExtent l="0" t="0" r="0" b="0"/>
              <wp:wrapNone/>
              <wp:docPr id="16" name="直线 23"/>
              <wp:cNvGraphicFramePr/>
              <a:graphic xmlns:a="http://schemas.openxmlformats.org/drawingml/2006/main">
                <a:graphicData uri="http://schemas.microsoft.com/office/word/2010/wordprocessingShape">
                  <wps:wsp>
                    <wps:cNvCnPr/>
                    <wps:spPr>
                      <a:xfrm>
                        <a:off x="0" y="0"/>
                        <a:ext cx="5782945" cy="635"/>
                      </a:xfrm>
                      <a:prstGeom prst="line">
                        <a:avLst/>
                      </a:prstGeom>
                      <a:ln>
                        <a:noFill/>
                      </a:ln>
                    </wps:spPr>
                    <wps:bodyPr/>
                  </wps:wsp>
                </a:graphicData>
              </a:graphic>
            </wp:anchor>
          </w:drawing>
        </mc:Choice>
        <mc:Fallback>
          <w:pict>
            <v:line id="直线 23" o:spid="_x0000_s1026" o:spt="20" style="position:absolute;left:0pt;margin-left:-0.05pt;margin-top:-6.35pt;height:0.05pt;width:455.35pt;z-index:251675648;mso-width-relative:page;mso-height-relative:page;" filled="f" stroked="f" coordsize="21600,21600" o:gfxdata="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Ddxzgo2AAA&#10;AAkBAAAPAAAAAAAAAAEAIAAAACIAAABkcnMvZG93bnJldi54bWxQSwECFAAUAAAACACHTuJAsbu+&#10;y3MBAADQAgAADgAAAAAAAAABACAAAAAnAQAAZHJzL2Uyb0RvYy54bWxQSwUGAAAAAAYABgBZAQAA&#10;DAU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-8890</wp:posOffset>
              </wp:positionH>
              <wp:positionV relativeFrom="paragraph">
                <wp:posOffset>253365</wp:posOffset>
              </wp:positionV>
              <wp:extent cx="5791200" cy="635"/>
              <wp:effectExtent l="0" t="0" r="0" b="0"/>
              <wp:wrapNone/>
              <wp:docPr id="17" name="直线 22"/>
              <wp:cNvGraphicFramePr/>
              <a:graphic xmlns:a="http://schemas.openxmlformats.org/drawingml/2006/main">
                <a:graphicData uri="http://schemas.microsoft.com/office/word/2010/wordprocessingShape">
                  <wps:wsp>
                    <wps:cNvCnPr/>
                    <wps:spPr>
                      <a:xfrm>
                        <a:off x="0" y="0"/>
                        <a:ext cx="5791200" cy="635"/>
                      </a:xfrm>
                      <a:prstGeom prst="line">
                        <a:avLst/>
                      </a:prstGeom>
                      <a:ln>
                        <a:noFill/>
                      </a:ln>
                    </wps:spPr>
                    <wps:bodyPr/>
                  </wps:wsp>
                </a:graphicData>
              </a:graphic>
            </wp:anchor>
          </w:drawing>
        </mc:Choice>
        <mc:Fallback>
          <w:pict>
            <v:line id="直线 22" o:spid="_x0000_s1026" o:spt="20" style="position:absolute;left:0pt;margin-left:-0.7pt;margin-top:19.95pt;height:0.05pt;width:456pt;z-index:251674624;mso-width-relative:page;mso-height-relative:page;" filled="f" stroked="f" coordsize="21600,21600" o:gfxdata="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CtbVeLYAAAA&#10;CAEAAA8AAAAAAAAAAQAgAAAAIgAAAGRycy9kb3ducmV2LnhtbFBLAQIUABQAAAAIAIdO4kC2chjo&#10;cgEAANACAAAOAAAAAAAAAAEAIAAAACcBAABkcnMvZTJvRG9jLnhtbFBLBQYAAAAABgAGAFkBAAAL&#10;BQAAAAA=&#10;">
              <v:fill on="f" focussize="0,0"/>
              <v:stroke on="f"/>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227965</wp:posOffset>
              </wp:positionV>
              <wp:extent cx="5765800" cy="635"/>
              <wp:effectExtent l="0" t="0" r="0" b="0"/>
              <wp:wrapNone/>
              <wp:docPr id="19" name="直线 21"/>
              <wp:cNvGraphicFramePr/>
              <a:graphic xmlns:a="http://schemas.openxmlformats.org/drawingml/2006/main">
                <a:graphicData uri="http://schemas.microsoft.com/office/word/2010/wordprocessingShape">
                  <wps:wsp>
                    <wps:cNvCnPr/>
                    <wps:spPr>
                      <a:xfrm>
                        <a:off x="0" y="0"/>
                        <a:ext cx="5765800" cy="635"/>
                      </a:xfrm>
                      <a:prstGeom prst="line">
                        <a:avLst/>
                      </a:prstGeom>
                      <a:ln>
                        <a:noFill/>
                      </a:ln>
                    </wps:spPr>
                    <wps:bodyPr/>
                  </wps:wsp>
                </a:graphicData>
              </a:graphic>
            </wp:anchor>
          </w:drawing>
        </mc:Choice>
        <mc:Fallback>
          <w:pict>
            <v:line id="直线 21" o:spid="_x0000_s1026" o:spt="20" style="position:absolute;left:0pt;margin-left:-0.05pt;margin-top:17.95pt;height:0.05pt;width:454pt;z-index:251673600;mso-width-relative:page;mso-height-relative:page;" filled="f" stroked="f" coordsize="21600,21600" o:gfxdata="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">
              <v:fill on="f" focussize="0,0"/>
              <v:stroke on="f"/>
              <v:imagedata o:title=""/>
              <o:lock v:ext="edit" aspectratio="f"/>
            </v:line>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128905</wp:posOffset>
              </wp:positionH>
              <wp:positionV relativeFrom="paragraph">
                <wp:posOffset>-41275</wp:posOffset>
              </wp:positionV>
              <wp:extent cx="1555750" cy="0"/>
              <wp:effectExtent l="0" t="0" r="0" b="0"/>
              <wp:wrapNone/>
              <wp:docPr id="20" name="自选图形 1028"/>
              <wp:cNvGraphicFramePr/>
              <a:graphic xmlns:a="http://schemas.openxmlformats.org/drawingml/2006/main">
                <a:graphicData uri="http://schemas.microsoft.com/office/word/2010/wordprocessingShape">
                  <wps:wsp>
                    <wps:cNvCnPr/>
                    <wps:spPr>
                      <a:xfrm>
                        <a:off x="0" y="0"/>
                        <a:ext cx="1555750" cy="0"/>
                      </a:xfrm>
                      <a:prstGeom prst="straightConnector1">
                        <a:avLst/>
                      </a:prstGeom>
                      <a:ln>
                        <a:noFill/>
                      </a:ln>
                    </wps:spPr>
                    <wps:bodyPr/>
                  </wps:wsp>
                </a:graphicData>
              </a:graphic>
            </wp:anchor>
          </w:drawing>
        </mc:Choice>
        <mc:Fallback>
          <w:pict>
            <v:shape id="自选图形 1028" o:spid="_x0000_s1026" o:spt="32" type="#_x0000_t32" style="position:absolute;left:0pt;margin-left:10.15pt;margin-top:-3.25pt;height:0pt;width:122.5pt;z-index:251672576;mso-width-relative:page;mso-height-relative:page;" filled="f" stroked="f" coordsize="21600,21600" o:gfxdata="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4nYRz1gAAAAgBAAAPAAAAAAAAAAEAIAAAACIAAABkcnMvZG93bnJldi54&#10;bWxQSwECFAAUAAAACACHTuJApYXazYoBAADkAgAADgAAAAAAAAABACAAAAAlAQAAZHJzL2Uyb0Rv&#10;Yy54bWxQSwUGAAAAAAYABgBZAQAAIQU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71552" behindDoc="0" locked="0" layoutInCell="1" allowOverlap="1">
              <wp:simplePos x="0" y="0"/>
              <wp:positionH relativeFrom="column">
                <wp:posOffset>59055</wp:posOffset>
              </wp:positionH>
              <wp:positionV relativeFrom="paragraph">
                <wp:posOffset>-92075</wp:posOffset>
              </wp:positionV>
              <wp:extent cx="463550" cy="0"/>
              <wp:effectExtent l="0" t="0" r="0" b="0"/>
              <wp:wrapNone/>
              <wp:docPr id="21" name="自选图形 1027"/>
              <wp:cNvGraphicFramePr/>
              <a:graphic xmlns:a="http://schemas.openxmlformats.org/drawingml/2006/main">
                <a:graphicData uri="http://schemas.microsoft.com/office/word/2010/wordprocessingShape">
                  <wps:wsp>
                    <wps:cNvCnPr/>
                    <wps:spPr>
                      <a:xfrm>
                        <a:off x="0" y="0"/>
                        <a:ext cx="463550" cy="0"/>
                      </a:xfrm>
                      <a:prstGeom prst="straightConnector1">
                        <a:avLst/>
                      </a:prstGeom>
                      <a:ln>
                        <a:noFill/>
                      </a:ln>
                    </wps:spPr>
                    <wps:bodyPr/>
                  </wps:wsp>
                </a:graphicData>
              </a:graphic>
            </wp:anchor>
          </w:drawing>
        </mc:Choice>
        <mc:Fallback>
          <w:pict>
            <v:shape id="自选图形 1027" o:spid="_x0000_s1026" o:spt="32" type="#_x0000_t32" style="position:absolute;left:0pt;margin-left:4.65pt;margin-top:-7.25pt;height:0pt;width:36.5pt;z-index:251671552;mso-width-relative:page;mso-height-relative:page;" filled="f" stroked="f" coordsize="21600,21600" o:gfxdata="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hZ11L1gAAAAgBAAAPAAAAAAAAAAEAIAAAACIAAABkcnMvZG93bnJldi54&#10;bWxQSwECFAAUAAAACACHTuJA18LQ/IoBAADjAgAADgAAAAAAAAABACAAAAAlAQAAZHJzL2Uyb0Rv&#10;Yy54bWxQSwUGAAAAAAYABgBZAQAAIQUAAAAA&#10;">
              <v:fill on="f" focussize="0,0"/>
              <v:stroke on="f"/>
              <v:imagedata o:title=""/>
              <o:lock v:ext="edit" aspectratio="f"/>
            </v:shap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column">
                <wp:posOffset>59055</wp:posOffset>
              </wp:positionH>
              <wp:positionV relativeFrom="paragraph">
                <wp:posOffset>-92075</wp:posOffset>
              </wp:positionV>
              <wp:extent cx="5556250" cy="6350"/>
              <wp:effectExtent l="0" t="0" r="0" b="0"/>
              <wp:wrapNone/>
              <wp:docPr id="22" name="自选图形 1026"/>
              <wp:cNvGraphicFramePr/>
              <a:graphic xmlns:a="http://schemas.openxmlformats.org/drawingml/2006/main">
                <a:graphicData uri="http://schemas.microsoft.com/office/word/2010/wordprocessingShape">
                  <wps:wsp>
                    <wps:cNvCnPr/>
                    <wps:spPr>
                      <a:xfrm>
                        <a:off x="0" y="0"/>
                        <a:ext cx="5556250" cy="6350"/>
                      </a:xfrm>
                      <a:prstGeom prst="straightConnector1">
                        <a:avLst/>
                      </a:prstGeom>
                      <a:ln>
                        <a:noFill/>
                      </a:ln>
                    </wps:spPr>
                    <wps:bodyPr/>
                  </wps:wsp>
                </a:graphicData>
              </a:graphic>
            </wp:anchor>
          </w:drawing>
        </mc:Choice>
        <mc:Fallback>
          <w:pict>
            <v:shape id="自选图形 1026" o:spid="_x0000_s1026" o:spt="32" type="#_x0000_t32" style="position:absolute;left:0pt;margin-left:4.65pt;margin-top:-7.25pt;height:0.5pt;width:437.5pt;z-index:251670528;mso-width-relative:page;mso-height-relative:page;" filled="f" stroked="f" coordsize="21600,21600" o:gfxdata="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uOKvvXAAAACQEAAA8AAAAAAAAAAQAgAAAAIgAAAGRycy9kb3du&#10;cmV2LnhtbFBLAQIUABQAAAAIAIdO4kCqs9SWjgEAAOcCAAAOAAAAAAAAAAEAIAAAACYBAABkcnMv&#10;ZTJvRG9jLnhtbFBLBQYAAAAABgAGAFkBAAAmBQAAAAA=&#10;">
              <v:fill on="f" focussize="0,0"/>
              <v:stroke on="f"/>
              <v:imagedata o:title=""/>
              <o:lock v:ext="edit" aspectratio="f"/>
            </v:shape>
          </w:pict>
        </mc:Fallback>
      </mc:AlternateConten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pPr>
    <w:r>
      <w:fldChar w:fldCharType="begin"/>
    </w:r>
    <w:r>
      <w:instrText xml:space="preserve">PAGE   \* MERGEFORMAT</w:instrText>
    </w:r>
    <w:r>
      <w:fldChar w:fldCharType="separate"/>
    </w:r>
    <w:r>
      <w:rPr>
        <w:lang w:val="zh-CN"/>
      </w:rPr>
      <w:t>326</w:t>
    </w:r>
    <w:r>
      <w:fldChar w:fldCharType="end"/>
    </w:r>
  </w:p>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spacing w:line="240" w:lineRule="auto"/>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spacing w:line="240" w:lineRule="auto"/>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40" w:lineRule="auto"/>
      <w:ind w:firstLine="0" w:firstLineChars="0"/>
      <w:rPr>
        <w:spacing w:val="-10"/>
        <w:sz w:val="21"/>
        <w:szCs w:val="21"/>
      </w:rPr>
    </w:pPr>
    <w:r>
      <w:rPr>
        <w:rFonts w:hint="eastAsia"/>
        <w:spacing w:val="-11"/>
        <w:w w:val="95"/>
        <w:sz w:val="21"/>
        <w:szCs w:val="21"/>
      </w:rPr>
      <w:t>喀什地区泽普县供水城乡一体化建设工程（泽普县农村规模化供水管道连通工程）临时用地土地复垦方案报告书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thinThickSmallGap" w:color="auto" w:sz="12" w:space="1"/>
      </w:pBdr>
      <w:spacing w:line="240" w:lineRule="auto"/>
      <w:ind w:firstLine="0" w:firstLineChars="0"/>
    </w:pPr>
    <w:r>
      <w:rPr>
        <w:rFonts w:hint="eastAsia"/>
        <w:spacing w:val="-10"/>
        <w:sz w:val="21"/>
        <w:szCs w:val="21"/>
      </w:rPr>
      <w:t>中国股份有限公司塔里木2020年滚动开发建设项目土地复垦方案报告书</w:t>
    </w:r>
  </w:p>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1F6D7"/>
    <w:multiLevelType w:val="singleLevel"/>
    <w:tmpl w:val="2961F6D7"/>
    <w:lvl w:ilvl="0" w:tentative="0">
      <w:start w:val="2"/>
      <w:numFmt w:val="decimal"/>
      <w:suff w:val="nothing"/>
      <w:lvlText w:val="%1）"/>
      <w:lvlJc w:val="left"/>
    </w:lvl>
  </w:abstractNum>
  <w:abstractNum w:abstractNumId="1">
    <w:nsid w:val="50DDA923"/>
    <w:multiLevelType w:val="singleLevel"/>
    <w:tmpl w:val="50DDA923"/>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alignBordersAndEdges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0Y2ZkMmY0Y2Q2NjViOWZiYTg0MmY1MmJiY2JjYzIifQ=="/>
  </w:docVars>
  <w:rsids>
    <w:rsidRoot w:val="00172A27"/>
    <w:rsid w:val="00000112"/>
    <w:rsid w:val="00000A4A"/>
    <w:rsid w:val="00000CD3"/>
    <w:rsid w:val="00000FD6"/>
    <w:rsid w:val="00001132"/>
    <w:rsid w:val="00001EE4"/>
    <w:rsid w:val="00001F9E"/>
    <w:rsid w:val="00001FA0"/>
    <w:rsid w:val="000023AF"/>
    <w:rsid w:val="00002731"/>
    <w:rsid w:val="00002A22"/>
    <w:rsid w:val="00002B6A"/>
    <w:rsid w:val="00002D05"/>
    <w:rsid w:val="00002DF7"/>
    <w:rsid w:val="00002E55"/>
    <w:rsid w:val="00002F38"/>
    <w:rsid w:val="000031B4"/>
    <w:rsid w:val="0000367B"/>
    <w:rsid w:val="00003A3A"/>
    <w:rsid w:val="00003B5E"/>
    <w:rsid w:val="00003E6B"/>
    <w:rsid w:val="000043E4"/>
    <w:rsid w:val="00004441"/>
    <w:rsid w:val="0000475B"/>
    <w:rsid w:val="00004801"/>
    <w:rsid w:val="00004A60"/>
    <w:rsid w:val="00004A70"/>
    <w:rsid w:val="00004CFB"/>
    <w:rsid w:val="000054F9"/>
    <w:rsid w:val="00005662"/>
    <w:rsid w:val="000056E6"/>
    <w:rsid w:val="0000587A"/>
    <w:rsid w:val="000059DA"/>
    <w:rsid w:val="00005BB0"/>
    <w:rsid w:val="00005FA6"/>
    <w:rsid w:val="00006993"/>
    <w:rsid w:val="00006AD4"/>
    <w:rsid w:val="00006AFC"/>
    <w:rsid w:val="00006D4A"/>
    <w:rsid w:val="0000727B"/>
    <w:rsid w:val="00007876"/>
    <w:rsid w:val="00007EB4"/>
    <w:rsid w:val="0001021B"/>
    <w:rsid w:val="000102AA"/>
    <w:rsid w:val="00010569"/>
    <w:rsid w:val="000107E4"/>
    <w:rsid w:val="00010A4B"/>
    <w:rsid w:val="00010CAE"/>
    <w:rsid w:val="00010D8B"/>
    <w:rsid w:val="00010E58"/>
    <w:rsid w:val="00011076"/>
    <w:rsid w:val="00011137"/>
    <w:rsid w:val="00011213"/>
    <w:rsid w:val="00011605"/>
    <w:rsid w:val="00011852"/>
    <w:rsid w:val="000118A6"/>
    <w:rsid w:val="00011E3A"/>
    <w:rsid w:val="000125A0"/>
    <w:rsid w:val="00012765"/>
    <w:rsid w:val="000128F8"/>
    <w:rsid w:val="00012C0B"/>
    <w:rsid w:val="00012D0B"/>
    <w:rsid w:val="00012E32"/>
    <w:rsid w:val="00012E7B"/>
    <w:rsid w:val="00012EB2"/>
    <w:rsid w:val="00013069"/>
    <w:rsid w:val="000130EF"/>
    <w:rsid w:val="0001313D"/>
    <w:rsid w:val="0001351C"/>
    <w:rsid w:val="0001361A"/>
    <w:rsid w:val="00013B15"/>
    <w:rsid w:val="00013D6C"/>
    <w:rsid w:val="0001401E"/>
    <w:rsid w:val="0001427A"/>
    <w:rsid w:val="00014401"/>
    <w:rsid w:val="00014510"/>
    <w:rsid w:val="000146AF"/>
    <w:rsid w:val="00014908"/>
    <w:rsid w:val="00014A53"/>
    <w:rsid w:val="00014DA2"/>
    <w:rsid w:val="0001558D"/>
    <w:rsid w:val="00015A1F"/>
    <w:rsid w:val="00015BA5"/>
    <w:rsid w:val="00015BC9"/>
    <w:rsid w:val="00015BCE"/>
    <w:rsid w:val="00015D2A"/>
    <w:rsid w:val="00015E0E"/>
    <w:rsid w:val="00016076"/>
    <w:rsid w:val="000160EC"/>
    <w:rsid w:val="0001617C"/>
    <w:rsid w:val="00016892"/>
    <w:rsid w:val="000168C6"/>
    <w:rsid w:val="000175D1"/>
    <w:rsid w:val="00017831"/>
    <w:rsid w:val="00017DBD"/>
    <w:rsid w:val="00017F85"/>
    <w:rsid w:val="00017F88"/>
    <w:rsid w:val="00020105"/>
    <w:rsid w:val="000209FE"/>
    <w:rsid w:val="00020BF6"/>
    <w:rsid w:val="000211FB"/>
    <w:rsid w:val="000217F6"/>
    <w:rsid w:val="00021AA1"/>
    <w:rsid w:val="00022000"/>
    <w:rsid w:val="00022023"/>
    <w:rsid w:val="0002206A"/>
    <w:rsid w:val="000220CC"/>
    <w:rsid w:val="0002233A"/>
    <w:rsid w:val="00022A7A"/>
    <w:rsid w:val="00022B46"/>
    <w:rsid w:val="0002301D"/>
    <w:rsid w:val="000230B1"/>
    <w:rsid w:val="000230EB"/>
    <w:rsid w:val="000232D0"/>
    <w:rsid w:val="00023338"/>
    <w:rsid w:val="000234F8"/>
    <w:rsid w:val="000235B5"/>
    <w:rsid w:val="00023AD7"/>
    <w:rsid w:val="00023BFC"/>
    <w:rsid w:val="00023C70"/>
    <w:rsid w:val="00024761"/>
    <w:rsid w:val="000247FE"/>
    <w:rsid w:val="000249C2"/>
    <w:rsid w:val="000249CC"/>
    <w:rsid w:val="0002513B"/>
    <w:rsid w:val="0002520D"/>
    <w:rsid w:val="0002562F"/>
    <w:rsid w:val="0002593B"/>
    <w:rsid w:val="00025D92"/>
    <w:rsid w:val="00025EBA"/>
    <w:rsid w:val="00025F54"/>
    <w:rsid w:val="00026010"/>
    <w:rsid w:val="000260FF"/>
    <w:rsid w:val="000265E5"/>
    <w:rsid w:val="000271D6"/>
    <w:rsid w:val="00027439"/>
    <w:rsid w:val="00027503"/>
    <w:rsid w:val="00027869"/>
    <w:rsid w:val="00027B4C"/>
    <w:rsid w:val="00027D1F"/>
    <w:rsid w:val="00027DBB"/>
    <w:rsid w:val="00027FC7"/>
    <w:rsid w:val="00030199"/>
    <w:rsid w:val="000302F7"/>
    <w:rsid w:val="000305B0"/>
    <w:rsid w:val="00030617"/>
    <w:rsid w:val="00030626"/>
    <w:rsid w:val="00030D44"/>
    <w:rsid w:val="00030F6D"/>
    <w:rsid w:val="00031175"/>
    <w:rsid w:val="000314F8"/>
    <w:rsid w:val="000318D9"/>
    <w:rsid w:val="0003207C"/>
    <w:rsid w:val="000320A7"/>
    <w:rsid w:val="00032731"/>
    <w:rsid w:val="00033048"/>
    <w:rsid w:val="000330D1"/>
    <w:rsid w:val="00033B51"/>
    <w:rsid w:val="00033DFF"/>
    <w:rsid w:val="00033F56"/>
    <w:rsid w:val="00033F60"/>
    <w:rsid w:val="0003412D"/>
    <w:rsid w:val="00034502"/>
    <w:rsid w:val="00034660"/>
    <w:rsid w:val="000346A3"/>
    <w:rsid w:val="000346F2"/>
    <w:rsid w:val="000349ED"/>
    <w:rsid w:val="000349F9"/>
    <w:rsid w:val="00034E6B"/>
    <w:rsid w:val="00034FEE"/>
    <w:rsid w:val="00035656"/>
    <w:rsid w:val="000357D8"/>
    <w:rsid w:val="000357F1"/>
    <w:rsid w:val="00035CE2"/>
    <w:rsid w:val="00035E93"/>
    <w:rsid w:val="00036066"/>
    <w:rsid w:val="00036634"/>
    <w:rsid w:val="00036764"/>
    <w:rsid w:val="00036926"/>
    <w:rsid w:val="000369D6"/>
    <w:rsid w:val="00036A2B"/>
    <w:rsid w:val="00036ECE"/>
    <w:rsid w:val="00036F93"/>
    <w:rsid w:val="0003707F"/>
    <w:rsid w:val="0003708C"/>
    <w:rsid w:val="0003710B"/>
    <w:rsid w:val="00037199"/>
    <w:rsid w:val="000371CB"/>
    <w:rsid w:val="000372D5"/>
    <w:rsid w:val="00037303"/>
    <w:rsid w:val="000373AF"/>
    <w:rsid w:val="00037431"/>
    <w:rsid w:val="0003791D"/>
    <w:rsid w:val="000379AB"/>
    <w:rsid w:val="00040705"/>
    <w:rsid w:val="000408CD"/>
    <w:rsid w:val="00040900"/>
    <w:rsid w:val="0004091B"/>
    <w:rsid w:val="00040973"/>
    <w:rsid w:val="00040A88"/>
    <w:rsid w:val="00040B9A"/>
    <w:rsid w:val="00040BBF"/>
    <w:rsid w:val="00040E40"/>
    <w:rsid w:val="00040EA2"/>
    <w:rsid w:val="00040EF9"/>
    <w:rsid w:val="00040F68"/>
    <w:rsid w:val="0004114D"/>
    <w:rsid w:val="000411C2"/>
    <w:rsid w:val="00041495"/>
    <w:rsid w:val="000414A9"/>
    <w:rsid w:val="0004153D"/>
    <w:rsid w:val="0004178C"/>
    <w:rsid w:val="00042039"/>
    <w:rsid w:val="00042383"/>
    <w:rsid w:val="0004285A"/>
    <w:rsid w:val="000428A1"/>
    <w:rsid w:val="00042CD7"/>
    <w:rsid w:val="00042F96"/>
    <w:rsid w:val="00042FA5"/>
    <w:rsid w:val="000430B0"/>
    <w:rsid w:val="000433A0"/>
    <w:rsid w:val="0004392E"/>
    <w:rsid w:val="00043D91"/>
    <w:rsid w:val="00043EF0"/>
    <w:rsid w:val="000440C3"/>
    <w:rsid w:val="000443E6"/>
    <w:rsid w:val="00044489"/>
    <w:rsid w:val="000445E0"/>
    <w:rsid w:val="0004473B"/>
    <w:rsid w:val="00044A79"/>
    <w:rsid w:val="00044B7D"/>
    <w:rsid w:val="00044BD9"/>
    <w:rsid w:val="00044E92"/>
    <w:rsid w:val="00044EF2"/>
    <w:rsid w:val="000450C4"/>
    <w:rsid w:val="0004554B"/>
    <w:rsid w:val="00045733"/>
    <w:rsid w:val="000458A4"/>
    <w:rsid w:val="00045DAE"/>
    <w:rsid w:val="0004638E"/>
    <w:rsid w:val="0004663B"/>
    <w:rsid w:val="00046853"/>
    <w:rsid w:val="00046975"/>
    <w:rsid w:val="00046B8C"/>
    <w:rsid w:val="00046DFC"/>
    <w:rsid w:val="000475C5"/>
    <w:rsid w:val="00047AA0"/>
    <w:rsid w:val="00047BAA"/>
    <w:rsid w:val="00047CE6"/>
    <w:rsid w:val="00047EAA"/>
    <w:rsid w:val="00047F03"/>
    <w:rsid w:val="00050331"/>
    <w:rsid w:val="00050802"/>
    <w:rsid w:val="00050AEA"/>
    <w:rsid w:val="00050CB8"/>
    <w:rsid w:val="00050CFF"/>
    <w:rsid w:val="00050F8E"/>
    <w:rsid w:val="00051220"/>
    <w:rsid w:val="000513B3"/>
    <w:rsid w:val="0005163A"/>
    <w:rsid w:val="000516B9"/>
    <w:rsid w:val="000516F1"/>
    <w:rsid w:val="00051709"/>
    <w:rsid w:val="00051CF4"/>
    <w:rsid w:val="00051DA7"/>
    <w:rsid w:val="00051FC2"/>
    <w:rsid w:val="000524B8"/>
    <w:rsid w:val="00052517"/>
    <w:rsid w:val="000528B9"/>
    <w:rsid w:val="00052BE2"/>
    <w:rsid w:val="00052D91"/>
    <w:rsid w:val="00052EE9"/>
    <w:rsid w:val="00053109"/>
    <w:rsid w:val="0005333A"/>
    <w:rsid w:val="00053569"/>
    <w:rsid w:val="00053697"/>
    <w:rsid w:val="00053989"/>
    <w:rsid w:val="00053A2D"/>
    <w:rsid w:val="00053B0D"/>
    <w:rsid w:val="00053BE1"/>
    <w:rsid w:val="00053E08"/>
    <w:rsid w:val="0005422E"/>
    <w:rsid w:val="00054705"/>
    <w:rsid w:val="00054B54"/>
    <w:rsid w:val="0005524D"/>
    <w:rsid w:val="0005533A"/>
    <w:rsid w:val="00055386"/>
    <w:rsid w:val="00055480"/>
    <w:rsid w:val="00055AA5"/>
    <w:rsid w:val="00055BAC"/>
    <w:rsid w:val="00056354"/>
    <w:rsid w:val="00056705"/>
    <w:rsid w:val="00056BBE"/>
    <w:rsid w:val="00056C19"/>
    <w:rsid w:val="00056E22"/>
    <w:rsid w:val="00057561"/>
    <w:rsid w:val="000576E3"/>
    <w:rsid w:val="00057A6B"/>
    <w:rsid w:val="000600B9"/>
    <w:rsid w:val="0006093E"/>
    <w:rsid w:val="00060E8F"/>
    <w:rsid w:val="0006119A"/>
    <w:rsid w:val="000614A4"/>
    <w:rsid w:val="000617CB"/>
    <w:rsid w:val="00061867"/>
    <w:rsid w:val="000619DB"/>
    <w:rsid w:val="00061A52"/>
    <w:rsid w:val="000623BE"/>
    <w:rsid w:val="000623F3"/>
    <w:rsid w:val="00062431"/>
    <w:rsid w:val="00062558"/>
    <w:rsid w:val="00062705"/>
    <w:rsid w:val="000629DB"/>
    <w:rsid w:val="00062A7B"/>
    <w:rsid w:val="00062D1D"/>
    <w:rsid w:val="00062F43"/>
    <w:rsid w:val="00063094"/>
    <w:rsid w:val="0006313B"/>
    <w:rsid w:val="000634C5"/>
    <w:rsid w:val="0006351F"/>
    <w:rsid w:val="000636DF"/>
    <w:rsid w:val="000637D1"/>
    <w:rsid w:val="000639CD"/>
    <w:rsid w:val="00063F31"/>
    <w:rsid w:val="000641AC"/>
    <w:rsid w:val="00064705"/>
    <w:rsid w:val="0006496E"/>
    <w:rsid w:val="00064B78"/>
    <w:rsid w:val="00064FA4"/>
    <w:rsid w:val="00065036"/>
    <w:rsid w:val="000651F4"/>
    <w:rsid w:val="00065248"/>
    <w:rsid w:val="000652B2"/>
    <w:rsid w:val="000652FC"/>
    <w:rsid w:val="00065525"/>
    <w:rsid w:val="000658A3"/>
    <w:rsid w:val="0006594F"/>
    <w:rsid w:val="0006610A"/>
    <w:rsid w:val="000664AD"/>
    <w:rsid w:val="000665A1"/>
    <w:rsid w:val="0006668E"/>
    <w:rsid w:val="00067220"/>
    <w:rsid w:val="000673B6"/>
    <w:rsid w:val="00067CCA"/>
    <w:rsid w:val="00067D44"/>
    <w:rsid w:val="00067E1A"/>
    <w:rsid w:val="0007039E"/>
    <w:rsid w:val="0007045B"/>
    <w:rsid w:val="000705AD"/>
    <w:rsid w:val="00070611"/>
    <w:rsid w:val="00070746"/>
    <w:rsid w:val="00072321"/>
    <w:rsid w:val="0007235D"/>
    <w:rsid w:val="00072506"/>
    <w:rsid w:val="000727EF"/>
    <w:rsid w:val="00072849"/>
    <w:rsid w:val="000728FB"/>
    <w:rsid w:val="00072AE5"/>
    <w:rsid w:val="00072F6D"/>
    <w:rsid w:val="00072FAB"/>
    <w:rsid w:val="0007344A"/>
    <w:rsid w:val="0007354C"/>
    <w:rsid w:val="00073E30"/>
    <w:rsid w:val="00073EB8"/>
    <w:rsid w:val="00073FBD"/>
    <w:rsid w:val="00073FF0"/>
    <w:rsid w:val="00074314"/>
    <w:rsid w:val="0007439F"/>
    <w:rsid w:val="000743F7"/>
    <w:rsid w:val="000746E9"/>
    <w:rsid w:val="00074BBC"/>
    <w:rsid w:val="00074D72"/>
    <w:rsid w:val="00074D89"/>
    <w:rsid w:val="00074FD0"/>
    <w:rsid w:val="00075511"/>
    <w:rsid w:val="0007552A"/>
    <w:rsid w:val="00075777"/>
    <w:rsid w:val="000758EB"/>
    <w:rsid w:val="00075B33"/>
    <w:rsid w:val="00075BBB"/>
    <w:rsid w:val="0007677B"/>
    <w:rsid w:val="0007679A"/>
    <w:rsid w:val="00076C97"/>
    <w:rsid w:val="00076FC3"/>
    <w:rsid w:val="00076FFB"/>
    <w:rsid w:val="00077147"/>
    <w:rsid w:val="00077210"/>
    <w:rsid w:val="000772C9"/>
    <w:rsid w:val="000776BB"/>
    <w:rsid w:val="00077DB0"/>
    <w:rsid w:val="00080021"/>
    <w:rsid w:val="0008020C"/>
    <w:rsid w:val="00080310"/>
    <w:rsid w:val="000809A7"/>
    <w:rsid w:val="00080EC7"/>
    <w:rsid w:val="00080ECB"/>
    <w:rsid w:val="000811EC"/>
    <w:rsid w:val="000811F9"/>
    <w:rsid w:val="00081228"/>
    <w:rsid w:val="000812F5"/>
    <w:rsid w:val="00081958"/>
    <w:rsid w:val="0008195F"/>
    <w:rsid w:val="00081BDE"/>
    <w:rsid w:val="00082092"/>
    <w:rsid w:val="0008234A"/>
    <w:rsid w:val="000823CD"/>
    <w:rsid w:val="00082523"/>
    <w:rsid w:val="000825D0"/>
    <w:rsid w:val="000825F7"/>
    <w:rsid w:val="000825FD"/>
    <w:rsid w:val="0008260D"/>
    <w:rsid w:val="00082789"/>
    <w:rsid w:val="000827D5"/>
    <w:rsid w:val="000827F4"/>
    <w:rsid w:val="000829AA"/>
    <w:rsid w:val="00082BCB"/>
    <w:rsid w:val="00082F87"/>
    <w:rsid w:val="000830C6"/>
    <w:rsid w:val="0008342A"/>
    <w:rsid w:val="00083453"/>
    <w:rsid w:val="00083F00"/>
    <w:rsid w:val="0008418F"/>
    <w:rsid w:val="000842E1"/>
    <w:rsid w:val="000849F1"/>
    <w:rsid w:val="00084B39"/>
    <w:rsid w:val="00084C2D"/>
    <w:rsid w:val="00084C7F"/>
    <w:rsid w:val="00084F94"/>
    <w:rsid w:val="0008515F"/>
    <w:rsid w:val="00085177"/>
    <w:rsid w:val="000854A4"/>
    <w:rsid w:val="00085657"/>
    <w:rsid w:val="000856FE"/>
    <w:rsid w:val="00085719"/>
    <w:rsid w:val="00085B88"/>
    <w:rsid w:val="00085BF8"/>
    <w:rsid w:val="00085C57"/>
    <w:rsid w:val="000863CC"/>
    <w:rsid w:val="000864E2"/>
    <w:rsid w:val="000866B0"/>
    <w:rsid w:val="00086707"/>
    <w:rsid w:val="00086788"/>
    <w:rsid w:val="00087085"/>
    <w:rsid w:val="000872F2"/>
    <w:rsid w:val="00087382"/>
    <w:rsid w:val="000874AE"/>
    <w:rsid w:val="000879FB"/>
    <w:rsid w:val="00087AB2"/>
    <w:rsid w:val="00087B41"/>
    <w:rsid w:val="00087E27"/>
    <w:rsid w:val="00090250"/>
    <w:rsid w:val="0009044F"/>
    <w:rsid w:val="00090500"/>
    <w:rsid w:val="00090604"/>
    <w:rsid w:val="0009070D"/>
    <w:rsid w:val="00090BAB"/>
    <w:rsid w:val="00090DCC"/>
    <w:rsid w:val="00091007"/>
    <w:rsid w:val="0009112B"/>
    <w:rsid w:val="00091152"/>
    <w:rsid w:val="000915A7"/>
    <w:rsid w:val="0009161C"/>
    <w:rsid w:val="00091780"/>
    <w:rsid w:val="000918FD"/>
    <w:rsid w:val="00091943"/>
    <w:rsid w:val="00091A38"/>
    <w:rsid w:val="00091CDD"/>
    <w:rsid w:val="00091D82"/>
    <w:rsid w:val="00091DB5"/>
    <w:rsid w:val="0009231A"/>
    <w:rsid w:val="00092379"/>
    <w:rsid w:val="0009258D"/>
    <w:rsid w:val="000929EF"/>
    <w:rsid w:val="00092B7F"/>
    <w:rsid w:val="00092CAF"/>
    <w:rsid w:val="00092D2F"/>
    <w:rsid w:val="00093076"/>
    <w:rsid w:val="0009370B"/>
    <w:rsid w:val="00093764"/>
    <w:rsid w:val="00093BF6"/>
    <w:rsid w:val="0009438C"/>
    <w:rsid w:val="00094797"/>
    <w:rsid w:val="0009494E"/>
    <w:rsid w:val="00094D97"/>
    <w:rsid w:val="00094DCA"/>
    <w:rsid w:val="000952D4"/>
    <w:rsid w:val="000955F8"/>
    <w:rsid w:val="00095654"/>
    <w:rsid w:val="00095697"/>
    <w:rsid w:val="00095894"/>
    <w:rsid w:val="000958DB"/>
    <w:rsid w:val="00095A64"/>
    <w:rsid w:val="00095A9B"/>
    <w:rsid w:val="00095E57"/>
    <w:rsid w:val="00095E86"/>
    <w:rsid w:val="000966CF"/>
    <w:rsid w:val="00096767"/>
    <w:rsid w:val="0009686C"/>
    <w:rsid w:val="00096896"/>
    <w:rsid w:val="00096924"/>
    <w:rsid w:val="00096C37"/>
    <w:rsid w:val="00097260"/>
    <w:rsid w:val="00097308"/>
    <w:rsid w:val="0009743B"/>
    <w:rsid w:val="0009748E"/>
    <w:rsid w:val="000979A1"/>
    <w:rsid w:val="00097D79"/>
    <w:rsid w:val="000A03A5"/>
    <w:rsid w:val="000A067B"/>
    <w:rsid w:val="000A0799"/>
    <w:rsid w:val="000A0A56"/>
    <w:rsid w:val="000A0CA2"/>
    <w:rsid w:val="000A0E1A"/>
    <w:rsid w:val="000A1294"/>
    <w:rsid w:val="000A18C0"/>
    <w:rsid w:val="000A1AB3"/>
    <w:rsid w:val="000A1DFD"/>
    <w:rsid w:val="000A268B"/>
    <w:rsid w:val="000A2CE2"/>
    <w:rsid w:val="000A2FF2"/>
    <w:rsid w:val="000A337A"/>
    <w:rsid w:val="000A34D5"/>
    <w:rsid w:val="000A35B7"/>
    <w:rsid w:val="000A36B5"/>
    <w:rsid w:val="000A3723"/>
    <w:rsid w:val="000A3944"/>
    <w:rsid w:val="000A3B62"/>
    <w:rsid w:val="000A3BD4"/>
    <w:rsid w:val="000A3D61"/>
    <w:rsid w:val="000A3DEC"/>
    <w:rsid w:val="000A3FEB"/>
    <w:rsid w:val="000A4252"/>
    <w:rsid w:val="000A4261"/>
    <w:rsid w:val="000A4330"/>
    <w:rsid w:val="000A4573"/>
    <w:rsid w:val="000A47C6"/>
    <w:rsid w:val="000A499A"/>
    <w:rsid w:val="000A4A83"/>
    <w:rsid w:val="000A4F9A"/>
    <w:rsid w:val="000A5075"/>
    <w:rsid w:val="000A5220"/>
    <w:rsid w:val="000A5452"/>
    <w:rsid w:val="000A54A4"/>
    <w:rsid w:val="000A5528"/>
    <w:rsid w:val="000A57B2"/>
    <w:rsid w:val="000A597E"/>
    <w:rsid w:val="000A634C"/>
    <w:rsid w:val="000A6387"/>
    <w:rsid w:val="000A6469"/>
    <w:rsid w:val="000A687B"/>
    <w:rsid w:val="000A6893"/>
    <w:rsid w:val="000A6D59"/>
    <w:rsid w:val="000A7442"/>
    <w:rsid w:val="000A778B"/>
    <w:rsid w:val="000A7A78"/>
    <w:rsid w:val="000A7B51"/>
    <w:rsid w:val="000A7E1B"/>
    <w:rsid w:val="000B018C"/>
    <w:rsid w:val="000B0396"/>
    <w:rsid w:val="000B0D34"/>
    <w:rsid w:val="000B12F8"/>
    <w:rsid w:val="000B131E"/>
    <w:rsid w:val="000B15E4"/>
    <w:rsid w:val="000B17E0"/>
    <w:rsid w:val="000B183F"/>
    <w:rsid w:val="000B1875"/>
    <w:rsid w:val="000B18D7"/>
    <w:rsid w:val="000B1954"/>
    <w:rsid w:val="000B1DA0"/>
    <w:rsid w:val="000B239F"/>
    <w:rsid w:val="000B253F"/>
    <w:rsid w:val="000B2631"/>
    <w:rsid w:val="000B294C"/>
    <w:rsid w:val="000B2E7C"/>
    <w:rsid w:val="000B2EDF"/>
    <w:rsid w:val="000B3A26"/>
    <w:rsid w:val="000B3A66"/>
    <w:rsid w:val="000B3AA2"/>
    <w:rsid w:val="000B43DC"/>
    <w:rsid w:val="000B4668"/>
    <w:rsid w:val="000B494E"/>
    <w:rsid w:val="000B4B99"/>
    <w:rsid w:val="000B5025"/>
    <w:rsid w:val="000B5337"/>
    <w:rsid w:val="000B55A2"/>
    <w:rsid w:val="000B5B7A"/>
    <w:rsid w:val="000B5BEF"/>
    <w:rsid w:val="000B5CC9"/>
    <w:rsid w:val="000B5D12"/>
    <w:rsid w:val="000B5F17"/>
    <w:rsid w:val="000B6057"/>
    <w:rsid w:val="000B60EB"/>
    <w:rsid w:val="000B635D"/>
    <w:rsid w:val="000B650A"/>
    <w:rsid w:val="000B720C"/>
    <w:rsid w:val="000B72B4"/>
    <w:rsid w:val="000B7370"/>
    <w:rsid w:val="000B74C9"/>
    <w:rsid w:val="000B7BAC"/>
    <w:rsid w:val="000B7C0D"/>
    <w:rsid w:val="000C019C"/>
    <w:rsid w:val="000C0447"/>
    <w:rsid w:val="000C04D7"/>
    <w:rsid w:val="000C059A"/>
    <w:rsid w:val="000C07D7"/>
    <w:rsid w:val="000C0943"/>
    <w:rsid w:val="000C09DD"/>
    <w:rsid w:val="000C09EE"/>
    <w:rsid w:val="000C0B3D"/>
    <w:rsid w:val="000C1280"/>
    <w:rsid w:val="000C1442"/>
    <w:rsid w:val="000C1A3E"/>
    <w:rsid w:val="000C1C1A"/>
    <w:rsid w:val="000C1CE8"/>
    <w:rsid w:val="000C202F"/>
    <w:rsid w:val="000C27B4"/>
    <w:rsid w:val="000C280F"/>
    <w:rsid w:val="000C2B95"/>
    <w:rsid w:val="000C2F51"/>
    <w:rsid w:val="000C328D"/>
    <w:rsid w:val="000C32BE"/>
    <w:rsid w:val="000C3AE6"/>
    <w:rsid w:val="000C3C2C"/>
    <w:rsid w:val="000C4014"/>
    <w:rsid w:val="000C4256"/>
    <w:rsid w:val="000C430D"/>
    <w:rsid w:val="000C4390"/>
    <w:rsid w:val="000C4799"/>
    <w:rsid w:val="000C4909"/>
    <w:rsid w:val="000C491D"/>
    <w:rsid w:val="000C49B0"/>
    <w:rsid w:val="000C4AA8"/>
    <w:rsid w:val="000C4BB9"/>
    <w:rsid w:val="000C4CB2"/>
    <w:rsid w:val="000C4D0F"/>
    <w:rsid w:val="000C54D3"/>
    <w:rsid w:val="000C57E0"/>
    <w:rsid w:val="000C5978"/>
    <w:rsid w:val="000C59CC"/>
    <w:rsid w:val="000C5A20"/>
    <w:rsid w:val="000C5A21"/>
    <w:rsid w:val="000C5B4B"/>
    <w:rsid w:val="000C5F3B"/>
    <w:rsid w:val="000C6142"/>
    <w:rsid w:val="000C617D"/>
    <w:rsid w:val="000C61B9"/>
    <w:rsid w:val="000C61F6"/>
    <w:rsid w:val="000C64FD"/>
    <w:rsid w:val="000C6774"/>
    <w:rsid w:val="000C68B3"/>
    <w:rsid w:val="000C6AFA"/>
    <w:rsid w:val="000C6E9F"/>
    <w:rsid w:val="000C7379"/>
    <w:rsid w:val="000C73AF"/>
    <w:rsid w:val="000C74CD"/>
    <w:rsid w:val="000C75A9"/>
    <w:rsid w:val="000C7B49"/>
    <w:rsid w:val="000C7E40"/>
    <w:rsid w:val="000C7F52"/>
    <w:rsid w:val="000D00B4"/>
    <w:rsid w:val="000D0147"/>
    <w:rsid w:val="000D056E"/>
    <w:rsid w:val="000D0ADF"/>
    <w:rsid w:val="000D0B16"/>
    <w:rsid w:val="000D0F2F"/>
    <w:rsid w:val="000D106F"/>
    <w:rsid w:val="000D11AB"/>
    <w:rsid w:val="000D18A3"/>
    <w:rsid w:val="000D196D"/>
    <w:rsid w:val="000D1BCC"/>
    <w:rsid w:val="000D1CFE"/>
    <w:rsid w:val="000D1D95"/>
    <w:rsid w:val="000D2232"/>
    <w:rsid w:val="000D257A"/>
    <w:rsid w:val="000D269E"/>
    <w:rsid w:val="000D28CD"/>
    <w:rsid w:val="000D2A20"/>
    <w:rsid w:val="000D2C61"/>
    <w:rsid w:val="000D2CB5"/>
    <w:rsid w:val="000D2D8C"/>
    <w:rsid w:val="000D2E6B"/>
    <w:rsid w:val="000D2F4B"/>
    <w:rsid w:val="000D315D"/>
    <w:rsid w:val="000D3373"/>
    <w:rsid w:val="000D3D7C"/>
    <w:rsid w:val="000D3E4E"/>
    <w:rsid w:val="000D492E"/>
    <w:rsid w:val="000D498D"/>
    <w:rsid w:val="000D4AC8"/>
    <w:rsid w:val="000D4CFC"/>
    <w:rsid w:val="000D4FAD"/>
    <w:rsid w:val="000D4FF1"/>
    <w:rsid w:val="000D539F"/>
    <w:rsid w:val="000D53EE"/>
    <w:rsid w:val="000D56CA"/>
    <w:rsid w:val="000D5A98"/>
    <w:rsid w:val="000D5AE6"/>
    <w:rsid w:val="000D5C0A"/>
    <w:rsid w:val="000D5C0F"/>
    <w:rsid w:val="000D60EE"/>
    <w:rsid w:val="000D62FF"/>
    <w:rsid w:val="000D67F0"/>
    <w:rsid w:val="000D6A69"/>
    <w:rsid w:val="000D6FFA"/>
    <w:rsid w:val="000E00F4"/>
    <w:rsid w:val="000E0198"/>
    <w:rsid w:val="000E0A3E"/>
    <w:rsid w:val="000E0A8F"/>
    <w:rsid w:val="000E0EC5"/>
    <w:rsid w:val="000E1712"/>
    <w:rsid w:val="000E17B6"/>
    <w:rsid w:val="000E1A0F"/>
    <w:rsid w:val="000E1ABE"/>
    <w:rsid w:val="000E1C4B"/>
    <w:rsid w:val="000E1D7F"/>
    <w:rsid w:val="000E219A"/>
    <w:rsid w:val="000E2A3F"/>
    <w:rsid w:val="000E2CB9"/>
    <w:rsid w:val="000E2F73"/>
    <w:rsid w:val="000E302F"/>
    <w:rsid w:val="000E36F0"/>
    <w:rsid w:val="000E386B"/>
    <w:rsid w:val="000E3B60"/>
    <w:rsid w:val="000E3F2B"/>
    <w:rsid w:val="000E4394"/>
    <w:rsid w:val="000E44C0"/>
    <w:rsid w:val="000E44FB"/>
    <w:rsid w:val="000E4757"/>
    <w:rsid w:val="000E48A6"/>
    <w:rsid w:val="000E493A"/>
    <w:rsid w:val="000E49A0"/>
    <w:rsid w:val="000E4BB9"/>
    <w:rsid w:val="000E50A9"/>
    <w:rsid w:val="000E526B"/>
    <w:rsid w:val="000E52D2"/>
    <w:rsid w:val="000E5596"/>
    <w:rsid w:val="000E559A"/>
    <w:rsid w:val="000E5622"/>
    <w:rsid w:val="000E59C8"/>
    <w:rsid w:val="000E5D12"/>
    <w:rsid w:val="000E5D1B"/>
    <w:rsid w:val="000E61B8"/>
    <w:rsid w:val="000E658E"/>
    <w:rsid w:val="000E6795"/>
    <w:rsid w:val="000E6836"/>
    <w:rsid w:val="000E6C89"/>
    <w:rsid w:val="000E715D"/>
    <w:rsid w:val="000E7161"/>
    <w:rsid w:val="000E71DD"/>
    <w:rsid w:val="000E7795"/>
    <w:rsid w:val="000E7AF2"/>
    <w:rsid w:val="000E7AF8"/>
    <w:rsid w:val="000E7D2F"/>
    <w:rsid w:val="000E7D88"/>
    <w:rsid w:val="000E7E62"/>
    <w:rsid w:val="000F0434"/>
    <w:rsid w:val="000F0527"/>
    <w:rsid w:val="000F074C"/>
    <w:rsid w:val="000F07B3"/>
    <w:rsid w:val="000F0871"/>
    <w:rsid w:val="000F0A23"/>
    <w:rsid w:val="000F0C7D"/>
    <w:rsid w:val="000F0D29"/>
    <w:rsid w:val="000F0ED3"/>
    <w:rsid w:val="000F144F"/>
    <w:rsid w:val="000F17F2"/>
    <w:rsid w:val="000F1949"/>
    <w:rsid w:val="000F1950"/>
    <w:rsid w:val="000F1B49"/>
    <w:rsid w:val="000F226C"/>
    <w:rsid w:val="000F26A3"/>
    <w:rsid w:val="000F2853"/>
    <w:rsid w:val="000F2D92"/>
    <w:rsid w:val="000F2EB5"/>
    <w:rsid w:val="000F2F6E"/>
    <w:rsid w:val="000F3774"/>
    <w:rsid w:val="000F3AB1"/>
    <w:rsid w:val="000F3B17"/>
    <w:rsid w:val="000F3CF2"/>
    <w:rsid w:val="000F40EB"/>
    <w:rsid w:val="000F437B"/>
    <w:rsid w:val="000F4788"/>
    <w:rsid w:val="000F47A1"/>
    <w:rsid w:val="000F47C4"/>
    <w:rsid w:val="000F49EC"/>
    <w:rsid w:val="000F51A1"/>
    <w:rsid w:val="000F51C5"/>
    <w:rsid w:val="000F52D3"/>
    <w:rsid w:val="000F532E"/>
    <w:rsid w:val="000F55D4"/>
    <w:rsid w:val="000F565C"/>
    <w:rsid w:val="000F5AE1"/>
    <w:rsid w:val="000F5E40"/>
    <w:rsid w:val="000F60C7"/>
    <w:rsid w:val="000F6246"/>
    <w:rsid w:val="000F69D5"/>
    <w:rsid w:val="000F6BD0"/>
    <w:rsid w:val="000F6D7E"/>
    <w:rsid w:val="000F6F98"/>
    <w:rsid w:val="000F70AC"/>
    <w:rsid w:val="000F739E"/>
    <w:rsid w:val="000F7689"/>
    <w:rsid w:val="000F7F68"/>
    <w:rsid w:val="00100C90"/>
    <w:rsid w:val="00100CC4"/>
    <w:rsid w:val="00101221"/>
    <w:rsid w:val="0010143C"/>
    <w:rsid w:val="001014D6"/>
    <w:rsid w:val="001014F5"/>
    <w:rsid w:val="00101525"/>
    <w:rsid w:val="001017A5"/>
    <w:rsid w:val="001017DD"/>
    <w:rsid w:val="00101AC2"/>
    <w:rsid w:val="0010256E"/>
    <w:rsid w:val="0010262C"/>
    <w:rsid w:val="00102A2E"/>
    <w:rsid w:val="00102C9C"/>
    <w:rsid w:val="00102C9F"/>
    <w:rsid w:val="00102FC7"/>
    <w:rsid w:val="00103834"/>
    <w:rsid w:val="00103B84"/>
    <w:rsid w:val="00103B9D"/>
    <w:rsid w:val="00103DE4"/>
    <w:rsid w:val="00103F02"/>
    <w:rsid w:val="00103FA9"/>
    <w:rsid w:val="0010488F"/>
    <w:rsid w:val="00104BF7"/>
    <w:rsid w:val="00104CFC"/>
    <w:rsid w:val="00104F44"/>
    <w:rsid w:val="00104F4D"/>
    <w:rsid w:val="00105170"/>
    <w:rsid w:val="00105231"/>
    <w:rsid w:val="00105EAF"/>
    <w:rsid w:val="00105EFB"/>
    <w:rsid w:val="001063CE"/>
    <w:rsid w:val="001064BA"/>
    <w:rsid w:val="001064DA"/>
    <w:rsid w:val="0010661D"/>
    <w:rsid w:val="001066CB"/>
    <w:rsid w:val="00106935"/>
    <w:rsid w:val="00106978"/>
    <w:rsid w:val="00106E83"/>
    <w:rsid w:val="00107F5A"/>
    <w:rsid w:val="00107FA1"/>
    <w:rsid w:val="00107FF1"/>
    <w:rsid w:val="00110159"/>
    <w:rsid w:val="00110493"/>
    <w:rsid w:val="00110614"/>
    <w:rsid w:val="00110773"/>
    <w:rsid w:val="001107D2"/>
    <w:rsid w:val="00110C8D"/>
    <w:rsid w:val="001110F2"/>
    <w:rsid w:val="001111CD"/>
    <w:rsid w:val="001114B7"/>
    <w:rsid w:val="00111632"/>
    <w:rsid w:val="00111A28"/>
    <w:rsid w:val="00111B4F"/>
    <w:rsid w:val="0011247A"/>
    <w:rsid w:val="001124F9"/>
    <w:rsid w:val="001125D5"/>
    <w:rsid w:val="0011269D"/>
    <w:rsid w:val="00112B1C"/>
    <w:rsid w:val="00112BE9"/>
    <w:rsid w:val="001131CC"/>
    <w:rsid w:val="001133B4"/>
    <w:rsid w:val="00113412"/>
    <w:rsid w:val="00113422"/>
    <w:rsid w:val="00113962"/>
    <w:rsid w:val="00113E11"/>
    <w:rsid w:val="00113F9D"/>
    <w:rsid w:val="001140FA"/>
    <w:rsid w:val="0011449A"/>
    <w:rsid w:val="0011495B"/>
    <w:rsid w:val="00114BCD"/>
    <w:rsid w:val="0011500B"/>
    <w:rsid w:val="001151BC"/>
    <w:rsid w:val="00115484"/>
    <w:rsid w:val="00115C9F"/>
    <w:rsid w:val="00115EEC"/>
    <w:rsid w:val="00115F31"/>
    <w:rsid w:val="00116228"/>
    <w:rsid w:val="00116434"/>
    <w:rsid w:val="001164C8"/>
    <w:rsid w:val="00116739"/>
    <w:rsid w:val="00116741"/>
    <w:rsid w:val="00116953"/>
    <w:rsid w:val="00116BF3"/>
    <w:rsid w:val="0011704C"/>
    <w:rsid w:val="0011707F"/>
    <w:rsid w:val="00117472"/>
    <w:rsid w:val="00117597"/>
    <w:rsid w:val="00117A19"/>
    <w:rsid w:val="00117C86"/>
    <w:rsid w:val="00117ED7"/>
    <w:rsid w:val="00120417"/>
    <w:rsid w:val="00120A0E"/>
    <w:rsid w:val="00120A28"/>
    <w:rsid w:val="00120E05"/>
    <w:rsid w:val="001217F3"/>
    <w:rsid w:val="0012184E"/>
    <w:rsid w:val="00121917"/>
    <w:rsid w:val="00121B41"/>
    <w:rsid w:val="00121F46"/>
    <w:rsid w:val="00122043"/>
    <w:rsid w:val="00122241"/>
    <w:rsid w:val="00122625"/>
    <w:rsid w:val="00122710"/>
    <w:rsid w:val="00122BB9"/>
    <w:rsid w:val="00122C99"/>
    <w:rsid w:val="00123308"/>
    <w:rsid w:val="001233F5"/>
    <w:rsid w:val="001237D6"/>
    <w:rsid w:val="00123896"/>
    <w:rsid w:val="00123FEC"/>
    <w:rsid w:val="0012402B"/>
    <w:rsid w:val="001240F9"/>
    <w:rsid w:val="001246C0"/>
    <w:rsid w:val="001249AF"/>
    <w:rsid w:val="00124C0D"/>
    <w:rsid w:val="00124C79"/>
    <w:rsid w:val="00124D52"/>
    <w:rsid w:val="0012518A"/>
    <w:rsid w:val="0012524F"/>
    <w:rsid w:val="00125312"/>
    <w:rsid w:val="001254AD"/>
    <w:rsid w:val="0012584A"/>
    <w:rsid w:val="00125AB1"/>
    <w:rsid w:val="00125F6B"/>
    <w:rsid w:val="00125F76"/>
    <w:rsid w:val="00125FFF"/>
    <w:rsid w:val="00126025"/>
    <w:rsid w:val="0012615F"/>
    <w:rsid w:val="00126221"/>
    <w:rsid w:val="00126439"/>
    <w:rsid w:val="00126927"/>
    <w:rsid w:val="0012696A"/>
    <w:rsid w:val="00126A59"/>
    <w:rsid w:val="00126C0B"/>
    <w:rsid w:val="00127170"/>
    <w:rsid w:val="0012737D"/>
    <w:rsid w:val="0012765D"/>
    <w:rsid w:val="001276E4"/>
    <w:rsid w:val="001279E8"/>
    <w:rsid w:val="00127C3F"/>
    <w:rsid w:val="00127DEC"/>
    <w:rsid w:val="00127F7D"/>
    <w:rsid w:val="00130020"/>
    <w:rsid w:val="0013089A"/>
    <w:rsid w:val="001308FA"/>
    <w:rsid w:val="0013092E"/>
    <w:rsid w:val="00130939"/>
    <w:rsid w:val="00130A0E"/>
    <w:rsid w:val="00130BDC"/>
    <w:rsid w:val="00130DAD"/>
    <w:rsid w:val="00131263"/>
    <w:rsid w:val="00131509"/>
    <w:rsid w:val="001315F9"/>
    <w:rsid w:val="001316E5"/>
    <w:rsid w:val="00131751"/>
    <w:rsid w:val="001318DD"/>
    <w:rsid w:val="001322B2"/>
    <w:rsid w:val="00132417"/>
    <w:rsid w:val="001324B9"/>
    <w:rsid w:val="0013269A"/>
    <w:rsid w:val="00132793"/>
    <w:rsid w:val="00132F2F"/>
    <w:rsid w:val="00133589"/>
    <w:rsid w:val="00133778"/>
    <w:rsid w:val="0013397C"/>
    <w:rsid w:val="00133BC9"/>
    <w:rsid w:val="00134B70"/>
    <w:rsid w:val="00134C7D"/>
    <w:rsid w:val="00135345"/>
    <w:rsid w:val="0013541F"/>
    <w:rsid w:val="00135888"/>
    <w:rsid w:val="00135C39"/>
    <w:rsid w:val="00135D4F"/>
    <w:rsid w:val="00136201"/>
    <w:rsid w:val="0013633A"/>
    <w:rsid w:val="00136AAF"/>
    <w:rsid w:val="00136AB9"/>
    <w:rsid w:val="00136B7B"/>
    <w:rsid w:val="0013743B"/>
    <w:rsid w:val="00137563"/>
    <w:rsid w:val="00137737"/>
    <w:rsid w:val="00137797"/>
    <w:rsid w:val="00137857"/>
    <w:rsid w:val="00137E29"/>
    <w:rsid w:val="00137F46"/>
    <w:rsid w:val="0014025C"/>
    <w:rsid w:val="001404C6"/>
    <w:rsid w:val="00140EE7"/>
    <w:rsid w:val="0014119B"/>
    <w:rsid w:val="0014125D"/>
    <w:rsid w:val="001418E2"/>
    <w:rsid w:val="00141C21"/>
    <w:rsid w:val="00141D53"/>
    <w:rsid w:val="00141FF1"/>
    <w:rsid w:val="00142275"/>
    <w:rsid w:val="0014234F"/>
    <w:rsid w:val="00142393"/>
    <w:rsid w:val="001424CA"/>
    <w:rsid w:val="001426B7"/>
    <w:rsid w:val="001427C6"/>
    <w:rsid w:val="00142858"/>
    <w:rsid w:val="00142A40"/>
    <w:rsid w:val="00142E48"/>
    <w:rsid w:val="0014336E"/>
    <w:rsid w:val="00143DF4"/>
    <w:rsid w:val="0014402B"/>
    <w:rsid w:val="001440D1"/>
    <w:rsid w:val="00144510"/>
    <w:rsid w:val="001446FF"/>
    <w:rsid w:val="00144CD9"/>
    <w:rsid w:val="00144D1C"/>
    <w:rsid w:val="00144F46"/>
    <w:rsid w:val="001454B1"/>
    <w:rsid w:val="00145846"/>
    <w:rsid w:val="001458F4"/>
    <w:rsid w:val="00145B48"/>
    <w:rsid w:val="00146054"/>
    <w:rsid w:val="0014627C"/>
    <w:rsid w:val="00146404"/>
    <w:rsid w:val="001465D8"/>
    <w:rsid w:val="0014678F"/>
    <w:rsid w:val="001467FE"/>
    <w:rsid w:val="001468E2"/>
    <w:rsid w:val="0014692E"/>
    <w:rsid w:val="0014699B"/>
    <w:rsid w:val="001469A7"/>
    <w:rsid w:val="00146A81"/>
    <w:rsid w:val="00146F17"/>
    <w:rsid w:val="0014721C"/>
    <w:rsid w:val="00147372"/>
    <w:rsid w:val="0014737E"/>
    <w:rsid w:val="001476C8"/>
    <w:rsid w:val="001478D0"/>
    <w:rsid w:val="00147975"/>
    <w:rsid w:val="00147FED"/>
    <w:rsid w:val="001500EA"/>
    <w:rsid w:val="001504F1"/>
    <w:rsid w:val="00150607"/>
    <w:rsid w:val="001509C2"/>
    <w:rsid w:val="0015119B"/>
    <w:rsid w:val="00151219"/>
    <w:rsid w:val="00151313"/>
    <w:rsid w:val="00151315"/>
    <w:rsid w:val="00151443"/>
    <w:rsid w:val="0015150F"/>
    <w:rsid w:val="0015173A"/>
    <w:rsid w:val="00151A27"/>
    <w:rsid w:val="00151A60"/>
    <w:rsid w:val="00151A68"/>
    <w:rsid w:val="00151B37"/>
    <w:rsid w:val="00151FB2"/>
    <w:rsid w:val="001521B3"/>
    <w:rsid w:val="00152268"/>
    <w:rsid w:val="001529EF"/>
    <w:rsid w:val="001534F9"/>
    <w:rsid w:val="00153751"/>
    <w:rsid w:val="00153819"/>
    <w:rsid w:val="0015385F"/>
    <w:rsid w:val="00153A20"/>
    <w:rsid w:val="00153CF5"/>
    <w:rsid w:val="00154505"/>
    <w:rsid w:val="0015454F"/>
    <w:rsid w:val="001547D8"/>
    <w:rsid w:val="001549AD"/>
    <w:rsid w:val="00154E08"/>
    <w:rsid w:val="00154E84"/>
    <w:rsid w:val="00154F3C"/>
    <w:rsid w:val="00154FB2"/>
    <w:rsid w:val="00155131"/>
    <w:rsid w:val="001556A4"/>
    <w:rsid w:val="0015588B"/>
    <w:rsid w:val="001558D8"/>
    <w:rsid w:val="0015594C"/>
    <w:rsid w:val="00155CB2"/>
    <w:rsid w:val="00156524"/>
    <w:rsid w:val="00156A9A"/>
    <w:rsid w:val="00156E27"/>
    <w:rsid w:val="00157548"/>
    <w:rsid w:val="00157707"/>
    <w:rsid w:val="00157AC6"/>
    <w:rsid w:val="00157BC1"/>
    <w:rsid w:val="00157ED4"/>
    <w:rsid w:val="001602DA"/>
    <w:rsid w:val="00160362"/>
    <w:rsid w:val="00160724"/>
    <w:rsid w:val="00160737"/>
    <w:rsid w:val="00160951"/>
    <w:rsid w:val="00160A51"/>
    <w:rsid w:val="00160BEA"/>
    <w:rsid w:val="00160D0A"/>
    <w:rsid w:val="00160EC5"/>
    <w:rsid w:val="00160F1C"/>
    <w:rsid w:val="0016106F"/>
    <w:rsid w:val="00161263"/>
    <w:rsid w:val="001612FC"/>
    <w:rsid w:val="001615EA"/>
    <w:rsid w:val="00161917"/>
    <w:rsid w:val="00161933"/>
    <w:rsid w:val="00161BD5"/>
    <w:rsid w:val="00161CA6"/>
    <w:rsid w:val="00161D7B"/>
    <w:rsid w:val="0016250B"/>
    <w:rsid w:val="00162674"/>
    <w:rsid w:val="001627B5"/>
    <w:rsid w:val="00162AFB"/>
    <w:rsid w:val="00162C7F"/>
    <w:rsid w:val="00163050"/>
    <w:rsid w:val="001632C3"/>
    <w:rsid w:val="0016330E"/>
    <w:rsid w:val="0016337C"/>
    <w:rsid w:val="00163421"/>
    <w:rsid w:val="00163D64"/>
    <w:rsid w:val="00163E88"/>
    <w:rsid w:val="001643B2"/>
    <w:rsid w:val="001645A5"/>
    <w:rsid w:val="001648E5"/>
    <w:rsid w:val="00164D5A"/>
    <w:rsid w:val="00165078"/>
    <w:rsid w:val="00165083"/>
    <w:rsid w:val="001650CA"/>
    <w:rsid w:val="0016579E"/>
    <w:rsid w:val="00165BC3"/>
    <w:rsid w:val="001660B5"/>
    <w:rsid w:val="0016624E"/>
    <w:rsid w:val="00166500"/>
    <w:rsid w:val="0016654E"/>
    <w:rsid w:val="0016691F"/>
    <w:rsid w:val="001669D4"/>
    <w:rsid w:val="00166AC2"/>
    <w:rsid w:val="00166C61"/>
    <w:rsid w:val="00166F1D"/>
    <w:rsid w:val="00166F9F"/>
    <w:rsid w:val="0016729D"/>
    <w:rsid w:val="001672A3"/>
    <w:rsid w:val="00167B4A"/>
    <w:rsid w:val="00167B9B"/>
    <w:rsid w:val="00167F08"/>
    <w:rsid w:val="00170020"/>
    <w:rsid w:val="00170141"/>
    <w:rsid w:val="00170159"/>
    <w:rsid w:val="001701FB"/>
    <w:rsid w:val="0017080A"/>
    <w:rsid w:val="00170897"/>
    <w:rsid w:val="00170C2F"/>
    <w:rsid w:val="00170E65"/>
    <w:rsid w:val="0017128A"/>
    <w:rsid w:val="00171ADA"/>
    <w:rsid w:val="00171E9F"/>
    <w:rsid w:val="00171FB6"/>
    <w:rsid w:val="0017205C"/>
    <w:rsid w:val="001720B3"/>
    <w:rsid w:val="001721D0"/>
    <w:rsid w:val="00172273"/>
    <w:rsid w:val="00172984"/>
    <w:rsid w:val="00172986"/>
    <w:rsid w:val="00172A27"/>
    <w:rsid w:val="00172BBC"/>
    <w:rsid w:val="00172F90"/>
    <w:rsid w:val="00173167"/>
    <w:rsid w:val="00173189"/>
    <w:rsid w:val="001734B7"/>
    <w:rsid w:val="001734B9"/>
    <w:rsid w:val="0017350A"/>
    <w:rsid w:val="001737EC"/>
    <w:rsid w:val="00173B47"/>
    <w:rsid w:val="00173DB7"/>
    <w:rsid w:val="00173F47"/>
    <w:rsid w:val="0017437A"/>
    <w:rsid w:val="00174942"/>
    <w:rsid w:val="00174999"/>
    <w:rsid w:val="00174B91"/>
    <w:rsid w:val="00174DDF"/>
    <w:rsid w:val="00174E29"/>
    <w:rsid w:val="00175206"/>
    <w:rsid w:val="00175478"/>
    <w:rsid w:val="001754E5"/>
    <w:rsid w:val="001755F7"/>
    <w:rsid w:val="00175D24"/>
    <w:rsid w:val="001761A5"/>
    <w:rsid w:val="0017694F"/>
    <w:rsid w:val="00176C85"/>
    <w:rsid w:val="00177045"/>
    <w:rsid w:val="0017708F"/>
    <w:rsid w:val="00177116"/>
    <w:rsid w:val="00177330"/>
    <w:rsid w:val="00177720"/>
    <w:rsid w:val="001777FC"/>
    <w:rsid w:val="001778CE"/>
    <w:rsid w:val="001778F6"/>
    <w:rsid w:val="00177AE3"/>
    <w:rsid w:val="00177FFD"/>
    <w:rsid w:val="00180135"/>
    <w:rsid w:val="00180180"/>
    <w:rsid w:val="001801E7"/>
    <w:rsid w:val="001805A3"/>
    <w:rsid w:val="001805A8"/>
    <w:rsid w:val="0018099E"/>
    <w:rsid w:val="00180AB6"/>
    <w:rsid w:val="00180AE9"/>
    <w:rsid w:val="00180BE1"/>
    <w:rsid w:val="00180C37"/>
    <w:rsid w:val="00180CAA"/>
    <w:rsid w:val="0018135B"/>
    <w:rsid w:val="00181418"/>
    <w:rsid w:val="00181577"/>
    <w:rsid w:val="001817F4"/>
    <w:rsid w:val="001818E6"/>
    <w:rsid w:val="0018197D"/>
    <w:rsid w:val="00181A9D"/>
    <w:rsid w:val="00181B6C"/>
    <w:rsid w:val="00181E7C"/>
    <w:rsid w:val="001824F7"/>
    <w:rsid w:val="00182609"/>
    <w:rsid w:val="001826A6"/>
    <w:rsid w:val="001826E4"/>
    <w:rsid w:val="001827C9"/>
    <w:rsid w:val="00182876"/>
    <w:rsid w:val="00182A32"/>
    <w:rsid w:val="00182A95"/>
    <w:rsid w:val="00182F75"/>
    <w:rsid w:val="00183358"/>
    <w:rsid w:val="00183519"/>
    <w:rsid w:val="001835B2"/>
    <w:rsid w:val="00183768"/>
    <w:rsid w:val="001838BA"/>
    <w:rsid w:val="00183912"/>
    <w:rsid w:val="00183F69"/>
    <w:rsid w:val="0018400B"/>
    <w:rsid w:val="00184225"/>
    <w:rsid w:val="001843C2"/>
    <w:rsid w:val="00184627"/>
    <w:rsid w:val="00184633"/>
    <w:rsid w:val="00184718"/>
    <w:rsid w:val="00184803"/>
    <w:rsid w:val="0018492D"/>
    <w:rsid w:val="0018493E"/>
    <w:rsid w:val="001849EB"/>
    <w:rsid w:val="00184B49"/>
    <w:rsid w:val="00184DA2"/>
    <w:rsid w:val="00184E3A"/>
    <w:rsid w:val="00184E8E"/>
    <w:rsid w:val="001850F4"/>
    <w:rsid w:val="00185278"/>
    <w:rsid w:val="00185471"/>
    <w:rsid w:val="001856FF"/>
    <w:rsid w:val="00185887"/>
    <w:rsid w:val="00185921"/>
    <w:rsid w:val="0018622C"/>
    <w:rsid w:val="00186378"/>
    <w:rsid w:val="001863F2"/>
    <w:rsid w:val="0018648E"/>
    <w:rsid w:val="0018696F"/>
    <w:rsid w:val="00186989"/>
    <w:rsid w:val="00186C02"/>
    <w:rsid w:val="00186EF0"/>
    <w:rsid w:val="0018779F"/>
    <w:rsid w:val="0018796B"/>
    <w:rsid w:val="00187EEB"/>
    <w:rsid w:val="001901C7"/>
    <w:rsid w:val="001905ED"/>
    <w:rsid w:val="00190908"/>
    <w:rsid w:val="00190AC0"/>
    <w:rsid w:val="00190B0D"/>
    <w:rsid w:val="001911D4"/>
    <w:rsid w:val="001913A7"/>
    <w:rsid w:val="0019162E"/>
    <w:rsid w:val="00191869"/>
    <w:rsid w:val="0019192B"/>
    <w:rsid w:val="0019196A"/>
    <w:rsid w:val="00191A48"/>
    <w:rsid w:val="00191C81"/>
    <w:rsid w:val="0019204F"/>
    <w:rsid w:val="001921C9"/>
    <w:rsid w:val="0019229F"/>
    <w:rsid w:val="001922B7"/>
    <w:rsid w:val="0019255C"/>
    <w:rsid w:val="0019271B"/>
    <w:rsid w:val="00192E93"/>
    <w:rsid w:val="00192F55"/>
    <w:rsid w:val="00193188"/>
    <w:rsid w:val="0019339D"/>
    <w:rsid w:val="001933F8"/>
    <w:rsid w:val="001934C4"/>
    <w:rsid w:val="00193879"/>
    <w:rsid w:val="00193BA2"/>
    <w:rsid w:val="00194065"/>
    <w:rsid w:val="0019411B"/>
    <w:rsid w:val="001941A8"/>
    <w:rsid w:val="0019422F"/>
    <w:rsid w:val="00194544"/>
    <w:rsid w:val="00194B80"/>
    <w:rsid w:val="00194D33"/>
    <w:rsid w:val="00194D97"/>
    <w:rsid w:val="00195432"/>
    <w:rsid w:val="00195648"/>
    <w:rsid w:val="0019565B"/>
    <w:rsid w:val="00195B7A"/>
    <w:rsid w:val="00195D86"/>
    <w:rsid w:val="0019610E"/>
    <w:rsid w:val="0019614D"/>
    <w:rsid w:val="00196469"/>
    <w:rsid w:val="00196497"/>
    <w:rsid w:val="0019649D"/>
    <w:rsid w:val="00196AFC"/>
    <w:rsid w:val="00196D95"/>
    <w:rsid w:val="00196E72"/>
    <w:rsid w:val="00196FAC"/>
    <w:rsid w:val="00197554"/>
    <w:rsid w:val="001979B5"/>
    <w:rsid w:val="00197B5F"/>
    <w:rsid w:val="00197BCC"/>
    <w:rsid w:val="00197CC0"/>
    <w:rsid w:val="00197DA5"/>
    <w:rsid w:val="00197E1F"/>
    <w:rsid w:val="00197E4E"/>
    <w:rsid w:val="00197FA6"/>
    <w:rsid w:val="001A0378"/>
    <w:rsid w:val="001A037B"/>
    <w:rsid w:val="001A0449"/>
    <w:rsid w:val="001A0BD8"/>
    <w:rsid w:val="001A0C59"/>
    <w:rsid w:val="001A0DD9"/>
    <w:rsid w:val="001A11C9"/>
    <w:rsid w:val="001A1503"/>
    <w:rsid w:val="001A15F9"/>
    <w:rsid w:val="001A1688"/>
    <w:rsid w:val="001A17DD"/>
    <w:rsid w:val="001A1C7A"/>
    <w:rsid w:val="001A1F12"/>
    <w:rsid w:val="001A2039"/>
    <w:rsid w:val="001A2158"/>
    <w:rsid w:val="001A2246"/>
    <w:rsid w:val="001A25AA"/>
    <w:rsid w:val="001A25F3"/>
    <w:rsid w:val="001A2CAA"/>
    <w:rsid w:val="001A2F0E"/>
    <w:rsid w:val="001A2F71"/>
    <w:rsid w:val="001A318A"/>
    <w:rsid w:val="001A3227"/>
    <w:rsid w:val="001A3364"/>
    <w:rsid w:val="001A36EC"/>
    <w:rsid w:val="001A37D8"/>
    <w:rsid w:val="001A3AD0"/>
    <w:rsid w:val="001A3EB7"/>
    <w:rsid w:val="001A4A5B"/>
    <w:rsid w:val="001A4DD1"/>
    <w:rsid w:val="001A5035"/>
    <w:rsid w:val="001A50FE"/>
    <w:rsid w:val="001A5119"/>
    <w:rsid w:val="001A521D"/>
    <w:rsid w:val="001A526B"/>
    <w:rsid w:val="001A5364"/>
    <w:rsid w:val="001A53E0"/>
    <w:rsid w:val="001A56C2"/>
    <w:rsid w:val="001A64F4"/>
    <w:rsid w:val="001A65BB"/>
    <w:rsid w:val="001A6899"/>
    <w:rsid w:val="001A6B1D"/>
    <w:rsid w:val="001A6B84"/>
    <w:rsid w:val="001A6BA4"/>
    <w:rsid w:val="001A6DC8"/>
    <w:rsid w:val="001A6FFD"/>
    <w:rsid w:val="001A7350"/>
    <w:rsid w:val="001A759D"/>
    <w:rsid w:val="001A761B"/>
    <w:rsid w:val="001A799C"/>
    <w:rsid w:val="001A7B65"/>
    <w:rsid w:val="001A7E5D"/>
    <w:rsid w:val="001A7E7D"/>
    <w:rsid w:val="001A7EE2"/>
    <w:rsid w:val="001A7F1F"/>
    <w:rsid w:val="001B05B0"/>
    <w:rsid w:val="001B0635"/>
    <w:rsid w:val="001B08EB"/>
    <w:rsid w:val="001B0907"/>
    <w:rsid w:val="001B0B91"/>
    <w:rsid w:val="001B0D1F"/>
    <w:rsid w:val="001B11A6"/>
    <w:rsid w:val="001B1AF1"/>
    <w:rsid w:val="001B1BEE"/>
    <w:rsid w:val="001B1D9F"/>
    <w:rsid w:val="001B1ED3"/>
    <w:rsid w:val="001B221E"/>
    <w:rsid w:val="001B2508"/>
    <w:rsid w:val="001B259F"/>
    <w:rsid w:val="001B2C98"/>
    <w:rsid w:val="001B3187"/>
    <w:rsid w:val="001B355F"/>
    <w:rsid w:val="001B3608"/>
    <w:rsid w:val="001B3834"/>
    <w:rsid w:val="001B385D"/>
    <w:rsid w:val="001B3C87"/>
    <w:rsid w:val="001B3E88"/>
    <w:rsid w:val="001B3F9C"/>
    <w:rsid w:val="001B4236"/>
    <w:rsid w:val="001B42EA"/>
    <w:rsid w:val="001B4486"/>
    <w:rsid w:val="001B4C17"/>
    <w:rsid w:val="001B4CBA"/>
    <w:rsid w:val="001B4D3B"/>
    <w:rsid w:val="001B4D5F"/>
    <w:rsid w:val="001B5082"/>
    <w:rsid w:val="001B568D"/>
    <w:rsid w:val="001B57F7"/>
    <w:rsid w:val="001B5917"/>
    <w:rsid w:val="001B5DF1"/>
    <w:rsid w:val="001B5F8E"/>
    <w:rsid w:val="001B6044"/>
    <w:rsid w:val="001B64CB"/>
    <w:rsid w:val="001B6D3F"/>
    <w:rsid w:val="001B7005"/>
    <w:rsid w:val="001B703F"/>
    <w:rsid w:val="001B7141"/>
    <w:rsid w:val="001B789A"/>
    <w:rsid w:val="001B78C7"/>
    <w:rsid w:val="001B7924"/>
    <w:rsid w:val="001B7B69"/>
    <w:rsid w:val="001B7C4E"/>
    <w:rsid w:val="001B7C7F"/>
    <w:rsid w:val="001C059B"/>
    <w:rsid w:val="001C0A7D"/>
    <w:rsid w:val="001C0B1B"/>
    <w:rsid w:val="001C0BFA"/>
    <w:rsid w:val="001C0DBF"/>
    <w:rsid w:val="001C1143"/>
    <w:rsid w:val="001C14F1"/>
    <w:rsid w:val="001C1691"/>
    <w:rsid w:val="001C1E07"/>
    <w:rsid w:val="001C2195"/>
    <w:rsid w:val="001C2312"/>
    <w:rsid w:val="001C24C6"/>
    <w:rsid w:val="001C24E3"/>
    <w:rsid w:val="001C26F9"/>
    <w:rsid w:val="001C2E1D"/>
    <w:rsid w:val="001C303E"/>
    <w:rsid w:val="001C3332"/>
    <w:rsid w:val="001C3724"/>
    <w:rsid w:val="001C3BB9"/>
    <w:rsid w:val="001C3BFE"/>
    <w:rsid w:val="001C3DFE"/>
    <w:rsid w:val="001C425E"/>
    <w:rsid w:val="001C432B"/>
    <w:rsid w:val="001C47CA"/>
    <w:rsid w:val="001C4951"/>
    <w:rsid w:val="001C5292"/>
    <w:rsid w:val="001C52DF"/>
    <w:rsid w:val="001C555A"/>
    <w:rsid w:val="001C5676"/>
    <w:rsid w:val="001C57AD"/>
    <w:rsid w:val="001C5D7F"/>
    <w:rsid w:val="001C5D94"/>
    <w:rsid w:val="001C60FC"/>
    <w:rsid w:val="001C6408"/>
    <w:rsid w:val="001C6655"/>
    <w:rsid w:val="001C6A61"/>
    <w:rsid w:val="001C727A"/>
    <w:rsid w:val="001C72B9"/>
    <w:rsid w:val="001C76BB"/>
    <w:rsid w:val="001C7A19"/>
    <w:rsid w:val="001C7AE2"/>
    <w:rsid w:val="001D019C"/>
    <w:rsid w:val="001D02A4"/>
    <w:rsid w:val="001D02B0"/>
    <w:rsid w:val="001D03E0"/>
    <w:rsid w:val="001D068E"/>
    <w:rsid w:val="001D06C1"/>
    <w:rsid w:val="001D0A7C"/>
    <w:rsid w:val="001D0BCA"/>
    <w:rsid w:val="001D0D06"/>
    <w:rsid w:val="001D0FF2"/>
    <w:rsid w:val="001D11B8"/>
    <w:rsid w:val="001D127F"/>
    <w:rsid w:val="001D1DC1"/>
    <w:rsid w:val="001D20C3"/>
    <w:rsid w:val="001D211E"/>
    <w:rsid w:val="001D2503"/>
    <w:rsid w:val="001D2E2A"/>
    <w:rsid w:val="001D3339"/>
    <w:rsid w:val="001D37CE"/>
    <w:rsid w:val="001D3EB6"/>
    <w:rsid w:val="001D4206"/>
    <w:rsid w:val="001D4387"/>
    <w:rsid w:val="001D4608"/>
    <w:rsid w:val="001D477F"/>
    <w:rsid w:val="001D47DE"/>
    <w:rsid w:val="001D4B97"/>
    <w:rsid w:val="001D4C4F"/>
    <w:rsid w:val="001D4C6D"/>
    <w:rsid w:val="001D4F84"/>
    <w:rsid w:val="001D5725"/>
    <w:rsid w:val="001D5ACB"/>
    <w:rsid w:val="001D5B9E"/>
    <w:rsid w:val="001D5E33"/>
    <w:rsid w:val="001D5E93"/>
    <w:rsid w:val="001D6365"/>
    <w:rsid w:val="001D6F6E"/>
    <w:rsid w:val="001D7462"/>
    <w:rsid w:val="001D7546"/>
    <w:rsid w:val="001D79B2"/>
    <w:rsid w:val="001D7A34"/>
    <w:rsid w:val="001D7C81"/>
    <w:rsid w:val="001D7D62"/>
    <w:rsid w:val="001D7EB5"/>
    <w:rsid w:val="001E0069"/>
    <w:rsid w:val="001E01FE"/>
    <w:rsid w:val="001E0249"/>
    <w:rsid w:val="001E0432"/>
    <w:rsid w:val="001E0736"/>
    <w:rsid w:val="001E0AD9"/>
    <w:rsid w:val="001E0E23"/>
    <w:rsid w:val="001E1C2A"/>
    <w:rsid w:val="001E1FDA"/>
    <w:rsid w:val="001E2377"/>
    <w:rsid w:val="001E24FA"/>
    <w:rsid w:val="001E2554"/>
    <w:rsid w:val="001E2981"/>
    <w:rsid w:val="001E2A2B"/>
    <w:rsid w:val="001E3283"/>
    <w:rsid w:val="001E381B"/>
    <w:rsid w:val="001E3856"/>
    <w:rsid w:val="001E3B95"/>
    <w:rsid w:val="001E3DC7"/>
    <w:rsid w:val="001E3EEE"/>
    <w:rsid w:val="001E4145"/>
    <w:rsid w:val="001E41C2"/>
    <w:rsid w:val="001E4F03"/>
    <w:rsid w:val="001E51AC"/>
    <w:rsid w:val="001E54F8"/>
    <w:rsid w:val="001E5755"/>
    <w:rsid w:val="001E57A4"/>
    <w:rsid w:val="001E57EE"/>
    <w:rsid w:val="001E5EB6"/>
    <w:rsid w:val="001E61B6"/>
    <w:rsid w:val="001E622D"/>
    <w:rsid w:val="001E641B"/>
    <w:rsid w:val="001E694F"/>
    <w:rsid w:val="001E69B4"/>
    <w:rsid w:val="001E6C01"/>
    <w:rsid w:val="001E742C"/>
    <w:rsid w:val="001E74A4"/>
    <w:rsid w:val="001E74B4"/>
    <w:rsid w:val="001E76F7"/>
    <w:rsid w:val="001E770A"/>
    <w:rsid w:val="001E7770"/>
    <w:rsid w:val="001E7AC7"/>
    <w:rsid w:val="001E7D52"/>
    <w:rsid w:val="001F0095"/>
    <w:rsid w:val="001F06BD"/>
    <w:rsid w:val="001F06E8"/>
    <w:rsid w:val="001F09CC"/>
    <w:rsid w:val="001F0C56"/>
    <w:rsid w:val="001F0CA2"/>
    <w:rsid w:val="001F18AA"/>
    <w:rsid w:val="001F19BA"/>
    <w:rsid w:val="001F19C3"/>
    <w:rsid w:val="001F20B6"/>
    <w:rsid w:val="001F214E"/>
    <w:rsid w:val="001F2306"/>
    <w:rsid w:val="001F244C"/>
    <w:rsid w:val="001F2605"/>
    <w:rsid w:val="001F2667"/>
    <w:rsid w:val="001F27FD"/>
    <w:rsid w:val="001F2925"/>
    <w:rsid w:val="001F2A9F"/>
    <w:rsid w:val="001F2AB7"/>
    <w:rsid w:val="001F2BF8"/>
    <w:rsid w:val="001F2C91"/>
    <w:rsid w:val="001F3120"/>
    <w:rsid w:val="001F326F"/>
    <w:rsid w:val="001F32E9"/>
    <w:rsid w:val="001F345A"/>
    <w:rsid w:val="001F34D5"/>
    <w:rsid w:val="001F3842"/>
    <w:rsid w:val="001F3A44"/>
    <w:rsid w:val="001F3B26"/>
    <w:rsid w:val="001F3B3B"/>
    <w:rsid w:val="001F3C86"/>
    <w:rsid w:val="001F3DEF"/>
    <w:rsid w:val="001F4911"/>
    <w:rsid w:val="001F4CA6"/>
    <w:rsid w:val="001F4D6D"/>
    <w:rsid w:val="001F550B"/>
    <w:rsid w:val="001F5968"/>
    <w:rsid w:val="001F5B1D"/>
    <w:rsid w:val="001F5BC0"/>
    <w:rsid w:val="001F61DF"/>
    <w:rsid w:val="001F6321"/>
    <w:rsid w:val="001F652E"/>
    <w:rsid w:val="001F655C"/>
    <w:rsid w:val="001F6588"/>
    <w:rsid w:val="001F6A37"/>
    <w:rsid w:val="001F6CFB"/>
    <w:rsid w:val="001F747F"/>
    <w:rsid w:val="001F79DF"/>
    <w:rsid w:val="001F7CED"/>
    <w:rsid w:val="0020006C"/>
    <w:rsid w:val="00200905"/>
    <w:rsid w:val="00200E4F"/>
    <w:rsid w:val="0020151D"/>
    <w:rsid w:val="00201AD0"/>
    <w:rsid w:val="00201BCA"/>
    <w:rsid w:val="00201EE7"/>
    <w:rsid w:val="00201EF4"/>
    <w:rsid w:val="002023E3"/>
    <w:rsid w:val="00202684"/>
    <w:rsid w:val="002029B0"/>
    <w:rsid w:val="002029C5"/>
    <w:rsid w:val="00202D70"/>
    <w:rsid w:val="0020308E"/>
    <w:rsid w:val="0020313F"/>
    <w:rsid w:val="002036E2"/>
    <w:rsid w:val="00203934"/>
    <w:rsid w:val="002039BE"/>
    <w:rsid w:val="00203A63"/>
    <w:rsid w:val="00203A82"/>
    <w:rsid w:val="00203E74"/>
    <w:rsid w:val="00203FC5"/>
    <w:rsid w:val="00204479"/>
    <w:rsid w:val="0020455E"/>
    <w:rsid w:val="00204653"/>
    <w:rsid w:val="00204C73"/>
    <w:rsid w:val="00204DC0"/>
    <w:rsid w:val="00204DEA"/>
    <w:rsid w:val="00204E61"/>
    <w:rsid w:val="0020515F"/>
    <w:rsid w:val="00205337"/>
    <w:rsid w:val="0020551B"/>
    <w:rsid w:val="0020567E"/>
    <w:rsid w:val="002057CA"/>
    <w:rsid w:val="0020598F"/>
    <w:rsid w:val="00205EE9"/>
    <w:rsid w:val="002064CE"/>
    <w:rsid w:val="002066B9"/>
    <w:rsid w:val="00206814"/>
    <w:rsid w:val="00206E88"/>
    <w:rsid w:val="00207101"/>
    <w:rsid w:val="00207170"/>
    <w:rsid w:val="002072DD"/>
    <w:rsid w:val="0020736A"/>
    <w:rsid w:val="0020739D"/>
    <w:rsid w:val="00207B65"/>
    <w:rsid w:val="00207F66"/>
    <w:rsid w:val="00210209"/>
    <w:rsid w:val="002103D5"/>
    <w:rsid w:val="00210563"/>
    <w:rsid w:val="002106E4"/>
    <w:rsid w:val="00210C40"/>
    <w:rsid w:val="00210C86"/>
    <w:rsid w:val="00211200"/>
    <w:rsid w:val="00211379"/>
    <w:rsid w:val="0021148F"/>
    <w:rsid w:val="002118B9"/>
    <w:rsid w:val="002119CD"/>
    <w:rsid w:val="00211A63"/>
    <w:rsid w:val="00211C0C"/>
    <w:rsid w:val="00211E22"/>
    <w:rsid w:val="00212106"/>
    <w:rsid w:val="002121E3"/>
    <w:rsid w:val="002122BA"/>
    <w:rsid w:val="002122D5"/>
    <w:rsid w:val="00212365"/>
    <w:rsid w:val="0021237C"/>
    <w:rsid w:val="00212D92"/>
    <w:rsid w:val="00212F89"/>
    <w:rsid w:val="0021330A"/>
    <w:rsid w:val="002133B9"/>
    <w:rsid w:val="00213533"/>
    <w:rsid w:val="002135CA"/>
    <w:rsid w:val="0021365D"/>
    <w:rsid w:val="00213687"/>
    <w:rsid w:val="002137F9"/>
    <w:rsid w:val="002139BE"/>
    <w:rsid w:val="002139CF"/>
    <w:rsid w:val="00213C46"/>
    <w:rsid w:val="00213CF6"/>
    <w:rsid w:val="00214242"/>
    <w:rsid w:val="002143A7"/>
    <w:rsid w:val="002143AC"/>
    <w:rsid w:val="002146B8"/>
    <w:rsid w:val="002146BC"/>
    <w:rsid w:val="002147DA"/>
    <w:rsid w:val="002148A1"/>
    <w:rsid w:val="00214928"/>
    <w:rsid w:val="00214C08"/>
    <w:rsid w:val="00214ED3"/>
    <w:rsid w:val="002157F9"/>
    <w:rsid w:val="0021587A"/>
    <w:rsid w:val="002158DF"/>
    <w:rsid w:val="00215A42"/>
    <w:rsid w:val="00215AA4"/>
    <w:rsid w:val="00216087"/>
    <w:rsid w:val="002161EC"/>
    <w:rsid w:val="002162C5"/>
    <w:rsid w:val="0021632C"/>
    <w:rsid w:val="00216654"/>
    <w:rsid w:val="002167A1"/>
    <w:rsid w:val="00216A92"/>
    <w:rsid w:val="00216AD3"/>
    <w:rsid w:val="00216C5A"/>
    <w:rsid w:val="0021721B"/>
    <w:rsid w:val="00217312"/>
    <w:rsid w:val="002173B6"/>
    <w:rsid w:val="00217437"/>
    <w:rsid w:val="0021744F"/>
    <w:rsid w:val="00217685"/>
    <w:rsid w:val="002177D2"/>
    <w:rsid w:val="00217A3C"/>
    <w:rsid w:val="00217B9B"/>
    <w:rsid w:val="00217C53"/>
    <w:rsid w:val="00217FB1"/>
    <w:rsid w:val="00217FE7"/>
    <w:rsid w:val="00220013"/>
    <w:rsid w:val="00220505"/>
    <w:rsid w:val="0022085E"/>
    <w:rsid w:val="00220890"/>
    <w:rsid w:val="00220981"/>
    <w:rsid w:val="00220AC7"/>
    <w:rsid w:val="00220BF8"/>
    <w:rsid w:val="00220ED9"/>
    <w:rsid w:val="00220F7B"/>
    <w:rsid w:val="00221390"/>
    <w:rsid w:val="00221480"/>
    <w:rsid w:val="0022173F"/>
    <w:rsid w:val="002218C8"/>
    <w:rsid w:val="00221A73"/>
    <w:rsid w:val="00221ADC"/>
    <w:rsid w:val="00221C13"/>
    <w:rsid w:val="00221C62"/>
    <w:rsid w:val="00221C87"/>
    <w:rsid w:val="00222219"/>
    <w:rsid w:val="002222E3"/>
    <w:rsid w:val="00222582"/>
    <w:rsid w:val="002226B4"/>
    <w:rsid w:val="002228D3"/>
    <w:rsid w:val="00222A89"/>
    <w:rsid w:val="00222C27"/>
    <w:rsid w:val="00222ED9"/>
    <w:rsid w:val="0022302E"/>
    <w:rsid w:val="00223226"/>
    <w:rsid w:val="0022350D"/>
    <w:rsid w:val="00223636"/>
    <w:rsid w:val="0022365E"/>
    <w:rsid w:val="00223776"/>
    <w:rsid w:val="00223ABB"/>
    <w:rsid w:val="00223B2A"/>
    <w:rsid w:val="00224208"/>
    <w:rsid w:val="002243F1"/>
    <w:rsid w:val="002249D7"/>
    <w:rsid w:val="00224B22"/>
    <w:rsid w:val="00224EA0"/>
    <w:rsid w:val="00224F29"/>
    <w:rsid w:val="00225027"/>
    <w:rsid w:val="002252FF"/>
    <w:rsid w:val="002256B8"/>
    <w:rsid w:val="002257B2"/>
    <w:rsid w:val="002258C1"/>
    <w:rsid w:val="00225929"/>
    <w:rsid w:val="00225AEE"/>
    <w:rsid w:val="00225DF1"/>
    <w:rsid w:val="002262A9"/>
    <w:rsid w:val="00226898"/>
    <w:rsid w:val="00226906"/>
    <w:rsid w:val="00227256"/>
    <w:rsid w:val="0022739D"/>
    <w:rsid w:val="00227541"/>
    <w:rsid w:val="0022754F"/>
    <w:rsid w:val="0022760B"/>
    <w:rsid w:val="00227873"/>
    <w:rsid w:val="00227C6E"/>
    <w:rsid w:val="00227C99"/>
    <w:rsid w:val="00230033"/>
    <w:rsid w:val="00230070"/>
    <w:rsid w:val="00230073"/>
    <w:rsid w:val="0023054E"/>
    <w:rsid w:val="002306C6"/>
    <w:rsid w:val="00230D00"/>
    <w:rsid w:val="00230E03"/>
    <w:rsid w:val="0023101B"/>
    <w:rsid w:val="002310BF"/>
    <w:rsid w:val="00231196"/>
    <w:rsid w:val="0023152F"/>
    <w:rsid w:val="00231A33"/>
    <w:rsid w:val="00231DDB"/>
    <w:rsid w:val="002320D7"/>
    <w:rsid w:val="00232201"/>
    <w:rsid w:val="0023223D"/>
    <w:rsid w:val="002322AA"/>
    <w:rsid w:val="002326A7"/>
    <w:rsid w:val="00232796"/>
    <w:rsid w:val="00232E44"/>
    <w:rsid w:val="002332EB"/>
    <w:rsid w:val="00233C2F"/>
    <w:rsid w:val="0023448B"/>
    <w:rsid w:val="002345B0"/>
    <w:rsid w:val="0023499F"/>
    <w:rsid w:val="00234B4E"/>
    <w:rsid w:val="00234C95"/>
    <w:rsid w:val="00235019"/>
    <w:rsid w:val="002354D7"/>
    <w:rsid w:val="00235616"/>
    <w:rsid w:val="0023581C"/>
    <w:rsid w:val="00235978"/>
    <w:rsid w:val="00235C01"/>
    <w:rsid w:val="00236333"/>
    <w:rsid w:val="002364A2"/>
    <w:rsid w:val="002365DD"/>
    <w:rsid w:val="00236768"/>
    <w:rsid w:val="002368A5"/>
    <w:rsid w:val="00236C87"/>
    <w:rsid w:val="00236C89"/>
    <w:rsid w:val="00236D06"/>
    <w:rsid w:val="00237188"/>
    <w:rsid w:val="002371FF"/>
    <w:rsid w:val="00237220"/>
    <w:rsid w:val="002372F4"/>
    <w:rsid w:val="00237583"/>
    <w:rsid w:val="0023774D"/>
    <w:rsid w:val="002378C0"/>
    <w:rsid w:val="00240010"/>
    <w:rsid w:val="002401C1"/>
    <w:rsid w:val="0024033F"/>
    <w:rsid w:val="0024060F"/>
    <w:rsid w:val="00240796"/>
    <w:rsid w:val="00240949"/>
    <w:rsid w:val="00240A89"/>
    <w:rsid w:val="00240AEA"/>
    <w:rsid w:val="00240C7D"/>
    <w:rsid w:val="00240E86"/>
    <w:rsid w:val="00240F72"/>
    <w:rsid w:val="00240FCA"/>
    <w:rsid w:val="00241250"/>
    <w:rsid w:val="00241B1A"/>
    <w:rsid w:val="00241D86"/>
    <w:rsid w:val="0024205B"/>
    <w:rsid w:val="0024213F"/>
    <w:rsid w:val="00242345"/>
    <w:rsid w:val="0024241E"/>
    <w:rsid w:val="00242487"/>
    <w:rsid w:val="00242669"/>
    <w:rsid w:val="002426AB"/>
    <w:rsid w:val="00242954"/>
    <w:rsid w:val="00242A37"/>
    <w:rsid w:val="00242F97"/>
    <w:rsid w:val="00243032"/>
    <w:rsid w:val="002435F2"/>
    <w:rsid w:val="002436A9"/>
    <w:rsid w:val="002439C3"/>
    <w:rsid w:val="00243C89"/>
    <w:rsid w:val="00243E4D"/>
    <w:rsid w:val="0024499F"/>
    <w:rsid w:val="00244A1C"/>
    <w:rsid w:val="00244CF3"/>
    <w:rsid w:val="00244E33"/>
    <w:rsid w:val="002450F5"/>
    <w:rsid w:val="00245594"/>
    <w:rsid w:val="0024570C"/>
    <w:rsid w:val="0024576D"/>
    <w:rsid w:val="0024599E"/>
    <w:rsid w:val="00245C16"/>
    <w:rsid w:val="00245CE5"/>
    <w:rsid w:val="00246863"/>
    <w:rsid w:val="002468AD"/>
    <w:rsid w:val="00246B50"/>
    <w:rsid w:val="00246E14"/>
    <w:rsid w:val="00246FA4"/>
    <w:rsid w:val="00247093"/>
    <w:rsid w:val="00247406"/>
    <w:rsid w:val="00247432"/>
    <w:rsid w:val="00247853"/>
    <w:rsid w:val="00247FDE"/>
    <w:rsid w:val="00247FFB"/>
    <w:rsid w:val="00250454"/>
    <w:rsid w:val="00250979"/>
    <w:rsid w:val="00250BF4"/>
    <w:rsid w:val="002518DA"/>
    <w:rsid w:val="00251F85"/>
    <w:rsid w:val="00252342"/>
    <w:rsid w:val="002523B3"/>
    <w:rsid w:val="00252758"/>
    <w:rsid w:val="0025280C"/>
    <w:rsid w:val="0025290D"/>
    <w:rsid w:val="00252E63"/>
    <w:rsid w:val="0025307D"/>
    <w:rsid w:val="002533BC"/>
    <w:rsid w:val="002534C3"/>
    <w:rsid w:val="0025359B"/>
    <w:rsid w:val="00253701"/>
    <w:rsid w:val="00253708"/>
    <w:rsid w:val="002538F0"/>
    <w:rsid w:val="00253D5A"/>
    <w:rsid w:val="00253D97"/>
    <w:rsid w:val="0025414F"/>
    <w:rsid w:val="00254431"/>
    <w:rsid w:val="00254493"/>
    <w:rsid w:val="00254830"/>
    <w:rsid w:val="00254C37"/>
    <w:rsid w:val="00254E7B"/>
    <w:rsid w:val="00254EC2"/>
    <w:rsid w:val="00255266"/>
    <w:rsid w:val="002552B7"/>
    <w:rsid w:val="00255607"/>
    <w:rsid w:val="00255AED"/>
    <w:rsid w:val="002560BE"/>
    <w:rsid w:val="00256523"/>
    <w:rsid w:val="00256A43"/>
    <w:rsid w:val="00256E66"/>
    <w:rsid w:val="00256ED9"/>
    <w:rsid w:val="00256FD9"/>
    <w:rsid w:val="002570AA"/>
    <w:rsid w:val="00257316"/>
    <w:rsid w:val="002574D1"/>
    <w:rsid w:val="002579EE"/>
    <w:rsid w:val="00257DD3"/>
    <w:rsid w:val="00257FF4"/>
    <w:rsid w:val="00260343"/>
    <w:rsid w:val="0026036C"/>
    <w:rsid w:val="00260461"/>
    <w:rsid w:val="002605C2"/>
    <w:rsid w:val="00260C11"/>
    <w:rsid w:val="00260F91"/>
    <w:rsid w:val="00261177"/>
    <w:rsid w:val="0026130D"/>
    <w:rsid w:val="0026153F"/>
    <w:rsid w:val="0026158C"/>
    <w:rsid w:val="0026186B"/>
    <w:rsid w:val="00261A58"/>
    <w:rsid w:val="00261C8D"/>
    <w:rsid w:val="00261D60"/>
    <w:rsid w:val="00262197"/>
    <w:rsid w:val="002621E6"/>
    <w:rsid w:val="00262369"/>
    <w:rsid w:val="002624D5"/>
    <w:rsid w:val="002626A5"/>
    <w:rsid w:val="0026275C"/>
    <w:rsid w:val="002628DD"/>
    <w:rsid w:val="00262B52"/>
    <w:rsid w:val="00262B6C"/>
    <w:rsid w:val="00262CCF"/>
    <w:rsid w:val="00263074"/>
    <w:rsid w:val="002634B1"/>
    <w:rsid w:val="0026395C"/>
    <w:rsid w:val="002639F0"/>
    <w:rsid w:val="00263CED"/>
    <w:rsid w:val="00263E06"/>
    <w:rsid w:val="00263E1B"/>
    <w:rsid w:val="00263EBE"/>
    <w:rsid w:val="0026408A"/>
    <w:rsid w:val="00264164"/>
    <w:rsid w:val="002648DF"/>
    <w:rsid w:val="00265007"/>
    <w:rsid w:val="00265295"/>
    <w:rsid w:val="0026556E"/>
    <w:rsid w:val="002656C0"/>
    <w:rsid w:val="002659E4"/>
    <w:rsid w:val="00265B9E"/>
    <w:rsid w:val="00265C2B"/>
    <w:rsid w:val="0026644B"/>
    <w:rsid w:val="0026656C"/>
    <w:rsid w:val="00266913"/>
    <w:rsid w:val="002672F0"/>
    <w:rsid w:val="002673E7"/>
    <w:rsid w:val="002674CB"/>
    <w:rsid w:val="00267515"/>
    <w:rsid w:val="002676F3"/>
    <w:rsid w:val="002677F5"/>
    <w:rsid w:val="00267C02"/>
    <w:rsid w:val="00267C58"/>
    <w:rsid w:val="00267C99"/>
    <w:rsid w:val="00267FDC"/>
    <w:rsid w:val="0027036A"/>
    <w:rsid w:val="00270384"/>
    <w:rsid w:val="002706AB"/>
    <w:rsid w:val="00270C4B"/>
    <w:rsid w:val="00270CED"/>
    <w:rsid w:val="00270D7E"/>
    <w:rsid w:val="00270EC2"/>
    <w:rsid w:val="00271017"/>
    <w:rsid w:val="002710D6"/>
    <w:rsid w:val="0027136F"/>
    <w:rsid w:val="002714CF"/>
    <w:rsid w:val="00271B90"/>
    <w:rsid w:val="002720B1"/>
    <w:rsid w:val="002720DD"/>
    <w:rsid w:val="002724CE"/>
    <w:rsid w:val="00272601"/>
    <w:rsid w:val="002728ED"/>
    <w:rsid w:val="0027299C"/>
    <w:rsid w:val="00272DD4"/>
    <w:rsid w:val="00272EFB"/>
    <w:rsid w:val="0027308F"/>
    <w:rsid w:val="002731D5"/>
    <w:rsid w:val="002732DE"/>
    <w:rsid w:val="00273466"/>
    <w:rsid w:val="0027359A"/>
    <w:rsid w:val="0027378B"/>
    <w:rsid w:val="00273AA3"/>
    <w:rsid w:val="002740C2"/>
    <w:rsid w:val="002742A5"/>
    <w:rsid w:val="002745EF"/>
    <w:rsid w:val="00274691"/>
    <w:rsid w:val="0027497F"/>
    <w:rsid w:val="0027518D"/>
    <w:rsid w:val="00275499"/>
    <w:rsid w:val="0027595D"/>
    <w:rsid w:val="00275AA0"/>
    <w:rsid w:val="00276733"/>
    <w:rsid w:val="0027694B"/>
    <w:rsid w:val="00276951"/>
    <w:rsid w:val="00276E8E"/>
    <w:rsid w:val="00276FDA"/>
    <w:rsid w:val="0027715E"/>
    <w:rsid w:val="002775B7"/>
    <w:rsid w:val="002775D5"/>
    <w:rsid w:val="002775EF"/>
    <w:rsid w:val="00277985"/>
    <w:rsid w:val="002779DE"/>
    <w:rsid w:val="00277CAA"/>
    <w:rsid w:val="00277D48"/>
    <w:rsid w:val="002801DA"/>
    <w:rsid w:val="00280798"/>
    <w:rsid w:val="0028086C"/>
    <w:rsid w:val="002809BF"/>
    <w:rsid w:val="00280ADA"/>
    <w:rsid w:val="00280CC8"/>
    <w:rsid w:val="00280D83"/>
    <w:rsid w:val="00280DEA"/>
    <w:rsid w:val="00280EED"/>
    <w:rsid w:val="0028139F"/>
    <w:rsid w:val="002813E8"/>
    <w:rsid w:val="002815EA"/>
    <w:rsid w:val="00281ACB"/>
    <w:rsid w:val="00281FBB"/>
    <w:rsid w:val="00282024"/>
    <w:rsid w:val="002820DA"/>
    <w:rsid w:val="00282205"/>
    <w:rsid w:val="0028224A"/>
    <w:rsid w:val="0028235E"/>
    <w:rsid w:val="002828A7"/>
    <w:rsid w:val="00282BC1"/>
    <w:rsid w:val="00282C99"/>
    <w:rsid w:val="00282C9E"/>
    <w:rsid w:val="00282D5B"/>
    <w:rsid w:val="002830D4"/>
    <w:rsid w:val="002830F1"/>
    <w:rsid w:val="002835FC"/>
    <w:rsid w:val="00283B57"/>
    <w:rsid w:val="00283E35"/>
    <w:rsid w:val="00283FFF"/>
    <w:rsid w:val="00284141"/>
    <w:rsid w:val="00284161"/>
    <w:rsid w:val="00284231"/>
    <w:rsid w:val="002845C2"/>
    <w:rsid w:val="00284A0D"/>
    <w:rsid w:val="00284B06"/>
    <w:rsid w:val="00284D99"/>
    <w:rsid w:val="0028505F"/>
    <w:rsid w:val="00285459"/>
    <w:rsid w:val="002856BA"/>
    <w:rsid w:val="002856DC"/>
    <w:rsid w:val="002857B5"/>
    <w:rsid w:val="00285805"/>
    <w:rsid w:val="0028584A"/>
    <w:rsid w:val="00285967"/>
    <w:rsid w:val="00285B2B"/>
    <w:rsid w:val="00286303"/>
    <w:rsid w:val="0028638C"/>
    <w:rsid w:val="0028639A"/>
    <w:rsid w:val="00286449"/>
    <w:rsid w:val="0028676E"/>
    <w:rsid w:val="00286A1B"/>
    <w:rsid w:val="00287023"/>
    <w:rsid w:val="002877F4"/>
    <w:rsid w:val="00287B8D"/>
    <w:rsid w:val="00287E75"/>
    <w:rsid w:val="00287F79"/>
    <w:rsid w:val="00290045"/>
    <w:rsid w:val="0029025E"/>
    <w:rsid w:val="00290375"/>
    <w:rsid w:val="002904E1"/>
    <w:rsid w:val="0029087B"/>
    <w:rsid w:val="00290C15"/>
    <w:rsid w:val="00290C8A"/>
    <w:rsid w:val="00290CC8"/>
    <w:rsid w:val="00290F03"/>
    <w:rsid w:val="002910D4"/>
    <w:rsid w:val="00291847"/>
    <w:rsid w:val="00291B14"/>
    <w:rsid w:val="00291F32"/>
    <w:rsid w:val="002922EF"/>
    <w:rsid w:val="002923FA"/>
    <w:rsid w:val="0029261A"/>
    <w:rsid w:val="00292639"/>
    <w:rsid w:val="002927F9"/>
    <w:rsid w:val="00292919"/>
    <w:rsid w:val="00292A15"/>
    <w:rsid w:val="00292A97"/>
    <w:rsid w:val="00292B7E"/>
    <w:rsid w:val="00292CBB"/>
    <w:rsid w:val="00292E40"/>
    <w:rsid w:val="00293027"/>
    <w:rsid w:val="0029305C"/>
    <w:rsid w:val="00293220"/>
    <w:rsid w:val="00293676"/>
    <w:rsid w:val="002939CD"/>
    <w:rsid w:val="00293C4C"/>
    <w:rsid w:val="00293E5D"/>
    <w:rsid w:val="0029401F"/>
    <w:rsid w:val="00294126"/>
    <w:rsid w:val="0029464A"/>
    <w:rsid w:val="002947E7"/>
    <w:rsid w:val="00294B08"/>
    <w:rsid w:val="00294DCC"/>
    <w:rsid w:val="00294DED"/>
    <w:rsid w:val="00294F2F"/>
    <w:rsid w:val="0029542D"/>
    <w:rsid w:val="002955D9"/>
    <w:rsid w:val="00295B64"/>
    <w:rsid w:val="00295E2B"/>
    <w:rsid w:val="002960E0"/>
    <w:rsid w:val="002962F2"/>
    <w:rsid w:val="00296473"/>
    <w:rsid w:val="00296707"/>
    <w:rsid w:val="00296D64"/>
    <w:rsid w:val="00297229"/>
    <w:rsid w:val="0029768F"/>
    <w:rsid w:val="002979AA"/>
    <w:rsid w:val="00297ABC"/>
    <w:rsid w:val="00297DE2"/>
    <w:rsid w:val="00297E3C"/>
    <w:rsid w:val="002A0224"/>
    <w:rsid w:val="002A05EB"/>
    <w:rsid w:val="002A077F"/>
    <w:rsid w:val="002A0820"/>
    <w:rsid w:val="002A0852"/>
    <w:rsid w:val="002A09A3"/>
    <w:rsid w:val="002A14C8"/>
    <w:rsid w:val="002A16B5"/>
    <w:rsid w:val="002A1708"/>
    <w:rsid w:val="002A175B"/>
    <w:rsid w:val="002A1975"/>
    <w:rsid w:val="002A1CA1"/>
    <w:rsid w:val="002A1D16"/>
    <w:rsid w:val="002A1D1A"/>
    <w:rsid w:val="002A1DDC"/>
    <w:rsid w:val="002A1DF8"/>
    <w:rsid w:val="002A1F04"/>
    <w:rsid w:val="002A1F28"/>
    <w:rsid w:val="002A2823"/>
    <w:rsid w:val="002A28F2"/>
    <w:rsid w:val="002A29F2"/>
    <w:rsid w:val="002A3356"/>
    <w:rsid w:val="002A372A"/>
    <w:rsid w:val="002A3836"/>
    <w:rsid w:val="002A3A78"/>
    <w:rsid w:val="002A3B1F"/>
    <w:rsid w:val="002A3CD1"/>
    <w:rsid w:val="002A3DF8"/>
    <w:rsid w:val="002A3EC9"/>
    <w:rsid w:val="002A4019"/>
    <w:rsid w:val="002A4088"/>
    <w:rsid w:val="002A4248"/>
    <w:rsid w:val="002A46C2"/>
    <w:rsid w:val="002A4786"/>
    <w:rsid w:val="002A48FF"/>
    <w:rsid w:val="002A522B"/>
    <w:rsid w:val="002A58DC"/>
    <w:rsid w:val="002A60B6"/>
    <w:rsid w:val="002A61FA"/>
    <w:rsid w:val="002A6492"/>
    <w:rsid w:val="002A662C"/>
    <w:rsid w:val="002A696D"/>
    <w:rsid w:val="002A6AA1"/>
    <w:rsid w:val="002A705F"/>
    <w:rsid w:val="002A71BF"/>
    <w:rsid w:val="002A72D9"/>
    <w:rsid w:val="002A777E"/>
    <w:rsid w:val="002A789D"/>
    <w:rsid w:val="002A7DD7"/>
    <w:rsid w:val="002A7FDB"/>
    <w:rsid w:val="002B0074"/>
    <w:rsid w:val="002B035F"/>
    <w:rsid w:val="002B0728"/>
    <w:rsid w:val="002B08B9"/>
    <w:rsid w:val="002B0F39"/>
    <w:rsid w:val="002B0F90"/>
    <w:rsid w:val="002B1261"/>
    <w:rsid w:val="002B1763"/>
    <w:rsid w:val="002B17B3"/>
    <w:rsid w:val="002B1B6F"/>
    <w:rsid w:val="002B1CC7"/>
    <w:rsid w:val="002B1F7E"/>
    <w:rsid w:val="002B1F98"/>
    <w:rsid w:val="002B23B1"/>
    <w:rsid w:val="002B23DD"/>
    <w:rsid w:val="002B3084"/>
    <w:rsid w:val="002B3326"/>
    <w:rsid w:val="002B3487"/>
    <w:rsid w:val="002B3C95"/>
    <w:rsid w:val="002B3FE7"/>
    <w:rsid w:val="002B4092"/>
    <w:rsid w:val="002B44F5"/>
    <w:rsid w:val="002B5518"/>
    <w:rsid w:val="002B58E8"/>
    <w:rsid w:val="002B598D"/>
    <w:rsid w:val="002B5A66"/>
    <w:rsid w:val="002B5A8F"/>
    <w:rsid w:val="002B5DDB"/>
    <w:rsid w:val="002B5EEC"/>
    <w:rsid w:val="002B644B"/>
    <w:rsid w:val="002B6465"/>
    <w:rsid w:val="002B653D"/>
    <w:rsid w:val="002B67ED"/>
    <w:rsid w:val="002B6C11"/>
    <w:rsid w:val="002B6CA6"/>
    <w:rsid w:val="002B6FA2"/>
    <w:rsid w:val="002B7399"/>
    <w:rsid w:val="002B74B2"/>
    <w:rsid w:val="002B7665"/>
    <w:rsid w:val="002B7674"/>
    <w:rsid w:val="002B7A85"/>
    <w:rsid w:val="002B7D4B"/>
    <w:rsid w:val="002B7D7F"/>
    <w:rsid w:val="002B7E1A"/>
    <w:rsid w:val="002B7E4B"/>
    <w:rsid w:val="002C0081"/>
    <w:rsid w:val="002C027D"/>
    <w:rsid w:val="002C03DD"/>
    <w:rsid w:val="002C0560"/>
    <w:rsid w:val="002C07A0"/>
    <w:rsid w:val="002C08D4"/>
    <w:rsid w:val="002C1029"/>
    <w:rsid w:val="002C1188"/>
    <w:rsid w:val="002C1323"/>
    <w:rsid w:val="002C13A3"/>
    <w:rsid w:val="002C1516"/>
    <w:rsid w:val="002C1573"/>
    <w:rsid w:val="002C172D"/>
    <w:rsid w:val="002C17A4"/>
    <w:rsid w:val="002C22FB"/>
    <w:rsid w:val="002C247A"/>
    <w:rsid w:val="002C24B6"/>
    <w:rsid w:val="002C25EE"/>
    <w:rsid w:val="002C2EDC"/>
    <w:rsid w:val="002C30F8"/>
    <w:rsid w:val="002C31F3"/>
    <w:rsid w:val="002C32A9"/>
    <w:rsid w:val="002C3368"/>
    <w:rsid w:val="002C33B7"/>
    <w:rsid w:val="002C348C"/>
    <w:rsid w:val="002C37F5"/>
    <w:rsid w:val="002C3B4D"/>
    <w:rsid w:val="002C3E27"/>
    <w:rsid w:val="002C415C"/>
    <w:rsid w:val="002C4351"/>
    <w:rsid w:val="002C4478"/>
    <w:rsid w:val="002C48F5"/>
    <w:rsid w:val="002C4976"/>
    <w:rsid w:val="002C4AAF"/>
    <w:rsid w:val="002C4B5F"/>
    <w:rsid w:val="002C4B9D"/>
    <w:rsid w:val="002C4E79"/>
    <w:rsid w:val="002C503C"/>
    <w:rsid w:val="002C50DE"/>
    <w:rsid w:val="002C513F"/>
    <w:rsid w:val="002C5187"/>
    <w:rsid w:val="002C5208"/>
    <w:rsid w:val="002C5273"/>
    <w:rsid w:val="002C5381"/>
    <w:rsid w:val="002C57E4"/>
    <w:rsid w:val="002C5ACB"/>
    <w:rsid w:val="002C5BAE"/>
    <w:rsid w:val="002C5FD3"/>
    <w:rsid w:val="002C61F4"/>
    <w:rsid w:val="002C61F5"/>
    <w:rsid w:val="002C626D"/>
    <w:rsid w:val="002C6930"/>
    <w:rsid w:val="002C69D5"/>
    <w:rsid w:val="002C6EDE"/>
    <w:rsid w:val="002C760F"/>
    <w:rsid w:val="002C76B6"/>
    <w:rsid w:val="002C772E"/>
    <w:rsid w:val="002C77D6"/>
    <w:rsid w:val="002C78BE"/>
    <w:rsid w:val="002C7986"/>
    <w:rsid w:val="002C7A00"/>
    <w:rsid w:val="002C7A4B"/>
    <w:rsid w:val="002C7B54"/>
    <w:rsid w:val="002C7B8C"/>
    <w:rsid w:val="002C7E01"/>
    <w:rsid w:val="002C7EAA"/>
    <w:rsid w:val="002D0190"/>
    <w:rsid w:val="002D02A6"/>
    <w:rsid w:val="002D0C5F"/>
    <w:rsid w:val="002D0E62"/>
    <w:rsid w:val="002D1247"/>
    <w:rsid w:val="002D1457"/>
    <w:rsid w:val="002D14D5"/>
    <w:rsid w:val="002D1728"/>
    <w:rsid w:val="002D1865"/>
    <w:rsid w:val="002D1B42"/>
    <w:rsid w:val="002D1C15"/>
    <w:rsid w:val="002D1C6D"/>
    <w:rsid w:val="002D1CA4"/>
    <w:rsid w:val="002D20D5"/>
    <w:rsid w:val="002D21CD"/>
    <w:rsid w:val="002D27D9"/>
    <w:rsid w:val="002D2854"/>
    <w:rsid w:val="002D28E7"/>
    <w:rsid w:val="002D28F9"/>
    <w:rsid w:val="002D29A1"/>
    <w:rsid w:val="002D2B81"/>
    <w:rsid w:val="002D2BF3"/>
    <w:rsid w:val="002D30EC"/>
    <w:rsid w:val="002D3480"/>
    <w:rsid w:val="002D37C2"/>
    <w:rsid w:val="002D3961"/>
    <w:rsid w:val="002D3C5C"/>
    <w:rsid w:val="002D3ECE"/>
    <w:rsid w:val="002D4729"/>
    <w:rsid w:val="002D5868"/>
    <w:rsid w:val="002D59E7"/>
    <w:rsid w:val="002D5BFF"/>
    <w:rsid w:val="002D5CA0"/>
    <w:rsid w:val="002D5CEC"/>
    <w:rsid w:val="002D6147"/>
    <w:rsid w:val="002D6436"/>
    <w:rsid w:val="002D67B0"/>
    <w:rsid w:val="002D6AED"/>
    <w:rsid w:val="002D718B"/>
    <w:rsid w:val="002D72C2"/>
    <w:rsid w:val="002D744B"/>
    <w:rsid w:val="002D7628"/>
    <w:rsid w:val="002D77AC"/>
    <w:rsid w:val="002D7B0C"/>
    <w:rsid w:val="002D7B3A"/>
    <w:rsid w:val="002D7BCA"/>
    <w:rsid w:val="002D7FD4"/>
    <w:rsid w:val="002E003D"/>
    <w:rsid w:val="002E019B"/>
    <w:rsid w:val="002E0261"/>
    <w:rsid w:val="002E0A68"/>
    <w:rsid w:val="002E0BD9"/>
    <w:rsid w:val="002E0C88"/>
    <w:rsid w:val="002E10BF"/>
    <w:rsid w:val="002E1679"/>
    <w:rsid w:val="002E1BBD"/>
    <w:rsid w:val="002E1F6F"/>
    <w:rsid w:val="002E233B"/>
    <w:rsid w:val="002E2396"/>
    <w:rsid w:val="002E2611"/>
    <w:rsid w:val="002E2713"/>
    <w:rsid w:val="002E323A"/>
    <w:rsid w:val="002E32DC"/>
    <w:rsid w:val="002E335C"/>
    <w:rsid w:val="002E33E1"/>
    <w:rsid w:val="002E38B6"/>
    <w:rsid w:val="002E39F2"/>
    <w:rsid w:val="002E3A29"/>
    <w:rsid w:val="002E3BE0"/>
    <w:rsid w:val="002E3DA0"/>
    <w:rsid w:val="002E40A9"/>
    <w:rsid w:val="002E41C7"/>
    <w:rsid w:val="002E41D4"/>
    <w:rsid w:val="002E4302"/>
    <w:rsid w:val="002E43ED"/>
    <w:rsid w:val="002E4693"/>
    <w:rsid w:val="002E49B1"/>
    <w:rsid w:val="002E4B27"/>
    <w:rsid w:val="002E4CEF"/>
    <w:rsid w:val="002E51D1"/>
    <w:rsid w:val="002E527D"/>
    <w:rsid w:val="002E5665"/>
    <w:rsid w:val="002E56D7"/>
    <w:rsid w:val="002E58D7"/>
    <w:rsid w:val="002E5EB3"/>
    <w:rsid w:val="002E6141"/>
    <w:rsid w:val="002E61C1"/>
    <w:rsid w:val="002E645F"/>
    <w:rsid w:val="002E698D"/>
    <w:rsid w:val="002E6A54"/>
    <w:rsid w:val="002E6EDA"/>
    <w:rsid w:val="002E71AB"/>
    <w:rsid w:val="002E746F"/>
    <w:rsid w:val="002E7645"/>
    <w:rsid w:val="002E77C8"/>
    <w:rsid w:val="002E78E6"/>
    <w:rsid w:val="002E797E"/>
    <w:rsid w:val="002E7ABF"/>
    <w:rsid w:val="002E7C95"/>
    <w:rsid w:val="002E7EBF"/>
    <w:rsid w:val="002E7F19"/>
    <w:rsid w:val="002F05AC"/>
    <w:rsid w:val="002F0656"/>
    <w:rsid w:val="002F0941"/>
    <w:rsid w:val="002F097F"/>
    <w:rsid w:val="002F09E6"/>
    <w:rsid w:val="002F11A8"/>
    <w:rsid w:val="002F1415"/>
    <w:rsid w:val="002F1459"/>
    <w:rsid w:val="002F185E"/>
    <w:rsid w:val="002F18FD"/>
    <w:rsid w:val="002F198A"/>
    <w:rsid w:val="002F1B82"/>
    <w:rsid w:val="002F1DE6"/>
    <w:rsid w:val="002F1F29"/>
    <w:rsid w:val="002F2140"/>
    <w:rsid w:val="002F2CB5"/>
    <w:rsid w:val="002F2D4F"/>
    <w:rsid w:val="002F2DCA"/>
    <w:rsid w:val="002F2E04"/>
    <w:rsid w:val="002F2E7A"/>
    <w:rsid w:val="002F3130"/>
    <w:rsid w:val="002F31AA"/>
    <w:rsid w:val="002F32B4"/>
    <w:rsid w:val="002F3597"/>
    <w:rsid w:val="002F3688"/>
    <w:rsid w:val="002F373F"/>
    <w:rsid w:val="002F3777"/>
    <w:rsid w:val="002F3837"/>
    <w:rsid w:val="002F3FF8"/>
    <w:rsid w:val="002F404B"/>
    <w:rsid w:val="002F449D"/>
    <w:rsid w:val="002F4CB4"/>
    <w:rsid w:val="002F4F99"/>
    <w:rsid w:val="002F52B5"/>
    <w:rsid w:val="002F56A1"/>
    <w:rsid w:val="002F5815"/>
    <w:rsid w:val="002F5963"/>
    <w:rsid w:val="002F5AD9"/>
    <w:rsid w:val="002F5F73"/>
    <w:rsid w:val="002F6030"/>
    <w:rsid w:val="002F60F2"/>
    <w:rsid w:val="002F613B"/>
    <w:rsid w:val="002F629E"/>
    <w:rsid w:val="002F6703"/>
    <w:rsid w:val="002F6742"/>
    <w:rsid w:val="002F67D4"/>
    <w:rsid w:val="002F6D3A"/>
    <w:rsid w:val="002F6EB6"/>
    <w:rsid w:val="002F7154"/>
    <w:rsid w:val="002F71CC"/>
    <w:rsid w:val="002F7436"/>
    <w:rsid w:val="002F74E3"/>
    <w:rsid w:val="002F772D"/>
    <w:rsid w:val="002F7867"/>
    <w:rsid w:val="002F78DC"/>
    <w:rsid w:val="002F7906"/>
    <w:rsid w:val="002F7933"/>
    <w:rsid w:val="002F7BDB"/>
    <w:rsid w:val="002F7D95"/>
    <w:rsid w:val="002F7D97"/>
    <w:rsid w:val="002F7F4A"/>
    <w:rsid w:val="0030000C"/>
    <w:rsid w:val="00300074"/>
    <w:rsid w:val="00300388"/>
    <w:rsid w:val="003006BD"/>
    <w:rsid w:val="003009CB"/>
    <w:rsid w:val="00300A65"/>
    <w:rsid w:val="00300AA4"/>
    <w:rsid w:val="00300B97"/>
    <w:rsid w:val="00300D6B"/>
    <w:rsid w:val="003012CB"/>
    <w:rsid w:val="003016BE"/>
    <w:rsid w:val="00301CB4"/>
    <w:rsid w:val="003021A1"/>
    <w:rsid w:val="003023CE"/>
    <w:rsid w:val="0030273A"/>
    <w:rsid w:val="0030273F"/>
    <w:rsid w:val="00302881"/>
    <w:rsid w:val="003028FD"/>
    <w:rsid w:val="00302CB4"/>
    <w:rsid w:val="00303280"/>
    <w:rsid w:val="003032B3"/>
    <w:rsid w:val="00303710"/>
    <w:rsid w:val="00303785"/>
    <w:rsid w:val="00303B53"/>
    <w:rsid w:val="00303C76"/>
    <w:rsid w:val="00304582"/>
    <w:rsid w:val="00304AB6"/>
    <w:rsid w:val="00304ECE"/>
    <w:rsid w:val="00305802"/>
    <w:rsid w:val="00305A4A"/>
    <w:rsid w:val="00305EFB"/>
    <w:rsid w:val="00305F1B"/>
    <w:rsid w:val="00306079"/>
    <w:rsid w:val="003067AF"/>
    <w:rsid w:val="00306C9C"/>
    <w:rsid w:val="00306FC6"/>
    <w:rsid w:val="00306FED"/>
    <w:rsid w:val="003072EA"/>
    <w:rsid w:val="0030739E"/>
    <w:rsid w:val="003076CC"/>
    <w:rsid w:val="00307A95"/>
    <w:rsid w:val="00307BA3"/>
    <w:rsid w:val="00307C04"/>
    <w:rsid w:val="00307C78"/>
    <w:rsid w:val="00307F8B"/>
    <w:rsid w:val="0031002B"/>
    <w:rsid w:val="00310077"/>
    <w:rsid w:val="00310690"/>
    <w:rsid w:val="003109AC"/>
    <w:rsid w:val="003109F4"/>
    <w:rsid w:val="00310B15"/>
    <w:rsid w:val="00310B9D"/>
    <w:rsid w:val="00310F48"/>
    <w:rsid w:val="00310F5F"/>
    <w:rsid w:val="00310F73"/>
    <w:rsid w:val="0031106F"/>
    <w:rsid w:val="00311149"/>
    <w:rsid w:val="00311EB1"/>
    <w:rsid w:val="00311F83"/>
    <w:rsid w:val="0031217D"/>
    <w:rsid w:val="0031261C"/>
    <w:rsid w:val="00312715"/>
    <w:rsid w:val="003128C9"/>
    <w:rsid w:val="00312955"/>
    <w:rsid w:val="003130A4"/>
    <w:rsid w:val="003131D5"/>
    <w:rsid w:val="003136B6"/>
    <w:rsid w:val="00313805"/>
    <w:rsid w:val="00313B4C"/>
    <w:rsid w:val="00313D77"/>
    <w:rsid w:val="00313DA1"/>
    <w:rsid w:val="00313FA2"/>
    <w:rsid w:val="00313FB3"/>
    <w:rsid w:val="003141C5"/>
    <w:rsid w:val="00314458"/>
    <w:rsid w:val="003146EC"/>
    <w:rsid w:val="00314AA0"/>
    <w:rsid w:val="00314C20"/>
    <w:rsid w:val="003150BA"/>
    <w:rsid w:val="00315366"/>
    <w:rsid w:val="00315399"/>
    <w:rsid w:val="00315563"/>
    <w:rsid w:val="00315700"/>
    <w:rsid w:val="003159C0"/>
    <w:rsid w:val="00315B89"/>
    <w:rsid w:val="0031609F"/>
    <w:rsid w:val="00316526"/>
    <w:rsid w:val="0031657A"/>
    <w:rsid w:val="003168D7"/>
    <w:rsid w:val="00316921"/>
    <w:rsid w:val="00316BBF"/>
    <w:rsid w:val="00316C74"/>
    <w:rsid w:val="00316CDA"/>
    <w:rsid w:val="00316F87"/>
    <w:rsid w:val="00316FF1"/>
    <w:rsid w:val="0031718F"/>
    <w:rsid w:val="00317547"/>
    <w:rsid w:val="0031763F"/>
    <w:rsid w:val="0031769F"/>
    <w:rsid w:val="0031785D"/>
    <w:rsid w:val="00317A8C"/>
    <w:rsid w:val="00317D9B"/>
    <w:rsid w:val="00317FE0"/>
    <w:rsid w:val="003201C2"/>
    <w:rsid w:val="003203B0"/>
    <w:rsid w:val="0032051A"/>
    <w:rsid w:val="003215B8"/>
    <w:rsid w:val="0032162E"/>
    <w:rsid w:val="003217E4"/>
    <w:rsid w:val="00321B18"/>
    <w:rsid w:val="00321D20"/>
    <w:rsid w:val="003220B7"/>
    <w:rsid w:val="0032224B"/>
    <w:rsid w:val="0032237C"/>
    <w:rsid w:val="00322837"/>
    <w:rsid w:val="00322AAC"/>
    <w:rsid w:val="00322BCF"/>
    <w:rsid w:val="00323011"/>
    <w:rsid w:val="0032349C"/>
    <w:rsid w:val="003235BD"/>
    <w:rsid w:val="003235F9"/>
    <w:rsid w:val="003238E0"/>
    <w:rsid w:val="00323B3C"/>
    <w:rsid w:val="00323D42"/>
    <w:rsid w:val="00324330"/>
    <w:rsid w:val="003244F4"/>
    <w:rsid w:val="003246A1"/>
    <w:rsid w:val="003247D2"/>
    <w:rsid w:val="003248D3"/>
    <w:rsid w:val="00324937"/>
    <w:rsid w:val="00324D4A"/>
    <w:rsid w:val="00324DB1"/>
    <w:rsid w:val="00325318"/>
    <w:rsid w:val="00325435"/>
    <w:rsid w:val="0032563C"/>
    <w:rsid w:val="003263FE"/>
    <w:rsid w:val="00326654"/>
    <w:rsid w:val="00326A0D"/>
    <w:rsid w:val="00326A7B"/>
    <w:rsid w:val="00326C16"/>
    <w:rsid w:val="003272B9"/>
    <w:rsid w:val="003274B0"/>
    <w:rsid w:val="003274DD"/>
    <w:rsid w:val="0032752D"/>
    <w:rsid w:val="00327569"/>
    <w:rsid w:val="0032761F"/>
    <w:rsid w:val="00327742"/>
    <w:rsid w:val="00327889"/>
    <w:rsid w:val="00327A5D"/>
    <w:rsid w:val="00327AA8"/>
    <w:rsid w:val="00327AD7"/>
    <w:rsid w:val="00327DB4"/>
    <w:rsid w:val="00327F3D"/>
    <w:rsid w:val="00330117"/>
    <w:rsid w:val="003303BA"/>
    <w:rsid w:val="0033045A"/>
    <w:rsid w:val="00330606"/>
    <w:rsid w:val="00330916"/>
    <w:rsid w:val="003311F3"/>
    <w:rsid w:val="00331381"/>
    <w:rsid w:val="003316F2"/>
    <w:rsid w:val="00331809"/>
    <w:rsid w:val="00331876"/>
    <w:rsid w:val="0033249F"/>
    <w:rsid w:val="00332606"/>
    <w:rsid w:val="0033263E"/>
    <w:rsid w:val="00332A99"/>
    <w:rsid w:val="00332D09"/>
    <w:rsid w:val="003330CD"/>
    <w:rsid w:val="00333271"/>
    <w:rsid w:val="00333865"/>
    <w:rsid w:val="00333CEF"/>
    <w:rsid w:val="0033424D"/>
    <w:rsid w:val="003346C2"/>
    <w:rsid w:val="00334736"/>
    <w:rsid w:val="00334921"/>
    <w:rsid w:val="00334A24"/>
    <w:rsid w:val="00334D9D"/>
    <w:rsid w:val="00334E88"/>
    <w:rsid w:val="00335196"/>
    <w:rsid w:val="003353B6"/>
    <w:rsid w:val="003358DF"/>
    <w:rsid w:val="00335C43"/>
    <w:rsid w:val="00335C57"/>
    <w:rsid w:val="00335CA1"/>
    <w:rsid w:val="00336204"/>
    <w:rsid w:val="00336644"/>
    <w:rsid w:val="003366BE"/>
    <w:rsid w:val="003367ED"/>
    <w:rsid w:val="00336837"/>
    <w:rsid w:val="0033692A"/>
    <w:rsid w:val="00336D1B"/>
    <w:rsid w:val="00336EF0"/>
    <w:rsid w:val="00337010"/>
    <w:rsid w:val="0033713B"/>
    <w:rsid w:val="003371E7"/>
    <w:rsid w:val="00337261"/>
    <w:rsid w:val="003375AF"/>
    <w:rsid w:val="00337661"/>
    <w:rsid w:val="00337972"/>
    <w:rsid w:val="00337BF4"/>
    <w:rsid w:val="00337DBA"/>
    <w:rsid w:val="00337E5C"/>
    <w:rsid w:val="00340569"/>
    <w:rsid w:val="0034073F"/>
    <w:rsid w:val="003407AD"/>
    <w:rsid w:val="00340931"/>
    <w:rsid w:val="0034111D"/>
    <w:rsid w:val="00341641"/>
    <w:rsid w:val="00341E5E"/>
    <w:rsid w:val="003420AC"/>
    <w:rsid w:val="003420DF"/>
    <w:rsid w:val="00342172"/>
    <w:rsid w:val="003422A0"/>
    <w:rsid w:val="00342580"/>
    <w:rsid w:val="003427D5"/>
    <w:rsid w:val="00342845"/>
    <w:rsid w:val="003428C9"/>
    <w:rsid w:val="00342A75"/>
    <w:rsid w:val="00342A98"/>
    <w:rsid w:val="00342D0F"/>
    <w:rsid w:val="00342E64"/>
    <w:rsid w:val="00342F10"/>
    <w:rsid w:val="00342F8B"/>
    <w:rsid w:val="00343E13"/>
    <w:rsid w:val="003445B4"/>
    <w:rsid w:val="00344771"/>
    <w:rsid w:val="0034479D"/>
    <w:rsid w:val="00344B5B"/>
    <w:rsid w:val="00345570"/>
    <w:rsid w:val="00345582"/>
    <w:rsid w:val="003456AD"/>
    <w:rsid w:val="00345C6B"/>
    <w:rsid w:val="00345D57"/>
    <w:rsid w:val="00345E43"/>
    <w:rsid w:val="00345F2A"/>
    <w:rsid w:val="00346025"/>
    <w:rsid w:val="00346055"/>
    <w:rsid w:val="00346131"/>
    <w:rsid w:val="003462F7"/>
    <w:rsid w:val="003465BA"/>
    <w:rsid w:val="00346E0E"/>
    <w:rsid w:val="00346FB8"/>
    <w:rsid w:val="00347077"/>
    <w:rsid w:val="003470E2"/>
    <w:rsid w:val="003472AB"/>
    <w:rsid w:val="003475C5"/>
    <w:rsid w:val="003476D8"/>
    <w:rsid w:val="00347805"/>
    <w:rsid w:val="00347D41"/>
    <w:rsid w:val="003501EB"/>
    <w:rsid w:val="00350457"/>
    <w:rsid w:val="00350644"/>
    <w:rsid w:val="003509A3"/>
    <w:rsid w:val="00350A94"/>
    <w:rsid w:val="00350E96"/>
    <w:rsid w:val="00350EE9"/>
    <w:rsid w:val="003511F6"/>
    <w:rsid w:val="00351287"/>
    <w:rsid w:val="0035270E"/>
    <w:rsid w:val="00352848"/>
    <w:rsid w:val="00352ADE"/>
    <w:rsid w:val="00352FF0"/>
    <w:rsid w:val="0035311D"/>
    <w:rsid w:val="0035328F"/>
    <w:rsid w:val="00353557"/>
    <w:rsid w:val="0035369D"/>
    <w:rsid w:val="00353AB8"/>
    <w:rsid w:val="00353BAD"/>
    <w:rsid w:val="00353BFB"/>
    <w:rsid w:val="00353EAA"/>
    <w:rsid w:val="003540BA"/>
    <w:rsid w:val="003543B5"/>
    <w:rsid w:val="003543D3"/>
    <w:rsid w:val="003543E9"/>
    <w:rsid w:val="003544FD"/>
    <w:rsid w:val="00354696"/>
    <w:rsid w:val="003546CD"/>
    <w:rsid w:val="0035473F"/>
    <w:rsid w:val="00354D66"/>
    <w:rsid w:val="00354F60"/>
    <w:rsid w:val="00354F74"/>
    <w:rsid w:val="00355095"/>
    <w:rsid w:val="00355206"/>
    <w:rsid w:val="00355371"/>
    <w:rsid w:val="003553E0"/>
    <w:rsid w:val="003556FB"/>
    <w:rsid w:val="003559B2"/>
    <w:rsid w:val="00355D24"/>
    <w:rsid w:val="003560E9"/>
    <w:rsid w:val="003563DD"/>
    <w:rsid w:val="00356531"/>
    <w:rsid w:val="003565B3"/>
    <w:rsid w:val="003567FE"/>
    <w:rsid w:val="003569A5"/>
    <w:rsid w:val="00356B99"/>
    <w:rsid w:val="0035717F"/>
    <w:rsid w:val="003577A2"/>
    <w:rsid w:val="00357958"/>
    <w:rsid w:val="00357D26"/>
    <w:rsid w:val="00357DD0"/>
    <w:rsid w:val="003601B5"/>
    <w:rsid w:val="00360296"/>
    <w:rsid w:val="00360437"/>
    <w:rsid w:val="00360488"/>
    <w:rsid w:val="00360760"/>
    <w:rsid w:val="003607A4"/>
    <w:rsid w:val="0036085D"/>
    <w:rsid w:val="00360B54"/>
    <w:rsid w:val="00360D5B"/>
    <w:rsid w:val="00360D97"/>
    <w:rsid w:val="00360F96"/>
    <w:rsid w:val="0036134B"/>
    <w:rsid w:val="00361371"/>
    <w:rsid w:val="00361425"/>
    <w:rsid w:val="003616EF"/>
    <w:rsid w:val="00361728"/>
    <w:rsid w:val="00361A10"/>
    <w:rsid w:val="00361A37"/>
    <w:rsid w:val="00361A75"/>
    <w:rsid w:val="00361ADB"/>
    <w:rsid w:val="003629D1"/>
    <w:rsid w:val="00362F65"/>
    <w:rsid w:val="003631AD"/>
    <w:rsid w:val="003631E4"/>
    <w:rsid w:val="003632DA"/>
    <w:rsid w:val="00363CFA"/>
    <w:rsid w:val="00363D71"/>
    <w:rsid w:val="00364304"/>
    <w:rsid w:val="003643C7"/>
    <w:rsid w:val="00364536"/>
    <w:rsid w:val="00364774"/>
    <w:rsid w:val="00364785"/>
    <w:rsid w:val="003649DC"/>
    <w:rsid w:val="00364DB0"/>
    <w:rsid w:val="003656E2"/>
    <w:rsid w:val="00365CA7"/>
    <w:rsid w:val="00366661"/>
    <w:rsid w:val="00366695"/>
    <w:rsid w:val="0036675B"/>
    <w:rsid w:val="0036677C"/>
    <w:rsid w:val="003669B6"/>
    <w:rsid w:val="00367019"/>
    <w:rsid w:val="003672E4"/>
    <w:rsid w:val="00367371"/>
    <w:rsid w:val="00367A3C"/>
    <w:rsid w:val="003700D2"/>
    <w:rsid w:val="003701A8"/>
    <w:rsid w:val="003701F1"/>
    <w:rsid w:val="0037036A"/>
    <w:rsid w:val="003704D2"/>
    <w:rsid w:val="00370522"/>
    <w:rsid w:val="003706F6"/>
    <w:rsid w:val="003708BA"/>
    <w:rsid w:val="003709C5"/>
    <w:rsid w:val="00370B40"/>
    <w:rsid w:val="00370E5E"/>
    <w:rsid w:val="0037126E"/>
    <w:rsid w:val="0037136B"/>
    <w:rsid w:val="00371540"/>
    <w:rsid w:val="00371B64"/>
    <w:rsid w:val="003722AE"/>
    <w:rsid w:val="003723FF"/>
    <w:rsid w:val="0037256D"/>
    <w:rsid w:val="00372833"/>
    <w:rsid w:val="00372914"/>
    <w:rsid w:val="00372AB5"/>
    <w:rsid w:val="00372D56"/>
    <w:rsid w:val="00372E02"/>
    <w:rsid w:val="00372E4A"/>
    <w:rsid w:val="00373127"/>
    <w:rsid w:val="0037346E"/>
    <w:rsid w:val="00373635"/>
    <w:rsid w:val="003737C7"/>
    <w:rsid w:val="0037389A"/>
    <w:rsid w:val="00373A46"/>
    <w:rsid w:val="00373D4C"/>
    <w:rsid w:val="0037406E"/>
    <w:rsid w:val="00374171"/>
    <w:rsid w:val="0037453C"/>
    <w:rsid w:val="00374594"/>
    <w:rsid w:val="003745E4"/>
    <w:rsid w:val="00374C55"/>
    <w:rsid w:val="00374D84"/>
    <w:rsid w:val="00374ED9"/>
    <w:rsid w:val="00375034"/>
    <w:rsid w:val="0037528C"/>
    <w:rsid w:val="00375457"/>
    <w:rsid w:val="003754E5"/>
    <w:rsid w:val="003755A6"/>
    <w:rsid w:val="003756BD"/>
    <w:rsid w:val="00375A1B"/>
    <w:rsid w:val="00375B8A"/>
    <w:rsid w:val="00375DAC"/>
    <w:rsid w:val="0037624E"/>
    <w:rsid w:val="003762C1"/>
    <w:rsid w:val="00376427"/>
    <w:rsid w:val="0037653F"/>
    <w:rsid w:val="003765E4"/>
    <w:rsid w:val="00376927"/>
    <w:rsid w:val="00376977"/>
    <w:rsid w:val="00376C82"/>
    <w:rsid w:val="00376CF0"/>
    <w:rsid w:val="00377770"/>
    <w:rsid w:val="003779BC"/>
    <w:rsid w:val="00377B4C"/>
    <w:rsid w:val="00377C02"/>
    <w:rsid w:val="00380156"/>
    <w:rsid w:val="00380216"/>
    <w:rsid w:val="003803CB"/>
    <w:rsid w:val="003806FC"/>
    <w:rsid w:val="0038076E"/>
    <w:rsid w:val="00380824"/>
    <w:rsid w:val="003809B6"/>
    <w:rsid w:val="00380B49"/>
    <w:rsid w:val="00381040"/>
    <w:rsid w:val="0038137B"/>
    <w:rsid w:val="00381417"/>
    <w:rsid w:val="00381554"/>
    <w:rsid w:val="003816AB"/>
    <w:rsid w:val="0038199E"/>
    <w:rsid w:val="00381BD9"/>
    <w:rsid w:val="00381CCF"/>
    <w:rsid w:val="00381EE7"/>
    <w:rsid w:val="003820DE"/>
    <w:rsid w:val="00382149"/>
    <w:rsid w:val="0038226A"/>
    <w:rsid w:val="00382731"/>
    <w:rsid w:val="00382A01"/>
    <w:rsid w:val="00383231"/>
    <w:rsid w:val="003833BF"/>
    <w:rsid w:val="003834C3"/>
    <w:rsid w:val="003835D0"/>
    <w:rsid w:val="00383661"/>
    <w:rsid w:val="003837F2"/>
    <w:rsid w:val="00383B5A"/>
    <w:rsid w:val="00383B66"/>
    <w:rsid w:val="00383F59"/>
    <w:rsid w:val="00384223"/>
    <w:rsid w:val="00384294"/>
    <w:rsid w:val="00384496"/>
    <w:rsid w:val="003848B1"/>
    <w:rsid w:val="00384C1C"/>
    <w:rsid w:val="00384D02"/>
    <w:rsid w:val="003850C0"/>
    <w:rsid w:val="003850F4"/>
    <w:rsid w:val="003855FD"/>
    <w:rsid w:val="003858CA"/>
    <w:rsid w:val="00385E24"/>
    <w:rsid w:val="003861EE"/>
    <w:rsid w:val="00386661"/>
    <w:rsid w:val="0038675D"/>
    <w:rsid w:val="00386B9A"/>
    <w:rsid w:val="00386D38"/>
    <w:rsid w:val="00386EAA"/>
    <w:rsid w:val="003870ED"/>
    <w:rsid w:val="003879FA"/>
    <w:rsid w:val="00387B80"/>
    <w:rsid w:val="00387F10"/>
    <w:rsid w:val="00387F64"/>
    <w:rsid w:val="00390884"/>
    <w:rsid w:val="003908BE"/>
    <w:rsid w:val="00390BCC"/>
    <w:rsid w:val="00390E3B"/>
    <w:rsid w:val="00390F17"/>
    <w:rsid w:val="00391080"/>
    <w:rsid w:val="003910AC"/>
    <w:rsid w:val="00391662"/>
    <w:rsid w:val="003917CB"/>
    <w:rsid w:val="003918EF"/>
    <w:rsid w:val="00391A9E"/>
    <w:rsid w:val="00391F02"/>
    <w:rsid w:val="00392029"/>
    <w:rsid w:val="003922DB"/>
    <w:rsid w:val="00392495"/>
    <w:rsid w:val="00393068"/>
    <w:rsid w:val="003930C3"/>
    <w:rsid w:val="003930C6"/>
    <w:rsid w:val="0039345F"/>
    <w:rsid w:val="00393789"/>
    <w:rsid w:val="00393CC6"/>
    <w:rsid w:val="00393E88"/>
    <w:rsid w:val="00393FC1"/>
    <w:rsid w:val="003940A0"/>
    <w:rsid w:val="003943B9"/>
    <w:rsid w:val="003943D9"/>
    <w:rsid w:val="003945C7"/>
    <w:rsid w:val="003947DE"/>
    <w:rsid w:val="00394812"/>
    <w:rsid w:val="00394A2C"/>
    <w:rsid w:val="00395006"/>
    <w:rsid w:val="00395489"/>
    <w:rsid w:val="003954D0"/>
    <w:rsid w:val="003955F3"/>
    <w:rsid w:val="00395925"/>
    <w:rsid w:val="003959A6"/>
    <w:rsid w:val="00395A10"/>
    <w:rsid w:val="00395C7E"/>
    <w:rsid w:val="00396157"/>
    <w:rsid w:val="00396339"/>
    <w:rsid w:val="00396468"/>
    <w:rsid w:val="0039648E"/>
    <w:rsid w:val="0039655E"/>
    <w:rsid w:val="0039658A"/>
    <w:rsid w:val="003966F7"/>
    <w:rsid w:val="00396710"/>
    <w:rsid w:val="0039690C"/>
    <w:rsid w:val="00396BF7"/>
    <w:rsid w:val="00396C53"/>
    <w:rsid w:val="00396D37"/>
    <w:rsid w:val="00396E74"/>
    <w:rsid w:val="00396FAD"/>
    <w:rsid w:val="0039704B"/>
    <w:rsid w:val="00397941"/>
    <w:rsid w:val="003979CB"/>
    <w:rsid w:val="00397B27"/>
    <w:rsid w:val="00397CF4"/>
    <w:rsid w:val="003A067B"/>
    <w:rsid w:val="003A07B0"/>
    <w:rsid w:val="003A126E"/>
    <w:rsid w:val="003A149A"/>
    <w:rsid w:val="003A1D05"/>
    <w:rsid w:val="003A1E94"/>
    <w:rsid w:val="003A1F08"/>
    <w:rsid w:val="003A1FDB"/>
    <w:rsid w:val="003A21E3"/>
    <w:rsid w:val="003A25D2"/>
    <w:rsid w:val="003A27D1"/>
    <w:rsid w:val="003A2860"/>
    <w:rsid w:val="003A2875"/>
    <w:rsid w:val="003A2CC2"/>
    <w:rsid w:val="003A2D6E"/>
    <w:rsid w:val="003A2F94"/>
    <w:rsid w:val="003A32E1"/>
    <w:rsid w:val="003A332B"/>
    <w:rsid w:val="003A3498"/>
    <w:rsid w:val="003A351B"/>
    <w:rsid w:val="003A3AFE"/>
    <w:rsid w:val="003A3B49"/>
    <w:rsid w:val="003A3BC4"/>
    <w:rsid w:val="003A3E27"/>
    <w:rsid w:val="003A3F0E"/>
    <w:rsid w:val="003A40B0"/>
    <w:rsid w:val="003A41BF"/>
    <w:rsid w:val="003A42C9"/>
    <w:rsid w:val="003A433A"/>
    <w:rsid w:val="003A43C0"/>
    <w:rsid w:val="003A43F6"/>
    <w:rsid w:val="003A4DB8"/>
    <w:rsid w:val="003A59DF"/>
    <w:rsid w:val="003A5BCF"/>
    <w:rsid w:val="003A5BD0"/>
    <w:rsid w:val="003A5E1B"/>
    <w:rsid w:val="003A5E7A"/>
    <w:rsid w:val="003A5F0B"/>
    <w:rsid w:val="003A6408"/>
    <w:rsid w:val="003A6E40"/>
    <w:rsid w:val="003A714A"/>
    <w:rsid w:val="003A7239"/>
    <w:rsid w:val="003A7586"/>
    <w:rsid w:val="003A771C"/>
    <w:rsid w:val="003A7BCE"/>
    <w:rsid w:val="003B0014"/>
    <w:rsid w:val="003B03D8"/>
    <w:rsid w:val="003B09B7"/>
    <w:rsid w:val="003B0C3A"/>
    <w:rsid w:val="003B11D7"/>
    <w:rsid w:val="003B14A9"/>
    <w:rsid w:val="003B150C"/>
    <w:rsid w:val="003B1729"/>
    <w:rsid w:val="003B1854"/>
    <w:rsid w:val="003B198F"/>
    <w:rsid w:val="003B1AB5"/>
    <w:rsid w:val="003B1AC1"/>
    <w:rsid w:val="003B1B2B"/>
    <w:rsid w:val="003B1B41"/>
    <w:rsid w:val="003B201C"/>
    <w:rsid w:val="003B2254"/>
    <w:rsid w:val="003B2404"/>
    <w:rsid w:val="003B249E"/>
    <w:rsid w:val="003B2B8E"/>
    <w:rsid w:val="003B2D2A"/>
    <w:rsid w:val="003B3017"/>
    <w:rsid w:val="003B3212"/>
    <w:rsid w:val="003B35FB"/>
    <w:rsid w:val="003B372E"/>
    <w:rsid w:val="003B3AFA"/>
    <w:rsid w:val="003B3BF5"/>
    <w:rsid w:val="003B3FB2"/>
    <w:rsid w:val="003B4461"/>
    <w:rsid w:val="003B4906"/>
    <w:rsid w:val="003B4BAD"/>
    <w:rsid w:val="003B4C34"/>
    <w:rsid w:val="003B4C7F"/>
    <w:rsid w:val="003B4D21"/>
    <w:rsid w:val="003B5EB8"/>
    <w:rsid w:val="003B6840"/>
    <w:rsid w:val="003B6A17"/>
    <w:rsid w:val="003B7036"/>
    <w:rsid w:val="003B71AF"/>
    <w:rsid w:val="003B732E"/>
    <w:rsid w:val="003B733C"/>
    <w:rsid w:val="003B7807"/>
    <w:rsid w:val="003B7CB3"/>
    <w:rsid w:val="003B7D1C"/>
    <w:rsid w:val="003B7D87"/>
    <w:rsid w:val="003C05F2"/>
    <w:rsid w:val="003C09A7"/>
    <w:rsid w:val="003C0A17"/>
    <w:rsid w:val="003C1153"/>
    <w:rsid w:val="003C11A0"/>
    <w:rsid w:val="003C1733"/>
    <w:rsid w:val="003C184D"/>
    <w:rsid w:val="003C1CE1"/>
    <w:rsid w:val="003C1DD8"/>
    <w:rsid w:val="003C1EA5"/>
    <w:rsid w:val="003C1EF6"/>
    <w:rsid w:val="003C1FA5"/>
    <w:rsid w:val="003C2226"/>
    <w:rsid w:val="003C222D"/>
    <w:rsid w:val="003C23E0"/>
    <w:rsid w:val="003C262C"/>
    <w:rsid w:val="003C2759"/>
    <w:rsid w:val="003C2A78"/>
    <w:rsid w:val="003C2B18"/>
    <w:rsid w:val="003C34E1"/>
    <w:rsid w:val="003C35DD"/>
    <w:rsid w:val="003C3A6B"/>
    <w:rsid w:val="003C3B0C"/>
    <w:rsid w:val="003C3F81"/>
    <w:rsid w:val="003C4205"/>
    <w:rsid w:val="003C45BC"/>
    <w:rsid w:val="003C48EA"/>
    <w:rsid w:val="003C499F"/>
    <w:rsid w:val="003C4B9E"/>
    <w:rsid w:val="003C4D5C"/>
    <w:rsid w:val="003C5099"/>
    <w:rsid w:val="003C5A0D"/>
    <w:rsid w:val="003C5A98"/>
    <w:rsid w:val="003C5CAA"/>
    <w:rsid w:val="003C5F3E"/>
    <w:rsid w:val="003C6191"/>
    <w:rsid w:val="003C6358"/>
    <w:rsid w:val="003C65FB"/>
    <w:rsid w:val="003C678A"/>
    <w:rsid w:val="003C6AC7"/>
    <w:rsid w:val="003C6CED"/>
    <w:rsid w:val="003C70BD"/>
    <w:rsid w:val="003C712F"/>
    <w:rsid w:val="003C723B"/>
    <w:rsid w:val="003C7411"/>
    <w:rsid w:val="003C76F2"/>
    <w:rsid w:val="003C77BB"/>
    <w:rsid w:val="003C78D2"/>
    <w:rsid w:val="003C79D6"/>
    <w:rsid w:val="003C7A7A"/>
    <w:rsid w:val="003C7F1A"/>
    <w:rsid w:val="003C7FD2"/>
    <w:rsid w:val="003D0397"/>
    <w:rsid w:val="003D0404"/>
    <w:rsid w:val="003D08AB"/>
    <w:rsid w:val="003D0CB0"/>
    <w:rsid w:val="003D0EFF"/>
    <w:rsid w:val="003D1304"/>
    <w:rsid w:val="003D132A"/>
    <w:rsid w:val="003D1348"/>
    <w:rsid w:val="003D17A6"/>
    <w:rsid w:val="003D1C3C"/>
    <w:rsid w:val="003D1CDD"/>
    <w:rsid w:val="003D22B4"/>
    <w:rsid w:val="003D237A"/>
    <w:rsid w:val="003D2A21"/>
    <w:rsid w:val="003D3353"/>
    <w:rsid w:val="003D361D"/>
    <w:rsid w:val="003D3F0E"/>
    <w:rsid w:val="003D3F69"/>
    <w:rsid w:val="003D3FCA"/>
    <w:rsid w:val="003D48E9"/>
    <w:rsid w:val="003D492A"/>
    <w:rsid w:val="003D54F2"/>
    <w:rsid w:val="003D577A"/>
    <w:rsid w:val="003D583C"/>
    <w:rsid w:val="003D5C4B"/>
    <w:rsid w:val="003D60B7"/>
    <w:rsid w:val="003D623F"/>
    <w:rsid w:val="003D646E"/>
    <w:rsid w:val="003D6629"/>
    <w:rsid w:val="003D6847"/>
    <w:rsid w:val="003D6ED8"/>
    <w:rsid w:val="003D718F"/>
    <w:rsid w:val="003D73FD"/>
    <w:rsid w:val="003D7653"/>
    <w:rsid w:val="003D78D9"/>
    <w:rsid w:val="003D7A85"/>
    <w:rsid w:val="003D7BAD"/>
    <w:rsid w:val="003D7FE3"/>
    <w:rsid w:val="003E00D0"/>
    <w:rsid w:val="003E0126"/>
    <w:rsid w:val="003E0327"/>
    <w:rsid w:val="003E0572"/>
    <w:rsid w:val="003E05AE"/>
    <w:rsid w:val="003E07C4"/>
    <w:rsid w:val="003E0B1A"/>
    <w:rsid w:val="003E0F41"/>
    <w:rsid w:val="003E107C"/>
    <w:rsid w:val="003E11F1"/>
    <w:rsid w:val="003E12F7"/>
    <w:rsid w:val="003E1525"/>
    <w:rsid w:val="003E1542"/>
    <w:rsid w:val="003E1618"/>
    <w:rsid w:val="003E1884"/>
    <w:rsid w:val="003E1890"/>
    <w:rsid w:val="003E1A45"/>
    <w:rsid w:val="003E1B2C"/>
    <w:rsid w:val="003E1C0A"/>
    <w:rsid w:val="003E2189"/>
    <w:rsid w:val="003E252E"/>
    <w:rsid w:val="003E292F"/>
    <w:rsid w:val="003E2CAB"/>
    <w:rsid w:val="003E2DE2"/>
    <w:rsid w:val="003E3B4E"/>
    <w:rsid w:val="003E3C21"/>
    <w:rsid w:val="003E3C37"/>
    <w:rsid w:val="003E3D5B"/>
    <w:rsid w:val="003E3FDA"/>
    <w:rsid w:val="003E480A"/>
    <w:rsid w:val="003E480C"/>
    <w:rsid w:val="003E4E33"/>
    <w:rsid w:val="003E4FCA"/>
    <w:rsid w:val="003E515E"/>
    <w:rsid w:val="003E517B"/>
    <w:rsid w:val="003E57DC"/>
    <w:rsid w:val="003E5975"/>
    <w:rsid w:val="003E5E47"/>
    <w:rsid w:val="003E5E89"/>
    <w:rsid w:val="003E60A8"/>
    <w:rsid w:val="003E6176"/>
    <w:rsid w:val="003E625F"/>
    <w:rsid w:val="003E64F6"/>
    <w:rsid w:val="003E66DE"/>
    <w:rsid w:val="003E6A72"/>
    <w:rsid w:val="003E6B49"/>
    <w:rsid w:val="003E6BE4"/>
    <w:rsid w:val="003E6C82"/>
    <w:rsid w:val="003E72FD"/>
    <w:rsid w:val="003E7841"/>
    <w:rsid w:val="003E7BEA"/>
    <w:rsid w:val="003E7CE3"/>
    <w:rsid w:val="003E7DA4"/>
    <w:rsid w:val="003E7E41"/>
    <w:rsid w:val="003F00E8"/>
    <w:rsid w:val="003F032E"/>
    <w:rsid w:val="003F039B"/>
    <w:rsid w:val="003F03A9"/>
    <w:rsid w:val="003F0445"/>
    <w:rsid w:val="003F0482"/>
    <w:rsid w:val="003F0D41"/>
    <w:rsid w:val="003F1127"/>
    <w:rsid w:val="003F1320"/>
    <w:rsid w:val="003F14D1"/>
    <w:rsid w:val="003F191D"/>
    <w:rsid w:val="003F194E"/>
    <w:rsid w:val="003F1AF6"/>
    <w:rsid w:val="003F1C79"/>
    <w:rsid w:val="003F1DBA"/>
    <w:rsid w:val="003F21F1"/>
    <w:rsid w:val="003F2274"/>
    <w:rsid w:val="003F2396"/>
    <w:rsid w:val="003F24B5"/>
    <w:rsid w:val="003F25E2"/>
    <w:rsid w:val="003F270D"/>
    <w:rsid w:val="003F2BCB"/>
    <w:rsid w:val="003F2FBB"/>
    <w:rsid w:val="003F3166"/>
    <w:rsid w:val="003F3801"/>
    <w:rsid w:val="003F39E4"/>
    <w:rsid w:val="003F3EB6"/>
    <w:rsid w:val="003F3FB8"/>
    <w:rsid w:val="003F4A00"/>
    <w:rsid w:val="003F4B69"/>
    <w:rsid w:val="003F4CF1"/>
    <w:rsid w:val="003F4F4D"/>
    <w:rsid w:val="003F54F0"/>
    <w:rsid w:val="003F5756"/>
    <w:rsid w:val="003F5767"/>
    <w:rsid w:val="003F582D"/>
    <w:rsid w:val="003F5FAD"/>
    <w:rsid w:val="003F6155"/>
    <w:rsid w:val="003F6540"/>
    <w:rsid w:val="003F6EC1"/>
    <w:rsid w:val="003F7553"/>
    <w:rsid w:val="003F7BE3"/>
    <w:rsid w:val="003F7C5F"/>
    <w:rsid w:val="003F7E62"/>
    <w:rsid w:val="00400218"/>
    <w:rsid w:val="00400310"/>
    <w:rsid w:val="00400495"/>
    <w:rsid w:val="004008AC"/>
    <w:rsid w:val="004008C8"/>
    <w:rsid w:val="00400F6E"/>
    <w:rsid w:val="00400F7B"/>
    <w:rsid w:val="00400FC6"/>
    <w:rsid w:val="00401208"/>
    <w:rsid w:val="0040149A"/>
    <w:rsid w:val="00401706"/>
    <w:rsid w:val="004018A3"/>
    <w:rsid w:val="00401B3A"/>
    <w:rsid w:val="00401D1A"/>
    <w:rsid w:val="00401FF8"/>
    <w:rsid w:val="00402059"/>
    <w:rsid w:val="00402131"/>
    <w:rsid w:val="004022D7"/>
    <w:rsid w:val="0040242E"/>
    <w:rsid w:val="004032ED"/>
    <w:rsid w:val="004033B8"/>
    <w:rsid w:val="004034DE"/>
    <w:rsid w:val="00403578"/>
    <w:rsid w:val="004038D0"/>
    <w:rsid w:val="00403DC5"/>
    <w:rsid w:val="00404089"/>
    <w:rsid w:val="00404399"/>
    <w:rsid w:val="00404413"/>
    <w:rsid w:val="00404445"/>
    <w:rsid w:val="00404862"/>
    <w:rsid w:val="0040494E"/>
    <w:rsid w:val="00404A68"/>
    <w:rsid w:val="00404B1A"/>
    <w:rsid w:val="00404CE8"/>
    <w:rsid w:val="00404DA0"/>
    <w:rsid w:val="00404FA9"/>
    <w:rsid w:val="00405169"/>
    <w:rsid w:val="0040550C"/>
    <w:rsid w:val="004056AE"/>
    <w:rsid w:val="004057D2"/>
    <w:rsid w:val="0040593A"/>
    <w:rsid w:val="00405B2E"/>
    <w:rsid w:val="00405B4E"/>
    <w:rsid w:val="004062A7"/>
    <w:rsid w:val="004067D0"/>
    <w:rsid w:val="00406932"/>
    <w:rsid w:val="00406B51"/>
    <w:rsid w:val="00406CFB"/>
    <w:rsid w:val="0040730B"/>
    <w:rsid w:val="0040758A"/>
    <w:rsid w:val="00407595"/>
    <w:rsid w:val="004075F7"/>
    <w:rsid w:val="004078CB"/>
    <w:rsid w:val="00410734"/>
    <w:rsid w:val="00410A53"/>
    <w:rsid w:val="00410CB2"/>
    <w:rsid w:val="00410DE2"/>
    <w:rsid w:val="00410EF9"/>
    <w:rsid w:val="004111CB"/>
    <w:rsid w:val="0041136D"/>
    <w:rsid w:val="00411505"/>
    <w:rsid w:val="00411D53"/>
    <w:rsid w:val="00411DD5"/>
    <w:rsid w:val="0041228A"/>
    <w:rsid w:val="0041229C"/>
    <w:rsid w:val="00412320"/>
    <w:rsid w:val="0041331F"/>
    <w:rsid w:val="004133AA"/>
    <w:rsid w:val="0041356A"/>
    <w:rsid w:val="00413D5A"/>
    <w:rsid w:val="00413DF2"/>
    <w:rsid w:val="00413F01"/>
    <w:rsid w:val="00413FBA"/>
    <w:rsid w:val="00414144"/>
    <w:rsid w:val="004141EF"/>
    <w:rsid w:val="00414262"/>
    <w:rsid w:val="00414B92"/>
    <w:rsid w:val="00414DEA"/>
    <w:rsid w:val="004150FE"/>
    <w:rsid w:val="00415110"/>
    <w:rsid w:val="004151A0"/>
    <w:rsid w:val="004152BB"/>
    <w:rsid w:val="0041534D"/>
    <w:rsid w:val="00415476"/>
    <w:rsid w:val="00415501"/>
    <w:rsid w:val="004156BF"/>
    <w:rsid w:val="0041594B"/>
    <w:rsid w:val="00415974"/>
    <w:rsid w:val="0041597D"/>
    <w:rsid w:val="00415B05"/>
    <w:rsid w:val="00415E9E"/>
    <w:rsid w:val="004160FF"/>
    <w:rsid w:val="0041621C"/>
    <w:rsid w:val="0041644F"/>
    <w:rsid w:val="004164B4"/>
    <w:rsid w:val="004167E6"/>
    <w:rsid w:val="004169A0"/>
    <w:rsid w:val="00416A1E"/>
    <w:rsid w:val="00416AEE"/>
    <w:rsid w:val="00416B37"/>
    <w:rsid w:val="00416CBB"/>
    <w:rsid w:val="004172A2"/>
    <w:rsid w:val="00417899"/>
    <w:rsid w:val="004179B6"/>
    <w:rsid w:val="004179C7"/>
    <w:rsid w:val="00417A86"/>
    <w:rsid w:val="00417F47"/>
    <w:rsid w:val="00420008"/>
    <w:rsid w:val="00420141"/>
    <w:rsid w:val="004202CE"/>
    <w:rsid w:val="004206E4"/>
    <w:rsid w:val="0042078E"/>
    <w:rsid w:val="00420A51"/>
    <w:rsid w:val="00420D2B"/>
    <w:rsid w:val="00420E71"/>
    <w:rsid w:val="00420FCA"/>
    <w:rsid w:val="004212A7"/>
    <w:rsid w:val="0042130D"/>
    <w:rsid w:val="00421A20"/>
    <w:rsid w:val="00421ADA"/>
    <w:rsid w:val="00421B40"/>
    <w:rsid w:val="00421D1F"/>
    <w:rsid w:val="00421D95"/>
    <w:rsid w:val="00422419"/>
    <w:rsid w:val="004229B4"/>
    <w:rsid w:val="00422AD2"/>
    <w:rsid w:val="00422CBF"/>
    <w:rsid w:val="00422F88"/>
    <w:rsid w:val="00423073"/>
    <w:rsid w:val="0042319A"/>
    <w:rsid w:val="004235A3"/>
    <w:rsid w:val="00423C6D"/>
    <w:rsid w:val="00423E3B"/>
    <w:rsid w:val="00423F70"/>
    <w:rsid w:val="00424464"/>
    <w:rsid w:val="00424519"/>
    <w:rsid w:val="00424583"/>
    <w:rsid w:val="004248B4"/>
    <w:rsid w:val="00424C21"/>
    <w:rsid w:val="00424C48"/>
    <w:rsid w:val="00424EED"/>
    <w:rsid w:val="004251BE"/>
    <w:rsid w:val="00425571"/>
    <w:rsid w:val="004258A0"/>
    <w:rsid w:val="004258E7"/>
    <w:rsid w:val="00425B8A"/>
    <w:rsid w:val="00425FC8"/>
    <w:rsid w:val="0042631B"/>
    <w:rsid w:val="004264F1"/>
    <w:rsid w:val="00426575"/>
    <w:rsid w:val="00426693"/>
    <w:rsid w:val="00426AC4"/>
    <w:rsid w:val="00426F71"/>
    <w:rsid w:val="004270BF"/>
    <w:rsid w:val="00427374"/>
    <w:rsid w:val="00427683"/>
    <w:rsid w:val="00427BF6"/>
    <w:rsid w:val="00427D0A"/>
    <w:rsid w:val="0043008A"/>
    <w:rsid w:val="004305A6"/>
    <w:rsid w:val="00430666"/>
    <w:rsid w:val="0043078F"/>
    <w:rsid w:val="004308C8"/>
    <w:rsid w:val="00430913"/>
    <w:rsid w:val="004309E3"/>
    <w:rsid w:val="00430BDA"/>
    <w:rsid w:val="00430D20"/>
    <w:rsid w:val="00430D2E"/>
    <w:rsid w:val="00430E29"/>
    <w:rsid w:val="00430FBC"/>
    <w:rsid w:val="00431034"/>
    <w:rsid w:val="004312ED"/>
    <w:rsid w:val="004316CA"/>
    <w:rsid w:val="004317A2"/>
    <w:rsid w:val="00431E7A"/>
    <w:rsid w:val="00431EAA"/>
    <w:rsid w:val="00431FBC"/>
    <w:rsid w:val="00432029"/>
    <w:rsid w:val="0043204C"/>
    <w:rsid w:val="0043238D"/>
    <w:rsid w:val="004335DC"/>
    <w:rsid w:val="00433744"/>
    <w:rsid w:val="00433805"/>
    <w:rsid w:val="00433AE0"/>
    <w:rsid w:val="00433CC5"/>
    <w:rsid w:val="00433CFB"/>
    <w:rsid w:val="00433F0E"/>
    <w:rsid w:val="0043410E"/>
    <w:rsid w:val="0043429B"/>
    <w:rsid w:val="004345CE"/>
    <w:rsid w:val="0043493B"/>
    <w:rsid w:val="00434CFB"/>
    <w:rsid w:val="00435685"/>
    <w:rsid w:val="004356D5"/>
    <w:rsid w:val="004359E5"/>
    <w:rsid w:val="00435A1B"/>
    <w:rsid w:val="00435BD3"/>
    <w:rsid w:val="00435D5B"/>
    <w:rsid w:val="00435DC2"/>
    <w:rsid w:val="00436050"/>
    <w:rsid w:val="00436073"/>
    <w:rsid w:val="00436178"/>
    <w:rsid w:val="004368F4"/>
    <w:rsid w:val="00436924"/>
    <w:rsid w:val="00436A62"/>
    <w:rsid w:val="00436C85"/>
    <w:rsid w:val="00436CA0"/>
    <w:rsid w:val="00437400"/>
    <w:rsid w:val="004378A7"/>
    <w:rsid w:val="004378B9"/>
    <w:rsid w:val="00437C84"/>
    <w:rsid w:val="004400DC"/>
    <w:rsid w:val="00440150"/>
    <w:rsid w:val="0044024B"/>
    <w:rsid w:val="0044088E"/>
    <w:rsid w:val="00440A5D"/>
    <w:rsid w:val="00440F16"/>
    <w:rsid w:val="004410A2"/>
    <w:rsid w:val="00441111"/>
    <w:rsid w:val="00441312"/>
    <w:rsid w:val="0044164B"/>
    <w:rsid w:val="00441ADC"/>
    <w:rsid w:val="004429D5"/>
    <w:rsid w:val="00442B3D"/>
    <w:rsid w:val="004430B5"/>
    <w:rsid w:val="00443605"/>
    <w:rsid w:val="00443867"/>
    <w:rsid w:val="00443884"/>
    <w:rsid w:val="00443892"/>
    <w:rsid w:val="00443B72"/>
    <w:rsid w:val="00443DBB"/>
    <w:rsid w:val="00443F48"/>
    <w:rsid w:val="004442D0"/>
    <w:rsid w:val="004445A2"/>
    <w:rsid w:val="0044488D"/>
    <w:rsid w:val="004448A2"/>
    <w:rsid w:val="00444B66"/>
    <w:rsid w:val="00444CD6"/>
    <w:rsid w:val="00444F5A"/>
    <w:rsid w:val="00445504"/>
    <w:rsid w:val="00445580"/>
    <w:rsid w:val="00445812"/>
    <w:rsid w:val="00445CFD"/>
    <w:rsid w:val="00445DFD"/>
    <w:rsid w:val="00446102"/>
    <w:rsid w:val="00446132"/>
    <w:rsid w:val="004461B1"/>
    <w:rsid w:val="0044639F"/>
    <w:rsid w:val="00446472"/>
    <w:rsid w:val="00446574"/>
    <w:rsid w:val="00446771"/>
    <w:rsid w:val="00446848"/>
    <w:rsid w:val="00446853"/>
    <w:rsid w:val="0044699F"/>
    <w:rsid w:val="00446A68"/>
    <w:rsid w:val="00446CFF"/>
    <w:rsid w:val="00446DB2"/>
    <w:rsid w:val="0044761D"/>
    <w:rsid w:val="00447B3D"/>
    <w:rsid w:val="00447D65"/>
    <w:rsid w:val="00450199"/>
    <w:rsid w:val="004503DD"/>
    <w:rsid w:val="004506D9"/>
    <w:rsid w:val="00450A19"/>
    <w:rsid w:val="0045150D"/>
    <w:rsid w:val="00451B40"/>
    <w:rsid w:val="00451C62"/>
    <w:rsid w:val="00451CC0"/>
    <w:rsid w:val="00451E44"/>
    <w:rsid w:val="004522E6"/>
    <w:rsid w:val="0045250D"/>
    <w:rsid w:val="00452B06"/>
    <w:rsid w:val="00452FC8"/>
    <w:rsid w:val="004532EB"/>
    <w:rsid w:val="00453623"/>
    <w:rsid w:val="00453BE2"/>
    <w:rsid w:val="00453C7C"/>
    <w:rsid w:val="004543B1"/>
    <w:rsid w:val="00454695"/>
    <w:rsid w:val="004546EF"/>
    <w:rsid w:val="00454953"/>
    <w:rsid w:val="00454B01"/>
    <w:rsid w:val="00454F98"/>
    <w:rsid w:val="00455621"/>
    <w:rsid w:val="004556DF"/>
    <w:rsid w:val="0045574F"/>
    <w:rsid w:val="0045595E"/>
    <w:rsid w:val="004559F3"/>
    <w:rsid w:val="00455A10"/>
    <w:rsid w:val="00455AF6"/>
    <w:rsid w:val="00455F03"/>
    <w:rsid w:val="00456666"/>
    <w:rsid w:val="00456693"/>
    <w:rsid w:val="0045694B"/>
    <w:rsid w:val="00456B8A"/>
    <w:rsid w:val="00456BAF"/>
    <w:rsid w:val="0045754B"/>
    <w:rsid w:val="00457874"/>
    <w:rsid w:val="00457BA0"/>
    <w:rsid w:val="00457BEC"/>
    <w:rsid w:val="00457E47"/>
    <w:rsid w:val="00460432"/>
    <w:rsid w:val="004608E1"/>
    <w:rsid w:val="00460DB4"/>
    <w:rsid w:val="004610AF"/>
    <w:rsid w:val="004610F4"/>
    <w:rsid w:val="00461261"/>
    <w:rsid w:val="004612D8"/>
    <w:rsid w:val="0046138E"/>
    <w:rsid w:val="004613AF"/>
    <w:rsid w:val="0046171D"/>
    <w:rsid w:val="004617C1"/>
    <w:rsid w:val="00461825"/>
    <w:rsid w:val="004618B9"/>
    <w:rsid w:val="00461DFC"/>
    <w:rsid w:val="004623E0"/>
    <w:rsid w:val="00462413"/>
    <w:rsid w:val="004625B9"/>
    <w:rsid w:val="004626BA"/>
    <w:rsid w:val="004627AC"/>
    <w:rsid w:val="00462838"/>
    <w:rsid w:val="00462915"/>
    <w:rsid w:val="00462984"/>
    <w:rsid w:val="004629A3"/>
    <w:rsid w:val="0046309C"/>
    <w:rsid w:val="004633D7"/>
    <w:rsid w:val="004633FB"/>
    <w:rsid w:val="00463818"/>
    <w:rsid w:val="00463836"/>
    <w:rsid w:val="00463B7A"/>
    <w:rsid w:val="0046405B"/>
    <w:rsid w:val="004640F2"/>
    <w:rsid w:val="0046412A"/>
    <w:rsid w:val="0046421C"/>
    <w:rsid w:val="004645E1"/>
    <w:rsid w:val="00464738"/>
    <w:rsid w:val="00464ABD"/>
    <w:rsid w:val="00464D3D"/>
    <w:rsid w:val="00464E42"/>
    <w:rsid w:val="0046518F"/>
    <w:rsid w:val="004652DB"/>
    <w:rsid w:val="004654C9"/>
    <w:rsid w:val="0046557D"/>
    <w:rsid w:val="0046583D"/>
    <w:rsid w:val="00465858"/>
    <w:rsid w:val="00465A03"/>
    <w:rsid w:val="00465A98"/>
    <w:rsid w:val="00465C2A"/>
    <w:rsid w:val="00465E90"/>
    <w:rsid w:val="00466002"/>
    <w:rsid w:val="0046605C"/>
    <w:rsid w:val="0046639E"/>
    <w:rsid w:val="0046650B"/>
    <w:rsid w:val="00466A72"/>
    <w:rsid w:val="00466C24"/>
    <w:rsid w:val="00466F3D"/>
    <w:rsid w:val="00466F7E"/>
    <w:rsid w:val="00466F84"/>
    <w:rsid w:val="004672FD"/>
    <w:rsid w:val="00467539"/>
    <w:rsid w:val="0046760A"/>
    <w:rsid w:val="00467683"/>
    <w:rsid w:val="004677FB"/>
    <w:rsid w:val="004678D3"/>
    <w:rsid w:val="00467EEF"/>
    <w:rsid w:val="004703CE"/>
    <w:rsid w:val="00470686"/>
    <w:rsid w:val="00470895"/>
    <w:rsid w:val="004708F8"/>
    <w:rsid w:val="00470D4E"/>
    <w:rsid w:val="00470E72"/>
    <w:rsid w:val="00470FD0"/>
    <w:rsid w:val="004710E6"/>
    <w:rsid w:val="004712E7"/>
    <w:rsid w:val="00471577"/>
    <w:rsid w:val="00471621"/>
    <w:rsid w:val="00471AC0"/>
    <w:rsid w:val="00471CFC"/>
    <w:rsid w:val="00471F5C"/>
    <w:rsid w:val="00471F5E"/>
    <w:rsid w:val="00472224"/>
    <w:rsid w:val="004727A9"/>
    <w:rsid w:val="00472B27"/>
    <w:rsid w:val="00472E0E"/>
    <w:rsid w:val="004730F7"/>
    <w:rsid w:val="0047318B"/>
    <w:rsid w:val="00473534"/>
    <w:rsid w:val="00473558"/>
    <w:rsid w:val="004736FA"/>
    <w:rsid w:val="00473A95"/>
    <w:rsid w:val="00473AFF"/>
    <w:rsid w:val="00473FB1"/>
    <w:rsid w:val="00473FC7"/>
    <w:rsid w:val="004744F2"/>
    <w:rsid w:val="00474A29"/>
    <w:rsid w:val="00474B85"/>
    <w:rsid w:val="00474D2E"/>
    <w:rsid w:val="00474D68"/>
    <w:rsid w:val="0047512E"/>
    <w:rsid w:val="004752C7"/>
    <w:rsid w:val="004752DC"/>
    <w:rsid w:val="00475C07"/>
    <w:rsid w:val="00475DF3"/>
    <w:rsid w:val="00475FF4"/>
    <w:rsid w:val="0047646A"/>
    <w:rsid w:val="00476574"/>
    <w:rsid w:val="004770A3"/>
    <w:rsid w:val="00477111"/>
    <w:rsid w:val="004774E9"/>
    <w:rsid w:val="004774F8"/>
    <w:rsid w:val="004777DF"/>
    <w:rsid w:val="004777F7"/>
    <w:rsid w:val="00477911"/>
    <w:rsid w:val="004779C5"/>
    <w:rsid w:val="004779F7"/>
    <w:rsid w:val="00477A53"/>
    <w:rsid w:val="00477D23"/>
    <w:rsid w:val="00477D80"/>
    <w:rsid w:val="00477D82"/>
    <w:rsid w:val="00477E49"/>
    <w:rsid w:val="00480098"/>
    <w:rsid w:val="004805F8"/>
    <w:rsid w:val="00480711"/>
    <w:rsid w:val="00480B7B"/>
    <w:rsid w:val="00480DC7"/>
    <w:rsid w:val="004814C4"/>
    <w:rsid w:val="004815AC"/>
    <w:rsid w:val="004818EE"/>
    <w:rsid w:val="00481DEF"/>
    <w:rsid w:val="00481F31"/>
    <w:rsid w:val="00482403"/>
    <w:rsid w:val="0048255D"/>
    <w:rsid w:val="00482976"/>
    <w:rsid w:val="00482B15"/>
    <w:rsid w:val="00482F43"/>
    <w:rsid w:val="004830A7"/>
    <w:rsid w:val="004832D2"/>
    <w:rsid w:val="00483539"/>
    <w:rsid w:val="0048361C"/>
    <w:rsid w:val="00484087"/>
    <w:rsid w:val="0048425B"/>
    <w:rsid w:val="00484469"/>
    <w:rsid w:val="0048473A"/>
    <w:rsid w:val="00485049"/>
    <w:rsid w:val="00485181"/>
    <w:rsid w:val="00485388"/>
    <w:rsid w:val="0048549B"/>
    <w:rsid w:val="00485852"/>
    <w:rsid w:val="00485E69"/>
    <w:rsid w:val="00485F6D"/>
    <w:rsid w:val="00485FAF"/>
    <w:rsid w:val="00486125"/>
    <w:rsid w:val="004862D3"/>
    <w:rsid w:val="004863A6"/>
    <w:rsid w:val="0048659C"/>
    <w:rsid w:val="00486837"/>
    <w:rsid w:val="004871E6"/>
    <w:rsid w:val="004878AD"/>
    <w:rsid w:val="004879D0"/>
    <w:rsid w:val="00487CA9"/>
    <w:rsid w:val="00487CCE"/>
    <w:rsid w:val="00487D1A"/>
    <w:rsid w:val="00487F48"/>
    <w:rsid w:val="0049002B"/>
    <w:rsid w:val="004900C9"/>
    <w:rsid w:val="0049039B"/>
    <w:rsid w:val="004903FA"/>
    <w:rsid w:val="00490513"/>
    <w:rsid w:val="00490719"/>
    <w:rsid w:val="00490A0A"/>
    <w:rsid w:val="00490A0D"/>
    <w:rsid w:val="0049102B"/>
    <w:rsid w:val="0049110B"/>
    <w:rsid w:val="00491454"/>
    <w:rsid w:val="00491522"/>
    <w:rsid w:val="00491749"/>
    <w:rsid w:val="00491A23"/>
    <w:rsid w:val="00491B4F"/>
    <w:rsid w:val="004921CE"/>
    <w:rsid w:val="00492426"/>
    <w:rsid w:val="00492431"/>
    <w:rsid w:val="00492570"/>
    <w:rsid w:val="0049296E"/>
    <w:rsid w:val="00492A84"/>
    <w:rsid w:val="00492AB0"/>
    <w:rsid w:val="00492B0E"/>
    <w:rsid w:val="00492C4A"/>
    <w:rsid w:val="00492FBF"/>
    <w:rsid w:val="004930A9"/>
    <w:rsid w:val="0049310B"/>
    <w:rsid w:val="004932DC"/>
    <w:rsid w:val="004933E4"/>
    <w:rsid w:val="004934AA"/>
    <w:rsid w:val="00493594"/>
    <w:rsid w:val="004936C6"/>
    <w:rsid w:val="004939AE"/>
    <w:rsid w:val="00493B79"/>
    <w:rsid w:val="0049411B"/>
    <w:rsid w:val="00494155"/>
    <w:rsid w:val="0049443C"/>
    <w:rsid w:val="0049447C"/>
    <w:rsid w:val="00494768"/>
    <w:rsid w:val="00494C38"/>
    <w:rsid w:val="00494D07"/>
    <w:rsid w:val="00494D7E"/>
    <w:rsid w:val="00494E58"/>
    <w:rsid w:val="004952B8"/>
    <w:rsid w:val="00495997"/>
    <w:rsid w:val="00495ADC"/>
    <w:rsid w:val="00495B98"/>
    <w:rsid w:val="00495DE4"/>
    <w:rsid w:val="00496046"/>
    <w:rsid w:val="00496897"/>
    <w:rsid w:val="004969BE"/>
    <w:rsid w:val="004969C3"/>
    <w:rsid w:val="004969F2"/>
    <w:rsid w:val="00496D49"/>
    <w:rsid w:val="00496D97"/>
    <w:rsid w:val="00496DFA"/>
    <w:rsid w:val="00496EC0"/>
    <w:rsid w:val="0049755B"/>
    <w:rsid w:val="004976B8"/>
    <w:rsid w:val="00497B9A"/>
    <w:rsid w:val="00497CE9"/>
    <w:rsid w:val="00497D38"/>
    <w:rsid w:val="00497D81"/>
    <w:rsid w:val="004A0304"/>
    <w:rsid w:val="004A0754"/>
    <w:rsid w:val="004A0CB4"/>
    <w:rsid w:val="004A0CE2"/>
    <w:rsid w:val="004A10A7"/>
    <w:rsid w:val="004A10B9"/>
    <w:rsid w:val="004A1131"/>
    <w:rsid w:val="004A1148"/>
    <w:rsid w:val="004A14D8"/>
    <w:rsid w:val="004A1509"/>
    <w:rsid w:val="004A173F"/>
    <w:rsid w:val="004A19B2"/>
    <w:rsid w:val="004A1B44"/>
    <w:rsid w:val="004A1DDC"/>
    <w:rsid w:val="004A21CC"/>
    <w:rsid w:val="004A2325"/>
    <w:rsid w:val="004A2615"/>
    <w:rsid w:val="004A286F"/>
    <w:rsid w:val="004A328F"/>
    <w:rsid w:val="004A3417"/>
    <w:rsid w:val="004A3C46"/>
    <w:rsid w:val="004A3DA1"/>
    <w:rsid w:val="004A3EDC"/>
    <w:rsid w:val="004A404F"/>
    <w:rsid w:val="004A40DC"/>
    <w:rsid w:val="004A4229"/>
    <w:rsid w:val="004A424A"/>
    <w:rsid w:val="004A4302"/>
    <w:rsid w:val="004A452B"/>
    <w:rsid w:val="004A45BC"/>
    <w:rsid w:val="004A4B73"/>
    <w:rsid w:val="004A4D97"/>
    <w:rsid w:val="004A4FBD"/>
    <w:rsid w:val="004A5644"/>
    <w:rsid w:val="004A5758"/>
    <w:rsid w:val="004A5818"/>
    <w:rsid w:val="004A5837"/>
    <w:rsid w:val="004A59A6"/>
    <w:rsid w:val="004A5A4C"/>
    <w:rsid w:val="004A5FF1"/>
    <w:rsid w:val="004A613C"/>
    <w:rsid w:val="004A6163"/>
    <w:rsid w:val="004A619A"/>
    <w:rsid w:val="004A632B"/>
    <w:rsid w:val="004A67C6"/>
    <w:rsid w:val="004A6832"/>
    <w:rsid w:val="004A6870"/>
    <w:rsid w:val="004A6889"/>
    <w:rsid w:val="004A6916"/>
    <w:rsid w:val="004A6B62"/>
    <w:rsid w:val="004A6EF3"/>
    <w:rsid w:val="004A73D3"/>
    <w:rsid w:val="004A798B"/>
    <w:rsid w:val="004B04F7"/>
    <w:rsid w:val="004B0632"/>
    <w:rsid w:val="004B06A0"/>
    <w:rsid w:val="004B079E"/>
    <w:rsid w:val="004B084B"/>
    <w:rsid w:val="004B0967"/>
    <w:rsid w:val="004B0BDC"/>
    <w:rsid w:val="004B0C57"/>
    <w:rsid w:val="004B0C95"/>
    <w:rsid w:val="004B0E36"/>
    <w:rsid w:val="004B0FDB"/>
    <w:rsid w:val="004B103E"/>
    <w:rsid w:val="004B141E"/>
    <w:rsid w:val="004B158D"/>
    <w:rsid w:val="004B18D4"/>
    <w:rsid w:val="004B1BC3"/>
    <w:rsid w:val="004B1D9A"/>
    <w:rsid w:val="004B2609"/>
    <w:rsid w:val="004B29B3"/>
    <w:rsid w:val="004B3124"/>
    <w:rsid w:val="004B3309"/>
    <w:rsid w:val="004B3467"/>
    <w:rsid w:val="004B346E"/>
    <w:rsid w:val="004B3A21"/>
    <w:rsid w:val="004B3D6A"/>
    <w:rsid w:val="004B41E7"/>
    <w:rsid w:val="004B440D"/>
    <w:rsid w:val="004B469C"/>
    <w:rsid w:val="004B4960"/>
    <w:rsid w:val="004B4A3E"/>
    <w:rsid w:val="004B4BBC"/>
    <w:rsid w:val="004B4EC1"/>
    <w:rsid w:val="004B4F89"/>
    <w:rsid w:val="004B52A6"/>
    <w:rsid w:val="004B5402"/>
    <w:rsid w:val="004B57D1"/>
    <w:rsid w:val="004B5FC8"/>
    <w:rsid w:val="004B6020"/>
    <w:rsid w:val="004B613A"/>
    <w:rsid w:val="004B6155"/>
    <w:rsid w:val="004B6182"/>
    <w:rsid w:val="004B694A"/>
    <w:rsid w:val="004B6BBC"/>
    <w:rsid w:val="004B6D63"/>
    <w:rsid w:val="004B6D7C"/>
    <w:rsid w:val="004B6F4B"/>
    <w:rsid w:val="004B6F5D"/>
    <w:rsid w:val="004B7157"/>
    <w:rsid w:val="004B7250"/>
    <w:rsid w:val="004B7595"/>
    <w:rsid w:val="004B7626"/>
    <w:rsid w:val="004B7777"/>
    <w:rsid w:val="004B7B02"/>
    <w:rsid w:val="004B7B3C"/>
    <w:rsid w:val="004B7C58"/>
    <w:rsid w:val="004B7EFF"/>
    <w:rsid w:val="004B7FA7"/>
    <w:rsid w:val="004C000E"/>
    <w:rsid w:val="004C0292"/>
    <w:rsid w:val="004C04DF"/>
    <w:rsid w:val="004C061A"/>
    <w:rsid w:val="004C0646"/>
    <w:rsid w:val="004C0768"/>
    <w:rsid w:val="004C0997"/>
    <w:rsid w:val="004C0A36"/>
    <w:rsid w:val="004C0FEE"/>
    <w:rsid w:val="004C1765"/>
    <w:rsid w:val="004C195D"/>
    <w:rsid w:val="004C1B0B"/>
    <w:rsid w:val="004C1B4C"/>
    <w:rsid w:val="004C1BBA"/>
    <w:rsid w:val="004C1CD0"/>
    <w:rsid w:val="004C2293"/>
    <w:rsid w:val="004C24B0"/>
    <w:rsid w:val="004C2C14"/>
    <w:rsid w:val="004C30C7"/>
    <w:rsid w:val="004C34C7"/>
    <w:rsid w:val="004C3786"/>
    <w:rsid w:val="004C37D1"/>
    <w:rsid w:val="004C3823"/>
    <w:rsid w:val="004C3A6C"/>
    <w:rsid w:val="004C469D"/>
    <w:rsid w:val="004C4716"/>
    <w:rsid w:val="004C4EE3"/>
    <w:rsid w:val="004C50A7"/>
    <w:rsid w:val="004C5468"/>
    <w:rsid w:val="004C5554"/>
    <w:rsid w:val="004C56BC"/>
    <w:rsid w:val="004C58FD"/>
    <w:rsid w:val="004C5F8C"/>
    <w:rsid w:val="004C5FB5"/>
    <w:rsid w:val="004C5FE6"/>
    <w:rsid w:val="004C61DF"/>
    <w:rsid w:val="004C676E"/>
    <w:rsid w:val="004C677B"/>
    <w:rsid w:val="004C686C"/>
    <w:rsid w:val="004C68E0"/>
    <w:rsid w:val="004C6918"/>
    <w:rsid w:val="004C6A4A"/>
    <w:rsid w:val="004C6B9A"/>
    <w:rsid w:val="004C7970"/>
    <w:rsid w:val="004C7CAB"/>
    <w:rsid w:val="004C7E14"/>
    <w:rsid w:val="004C7FFD"/>
    <w:rsid w:val="004D04FD"/>
    <w:rsid w:val="004D0778"/>
    <w:rsid w:val="004D08F9"/>
    <w:rsid w:val="004D0C13"/>
    <w:rsid w:val="004D0C62"/>
    <w:rsid w:val="004D0CF6"/>
    <w:rsid w:val="004D0E7F"/>
    <w:rsid w:val="004D14AF"/>
    <w:rsid w:val="004D160E"/>
    <w:rsid w:val="004D19CF"/>
    <w:rsid w:val="004D1BE7"/>
    <w:rsid w:val="004D2235"/>
    <w:rsid w:val="004D2475"/>
    <w:rsid w:val="004D28DB"/>
    <w:rsid w:val="004D2AE5"/>
    <w:rsid w:val="004D2BEF"/>
    <w:rsid w:val="004D3064"/>
    <w:rsid w:val="004D30AF"/>
    <w:rsid w:val="004D32C4"/>
    <w:rsid w:val="004D378F"/>
    <w:rsid w:val="004D3FDA"/>
    <w:rsid w:val="004D4169"/>
    <w:rsid w:val="004D463A"/>
    <w:rsid w:val="004D4833"/>
    <w:rsid w:val="004D48BE"/>
    <w:rsid w:val="004D4ADC"/>
    <w:rsid w:val="004D4B8D"/>
    <w:rsid w:val="004D4DAE"/>
    <w:rsid w:val="004D4EDF"/>
    <w:rsid w:val="004D50DE"/>
    <w:rsid w:val="004D57B1"/>
    <w:rsid w:val="004D5891"/>
    <w:rsid w:val="004D5A90"/>
    <w:rsid w:val="004D64A1"/>
    <w:rsid w:val="004D64D6"/>
    <w:rsid w:val="004D6551"/>
    <w:rsid w:val="004D6934"/>
    <w:rsid w:val="004D6983"/>
    <w:rsid w:val="004D6A7F"/>
    <w:rsid w:val="004D6C7E"/>
    <w:rsid w:val="004D6C94"/>
    <w:rsid w:val="004D6E80"/>
    <w:rsid w:val="004D7140"/>
    <w:rsid w:val="004D72F5"/>
    <w:rsid w:val="004D73B7"/>
    <w:rsid w:val="004D7A61"/>
    <w:rsid w:val="004D7B46"/>
    <w:rsid w:val="004D7C7B"/>
    <w:rsid w:val="004E0037"/>
    <w:rsid w:val="004E0751"/>
    <w:rsid w:val="004E09A8"/>
    <w:rsid w:val="004E0EA2"/>
    <w:rsid w:val="004E11E1"/>
    <w:rsid w:val="004E120E"/>
    <w:rsid w:val="004E1405"/>
    <w:rsid w:val="004E161F"/>
    <w:rsid w:val="004E18C1"/>
    <w:rsid w:val="004E1C96"/>
    <w:rsid w:val="004E1D0B"/>
    <w:rsid w:val="004E1D19"/>
    <w:rsid w:val="004E1EE1"/>
    <w:rsid w:val="004E2285"/>
    <w:rsid w:val="004E244B"/>
    <w:rsid w:val="004E25CD"/>
    <w:rsid w:val="004E26C2"/>
    <w:rsid w:val="004E2A72"/>
    <w:rsid w:val="004E2BEB"/>
    <w:rsid w:val="004E2C77"/>
    <w:rsid w:val="004E2DF9"/>
    <w:rsid w:val="004E3151"/>
    <w:rsid w:val="004E31E6"/>
    <w:rsid w:val="004E320D"/>
    <w:rsid w:val="004E323C"/>
    <w:rsid w:val="004E3527"/>
    <w:rsid w:val="004E397E"/>
    <w:rsid w:val="004E3C2B"/>
    <w:rsid w:val="004E3CF5"/>
    <w:rsid w:val="004E3DA0"/>
    <w:rsid w:val="004E49DA"/>
    <w:rsid w:val="004E4CCA"/>
    <w:rsid w:val="004E4FE9"/>
    <w:rsid w:val="004E50D2"/>
    <w:rsid w:val="004E510D"/>
    <w:rsid w:val="004E534A"/>
    <w:rsid w:val="004E53F1"/>
    <w:rsid w:val="004E5404"/>
    <w:rsid w:val="004E5502"/>
    <w:rsid w:val="004E55D4"/>
    <w:rsid w:val="004E567E"/>
    <w:rsid w:val="004E56DD"/>
    <w:rsid w:val="004E573C"/>
    <w:rsid w:val="004E5D10"/>
    <w:rsid w:val="004E5FBC"/>
    <w:rsid w:val="004E60C5"/>
    <w:rsid w:val="004E60FC"/>
    <w:rsid w:val="004E633A"/>
    <w:rsid w:val="004E661A"/>
    <w:rsid w:val="004E699B"/>
    <w:rsid w:val="004E702F"/>
    <w:rsid w:val="004E7176"/>
    <w:rsid w:val="004E771E"/>
    <w:rsid w:val="004E7978"/>
    <w:rsid w:val="004E7CE3"/>
    <w:rsid w:val="004F0546"/>
    <w:rsid w:val="004F074F"/>
    <w:rsid w:val="004F091F"/>
    <w:rsid w:val="004F0BD3"/>
    <w:rsid w:val="004F0D07"/>
    <w:rsid w:val="004F0FC7"/>
    <w:rsid w:val="004F166B"/>
    <w:rsid w:val="004F17A0"/>
    <w:rsid w:val="004F18DD"/>
    <w:rsid w:val="004F1912"/>
    <w:rsid w:val="004F1DC8"/>
    <w:rsid w:val="004F1F1E"/>
    <w:rsid w:val="004F2226"/>
    <w:rsid w:val="004F224B"/>
    <w:rsid w:val="004F2576"/>
    <w:rsid w:val="004F2758"/>
    <w:rsid w:val="004F2A26"/>
    <w:rsid w:val="004F336E"/>
    <w:rsid w:val="004F33DA"/>
    <w:rsid w:val="004F353C"/>
    <w:rsid w:val="004F3664"/>
    <w:rsid w:val="004F3705"/>
    <w:rsid w:val="004F3774"/>
    <w:rsid w:val="004F39E9"/>
    <w:rsid w:val="004F3CC6"/>
    <w:rsid w:val="004F3F8C"/>
    <w:rsid w:val="004F40E3"/>
    <w:rsid w:val="004F42D0"/>
    <w:rsid w:val="004F43B2"/>
    <w:rsid w:val="004F43C4"/>
    <w:rsid w:val="004F4689"/>
    <w:rsid w:val="004F4703"/>
    <w:rsid w:val="004F489D"/>
    <w:rsid w:val="004F4AFE"/>
    <w:rsid w:val="004F4D31"/>
    <w:rsid w:val="004F53F0"/>
    <w:rsid w:val="004F54CE"/>
    <w:rsid w:val="004F594A"/>
    <w:rsid w:val="004F5C2A"/>
    <w:rsid w:val="004F5C37"/>
    <w:rsid w:val="004F5C4F"/>
    <w:rsid w:val="004F5D9C"/>
    <w:rsid w:val="004F6531"/>
    <w:rsid w:val="004F65C8"/>
    <w:rsid w:val="004F664A"/>
    <w:rsid w:val="004F67E4"/>
    <w:rsid w:val="004F691E"/>
    <w:rsid w:val="004F6B00"/>
    <w:rsid w:val="004F6B28"/>
    <w:rsid w:val="004F71CB"/>
    <w:rsid w:val="004F7564"/>
    <w:rsid w:val="004F7BB8"/>
    <w:rsid w:val="004F7DBE"/>
    <w:rsid w:val="004F7E43"/>
    <w:rsid w:val="004F7E99"/>
    <w:rsid w:val="005000C5"/>
    <w:rsid w:val="005000F7"/>
    <w:rsid w:val="0050018C"/>
    <w:rsid w:val="00500490"/>
    <w:rsid w:val="005004FA"/>
    <w:rsid w:val="005008E4"/>
    <w:rsid w:val="00500CA1"/>
    <w:rsid w:val="00500EBB"/>
    <w:rsid w:val="0050103B"/>
    <w:rsid w:val="0050120B"/>
    <w:rsid w:val="00501327"/>
    <w:rsid w:val="00501A78"/>
    <w:rsid w:val="00501BAE"/>
    <w:rsid w:val="005025AB"/>
    <w:rsid w:val="0050278A"/>
    <w:rsid w:val="00502A34"/>
    <w:rsid w:val="00502AF5"/>
    <w:rsid w:val="00502C97"/>
    <w:rsid w:val="00502D0D"/>
    <w:rsid w:val="00502F16"/>
    <w:rsid w:val="00502F17"/>
    <w:rsid w:val="005030BA"/>
    <w:rsid w:val="005030D6"/>
    <w:rsid w:val="005031F2"/>
    <w:rsid w:val="005032A1"/>
    <w:rsid w:val="00503825"/>
    <w:rsid w:val="00503845"/>
    <w:rsid w:val="00503C94"/>
    <w:rsid w:val="00503D9E"/>
    <w:rsid w:val="0050401E"/>
    <w:rsid w:val="00504032"/>
    <w:rsid w:val="005040FD"/>
    <w:rsid w:val="005043F1"/>
    <w:rsid w:val="00504AFD"/>
    <w:rsid w:val="00504BFF"/>
    <w:rsid w:val="00504C2D"/>
    <w:rsid w:val="00504DA9"/>
    <w:rsid w:val="00504F43"/>
    <w:rsid w:val="00505070"/>
    <w:rsid w:val="005052DF"/>
    <w:rsid w:val="005053A2"/>
    <w:rsid w:val="005053B9"/>
    <w:rsid w:val="00505873"/>
    <w:rsid w:val="00505A54"/>
    <w:rsid w:val="00505F26"/>
    <w:rsid w:val="0050616C"/>
    <w:rsid w:val="0050640A"/>
    <w:rsid w:val="00506623"/>
    <w:rsid w:val="0050668C"/>
    <w:rsid w:val="00506C5F"/>
    <w:rsid w:val="00507027"/>
    <w:rsid w:val="0050732C"/>
    <w:rsid w:val="005073F5"/>
    <w:rsid w:val="005075F8"/>
    <w:rsid w:val="005076F2"/>
    <w:rsid w:val="0050775B"/>
    <w:rsid w:val="00507A45"/>
    <w:rsid w:val="00507A85"/>
    <w:rsid w:val="00507FB3"/>
    <w:rsid w:val="005100C1"/>
    <w:rsid w:val="00510AF5"/>
    <w:rsid w:val="00510F55"/>
    <w:rsid w:val="00510F85"/>
    <w:rsid w:val="00511314"/>
    <w:rsid w:val="00511AA3"/>
    <w:rsid w:val="00511B4C"/>
    <w:rsid w:val="005124E5"/>
    <w:rsid w:val="00512743"/>
    <w:rsid w:val="00512848"/>
    <w:rsid w:val="00512DB3"/>
    <w:rsid w:val="00513457"/>
    <w:rsid w:val="0051366A"/>
    <w:rsid w:val="00513826"/>
    <w:rsid w:val="005139A8"/>
    <w:rsid w:val="00513C47"/>
    <w:rsid w:val="00513DB6"/>
    <w:rsid w:val="00513DDF"/>
    <w:rsid w:val="00513E41"/>
    <w:rsid w:val="00513E59"/>
    <w:rsid w:val="00513FD0"/>
    <w:rsid w:val="005141C9"/>
    <w:rsid w:val="005141EB"/>
    <w:rsid w:val="00514AE3"/>
    <w:rsid w:val="00514E45"/>
    <w:rsid w:val="00514E55"/>
    <w:rsid w:val="00514FD5"/>
    <w:rsid w:val="00515556"/>
    <w:rsid w:val="005155EF"/>
    <w:rsid w:val="00515957"/>
    <w:rsid w:val="00515B00"/>
    <w:rsid w:val="00515C63"/>
    <w:rsid w:val="00515D85"/>
    <w:rsid w:val="00515EEC"/>
    <w:rsid w:val="00515F4D"/>
    <w:rsid w:val="0051656E"/>
    <w:rsid w:val="00516636"/>
    <w:rsid w:val="00516884"/>
    <w:rsid w:val="00516D1A"/>
    <w:rsid w:val="005170A0"/>
    <w:rsid w:val="00517338"/>
    <w:rsid w:val="00517551"/>
    <w:rsid w:val="00517CA9"/>
    <w:rsid w:val="00517D6D"/>
    <w:rsid w:val="005203E3"/>
    <w:rsid w:val="00520882"/>
    <w:rsid w:val="005208D0"/>
    <w:rsid w:val="00520AC3"/>
    <w:rsid w:val="00520D15"/>
    <w:rsid w:val="00520ED3"/>
    <w:rsid w:val="0052140D"/>
    <w:rsid w:val="00521AD0"/>
    <w:rsid w:val="00522089"/>
    <w:rsid w:val="00522223"/>
    <w:rsid w:val="00522481"/>
    <w:rsid w:val="00522808"/>
    <w:rsid w:val="00522810"/>
    <w:rsid w:val="005228F8"/>
    <w:rsid w:val="00522914"/>
    <w:rsid w:val="005229FA"/>
    <w:rsid w:val="00522D15"/>
    <w:rsid w:val="00522D23"/>
    <w:rsid w:val="00522F90"/>
    <w:rsid w:val="005231B6"/>
    <w:rsid w:val="00523740"/>
    <w:rsid w:val="00523987"/>
    <w:rsid w:val="0052418E"/>
    <w:rsid w:val="00524677"/>
    <w:rsid w:val="00524809"/>
    <w:rsid w:val="005248E6"/>
    <w:rsid w:val="00524DD4"/>
    <w:rsid w:val="00524EFB"/>
    <w:rsid w:val="00525055"/>
    <w:rsid w:val="005254C7"/>
    <w:rsid w:val="0052553A"/>
    <w:rsid w:val="00525696"/>
    <w:rsid w:val="00525704"/>
    <w:rsid w:val="00525E7E"/>
    <w:rsid w:val="005260F3"/>
    <w:rsid w:val="00526834"/>
    <w:rsid w:val="00526B62"/>
    <w:rsid w:val="00526E7B"/>
    <w:rsid w:val="0052743D"/>
    <w:rsid w:val="005274E8"/>
    <w:rsid w:val="0052759C"/>
    <w:rsid w:val="0052761A"/>
    <w:rsid w:val="00527684"/>
    <w:rsid w:val="00527F38"/>
    <w:rsid w:val="0053010F"/>
    <w:rsid w:val="00530320"/>
    <w:rsid w:val="0053034F"/>
    <w:rsid w:val="0053038C"/>
    <w:rsid w:val="005304BD"/>
    <w:rsid w:val="00530C79"/>
    <w:rsid w:val="00530DD8"/>
    <w:rsid w:val="00530F50"/>
    <w:rsid w:val="00530F7E"/>
    <w:rsid w:val="00531000"/>
    <w:rsid w:val="0053122A"/>
    <w:rsid w:val="005313E6"/>
    <w:rsid w:val="005314B1"/>
    <w:rsid w:val="0053152C"/>
    <w:rsid w:val="0053174C"/>
    <w:rsid w:val="00531766"/>
    <w:rsid w:val="00531866"/>
    <w:rsid w:val="00531992"/>
    <w:rsid w:val="00531A52"/>
    <w:rsid w:val="00531C83"/>
    <w:rsid w:val="00531D34"/>
    <w:rsid w:val="00532264"/>
    <w:rsid w:val="005327A6"/>
    <w:rsid w:val="0053287E"/>
    <w:rsid w:val="005329CA"/>
    <w:rsid w:val="00533230"/>
    <w:rsid w:val="0053325F"/>
    <w:rsid w:val="00533261"/>
    <w:rsid w:val="005332BE"/>
    <w:rsid w:val="005333B7"/>
    <w:rsid w:val="005333BE"/>
    <w:rsid w:val="0053354A"/>
    <w:rsid w:val="005335A1"/>
    <w:rsid w:val="00533950"/>
    <w:rsid w:val="00533DCA"/>
    <w:rsid w:val="00533F79"/>
    <w:rsid w:val="005341B6"/>
    <w:rsid w:val="00534243"/>
    <w:rsid w:val="00534590"/>
    <w:rsid w:val="0053462D"/>
    <w:rsid w:val="005347E0"/>
    <w:rsid w:val="00534A38"/>
    <w:rsid w:val="00534ADF"/>
    <w:rsid w:val="00534B77"/>
    <w:rsid w:val="005352ED"/>
    <w:rsid w:val="0053560B"/>
    <w:rsid w:val="00535758"/>
    <w:rsid w:val="00535986"/>
    <w:rsid w:val="0053599D"/>
    <w:rsid w:val="00535C3C"/>
    <w:rsid w:val="00535C8E"/>
    <w:rsid w:val="00536093"/>
    <w:rsid w:val="00536118"/>
    <w:rsid w:val="0053641A"/>
    <w:rsid w:val="00536791"/>
    <w:rsid w:val="00536ABA"/>
    <w:rsid w:val="00536D04"/>
    <w:rsid w:val="00536F96"/>
    <w:rsid w:val="005377ED"/>
    <w:rsid w:val="00537D35"/>
    <w:rsid w:val="00537EBC"/>
    <w:rsid w:val="00537ED7"/>
    <w:rsid w:val="00540020"/>
    <w:rsid w:val="005403B9"/>
    <w:rsid w:val="005407AA"/>
    <w:rsid w:val="00540AAD"/>
    <w:rsid w:val="00540BD0"/>
    <w:rsid w:val="00540BDC"/>
    <w:rsid w:val="00541024"/>
    <w:rsid w:val="0054125D"/>
    <w:rsid w:val="005413A7"/>
    <w:rsid w:val="005413CA"/>
    <w:rsid w:val="00541D4E"/>
    <w:rsid w:val="005422F9"/>
    <w:rsid w:val="0054289C"/>
    <w:rsid w:val="00542D26"/>
    <w:rsid w:val="005430FA"/>
    <w:rsid w:val="0054328E"/>
    <w:rsid w:val="00543642"/>
    <w:rsid w:val="00543871"/>
    <w:rsid w:val="005439C0"/>
    <w:rsid w:val="00543B65"/>
    <w:rsid w:val="00543FC0"/>
    <w:rsid w:val="005446B1"/>
    <w:rsid w:val="00544B99"/>
    <w:rsid w:val="00544C34"/>
    <w:rsid w:val="00544C42"/>
    <w:rsid w:val="00544F06"/>
    <w:rsid w:val="005451B6"/>
    <w:rsid w:val="00545A46"/>
    <w:rsid w:val="00545C89"/>
    <w:rsid w:val="00545FD4"/>
    <w:rsid w:val="005460CB"/>
    <w:rsid w:val="005462B4"/>
    <w:rsid w:val="00546A4C"/>
    <w:rsid w:val="00546C2C"/>
    <w:rsid w:val="00546E98"/>
    <w:rsid w:val="0054762E"/>
    <w:rsid w:val="00547798"/>
    <w:rsid w:val="00547985"/>
    <w:rsid w:val="00547B20"/>
    <w:rsid w:val="00547BE2"/>
    <w:rsid w:val="00547C25"/>
    <w:rsid w:val="00547DA7"/>
    <w:rsid w:val="0055002A"/>
    <w:rsid w:val="00550324"/>
    <w:rsid w:val="005503B9"/>
    <w:rsid w:val="005503C9"/>
    <w:rsid w:val="00550C64"/>
    <w:rsid w:val="00550E36"/>
    <w:rsid w:val="005515B8"/>
    <w:rsid w:val="00551684"/>
    <w:rsid w:val="00551838"/>
    <w:rsid w:val="00551E6C"/>
    <w:rsid w:val="00551F30"/>
    <w:rsid w:val="005523C3"/>
    <w:rsid w:val="0055247B"/>
    <w:rsid w:val="005527BD"/>
    <w:rsid w:val="00552854"/>
    <w:rsid w:val="00552B9B"/>
    <w:rsid w:val="005532A9"/>
    <w:rsid w:val="005539A0"/>
    <w:rsid w:val="00553B6C"/>
    <w:rsid w:val="00553E6B"/>
    <w:rsid w:val="00553F01"/>
    <w:rsid w:val="00554111"/>
    <w:rsid w:val="0055522C"/>
    <w:rsid w:val="005554C6"/>
    <w:rsid w:val="005554DF"/>
    <w:rsid w:val="005555E1"/>
    <w:rsid w:val="0055560B"/>
    <w:rsid w:val="00555856"/>
    <w:rsid w:val="0055595C"/>
    <w:rsid w:val="0055595F"/>
    <w:rsid w:val="00555C4C"/>
    <w:rsid w:val="00555D69"/>
    <w:rsid w:val="00556166"/>
    <w:rsid w:val="005561A8"/>
    <w:rsid w:val="00556391"/>
    <w:rsid w:val="005563C6"/>
    <w:rsid w:val="005564C5"/>
    <w:rsid w:val="005566DC"/>
    <w:rsid w:val="005566EC"/>
    <w:rsid w:val="00556A0D"/>
    <w:rsid w:val="00556A65"/>
    <w:rsid w:val="00556A7A"/>
    <w:rsid w:val="00556AFD"/>
    <w:rsid w:val="00556C4D"/>
    <w:rsid w:val="00556D66"/>
    <w:rsid w:val="00556EF0"/>
    <w:rsid w:val="0055750D"/>
    <w:rsid w:val="00557887"/>
    <w:rsid w:val="00557A5A"/>
    <w:rsid w:val="00557E9B"/>
    <w:rsid w:val="005603AA"/>
    <w:rsid w:val="005603C0"/>
    <w:rsid w:val="00560B41"/>
    <w:rsid w:val="00560CB2"/>
    <w:rsid w:val="00560FD9"/>
    <w:rsid w:val="00561079"/>
    <w:rsid w:val="005610F6"/>
    <w:rsid w:val="0056145C"/>
    <w:rsid w:val="00561584"/>
    <w:rsid w:val="00561682"/>
    <w:rsid w:val="005619A0"/>
    <w:rsid w:val="00561AF6"/>
    <w:rsid w:val="00562002"/>
    <w:rsid w:val="0056218E"/>
    <w:rsid w:val="005621F0"/>
    <w:rsid w:val="00562429"/>
    <w:rsid w:val="00562452"/>
    <w:rsid w:val="00562481"/>
    <w:rsid w:val="005628E5"/>
    <w:rsid w:val="00562964"/>
    <w:rsid w:val="00562F79"/>
    <w:rsid w:val="00563521"/>
    <w:rsid w:val="00563A32"/>
    <w:rsid w:val="00563A98"/>
    <w:rsid w:val="00563C27"/>
    <w:rsid w:val="00563DEF"/>
    <w:rsid w:val="00563E28"/>
    <w:rsid w:val="0056427A"/>
    <w:rsid w:val="00564301"/>
    <w:rsid w:val="0056472B"/>
    <w:rsid w:val="00564912"/>
    <w:rsid w:val="00564937"/>
    <w:rsid w:val="00564B60"/>
    <w:rsid w:val="005651A2"/>
    <w:rsid w:val="00565962"/>
    <w:rsid w:val="00566025"/>
    <w:rsid w:val="0056716E"/>
    <w:rsid w:val="00567D5E"/>
    <w:rsid w:val="00567E7A"/>
    <w:rsid w:val="00567EF6"/>
    <w:rsid w:val="0057011E"/>
    <w:rsid w:val="00570532"/>
    <w:rsid w:val="00570A22"/>
    <w:rsid w:val="005716B6"/>
    <w:rsid w:val="005718BE"/>
    <w:rsid w:val="00572012"/>
    <w:rsid w:val="0057221A"/>
    <w:rsid w:val="00572221"/>
    <w:rsid w:val="005722F3"/>
    <w:rsid w:val="0057240F"/>
    <w:rsid w:val="005725E3"/>
    <w:rsid w:val="005727A6"/>
    <w:rsid w:val="005727E2"/>
    <w:rsid w:val="00572879"/>
    <w:rsid w:val="005728D5"/>
    <w:rsid w:val="005729B6"/>
    <w:rsid w:val="00572A2A"/>
    <w:rsid w:val="00572B2D"/>
    <w:rsid w:val="00572BEE"/>
    <w:rsid w:val="00572EF3"/>
    <w:rsid w:val="00572F65"/>
    <w:rsid w:val="005731F4"/>
    <w:rsid w:val="005733A6"/>
    <w:rsid w:val="005738B0"/>
    <w:rsid w:val="00573D96"/>
    <w:rsid w:val="00573FA3"/>
    <w:rsid w:val="005740DD"/>
    <w:rsid w:val="0057411C"/>
    <w:rsid w:val="0057424A"/>
    <w:rsid w:val="00574B73"/>
    <w:rsid w:val="00574BE6"/>
    <w:rsid w:val="00574C28"/>
    <w:rsid w:val="00574C62"/>
    <w:rsid w:val="00574D6A"/>
    <w:rsid w:val="00575930"/>
    <w:rsid w:val="00575953"/>
    <w:rsid w:val="005759A3"/>
    <w:rsid w:val="00575BD1"/>
    <w:rsid w:val="00575F6B"/>
    <w:rsid w:val="0057615B"/>
    <w:rsid w:val="0057629B"/>
    <w:rsid w:val="00576545"/>
    <w:rsid w:val="00576548"/>
    <w:rsid w:val="00576760"/>
    <w:rsid w:val="005768EE"/>
    <w:rsid w:val="00576928"/>
    <w:rsid w:val="00576F9C"/>
    <w:rsid w:val="00576FFA"/>
    <w:rsid w:val="00577091"/>
    <w:rsid w:val="005773B1"/>
    <w:rsid w:val="0057747E"/>
    <w:rsid w:val="005776E2"/>
    <w:rsid w:val="00577AAD"/>
    <w:rsid w:val="00577B43"/>
    <w:rsid w:val="00577D2C"/>
    <w:rsid w:val="00577E6E"/>
    <w:rsid w:val="0058053A"/>
    <w:rsid w:val="005805C3"/>
    <w:rsid w:val="00580701"/>
    <w:rsid w:val="00580719"/>
    <w:rsid w:val="0058099F"/>
    <w:rsid w:val="00580CD8"/>
    <w:rsid w:val="00580CF7"/>
    <w:rsid w:val="00580E08"/>
    <w:rsid w:val="00580FFB"/>
    <w:rsid w:val="00581082"/>
    <w:rsid w:val="00581542"/>
    <w:rsid w:val="00581CA1"/>
    <w:rsid w:val="0058270D"/>
    <w:rsid w:val="0058270F"/>
    <w:rsid w:val="00582B15"/>
    <w:rsid w:val="00583266"/>
    <w:rsid w:val="00583668"/>
    <w:rsid w:val="005836E9"/>
    <w:rsid w:val="005836F8"/>
    <w:rsid w:val="00583814"/>
    <w:rsid w:val="005838D5"/>
    <w:rsid w:val="005838F3"/>
    <w:rsid w:val="00583B24"/>
    <w:rsid w:val="00583EAD"/>
    <w:rsid w:val="005842A9"/>
    <w:rsid w:val="005845C6"/>
    <w:rsid w:val="005846BD"/>
    <w:rsid w:val="00584ABA"/>
    <w:rsid w:val="00584EB2"/>
    <w:rsid w:val="0058509C"/>
    <w:rsid w:val="0058520C"/>
    <w:rsid w:val="005858A7"/>
    <w:rsid w:val="00585940"/>
    <w:rsid w:val="00585A43"/>
    <w:rsid w:val="00585A51"/>
    <w:rsid w:val="00585B38"/>
    <w:rsid w:val="005864F0"/>
    <w:rsid w:val="005865A3"/>
    <w:rsid w:val="0058670E"/>
    <w:rsid w:val="00586895"/>
    <w:rsid w:val="005868ED"/>
    <w:rsid w:val="005869AF"/>
    <w:rsid w:val="00586FEC"/>
    <w:rsid w:val="0058723F"/>
    <w:rsid w:val="005875DF"/>
    <w:rsid w:val="00587B18"/>
    <w:rsid w:val="00587FB2"/>
    <w:rsid w:val="00590126"/>
    <w:rsid w:val="00590A4D"/>
    <w:rsid w:val="00590BF3"/>
    <w:rsid w:val="00590CD6"/>
    <w:rsid w:val="00590CE2"/>
    <w:rsid w:val="00590D38"/>
    <w:rsid w:val="00590ED4"/>
    <w:rsid w:val="00591AFF"/>
    <w:rsid w:val="00591C3C"/>
    <w:rsid w:val="00591CCA"/>
    <w:rsid w:val="00591DA1"/>
    <w:rsid w:val="0059201B"/>
    <w:rsid w:val="00592199"/>
    <w:rsid w:val="00592393"/>
    <w:rsid w:val="005924B6"/>
    <w:rsid w:val="005926D7"/>
    <w:rsid w:val="005926F2"/>
    <w:rsid w:val="00592ADC"/>
    <w:rsid w:val="00592BF5"/>
    <w:rsid w:val="00592DAB"/>
    <w:rsid w:val="0059307D"/>
    <w:rsid w:val="00593343"/>
    <w:rsid w:val="00593832"/>
    <w:rsid w:val="00594026"/>
    <w:rsid w:val="005944C0"/>
    <w:rsid w:val="005949F0"/>
    <w:rsid w:val="00594DCD"/>
    <w:rsid w:val="005952F4"/>
    <w:rsid w:val="00595551"/>
    <w:rsid w:val="00595961"/>
    <w:rsid w:val="00595AD9"/>
    <w:rsid w:val="00595B22"/>
    <w:rsid w:val="00595BCD"/>
    <w:rsid w:val="00595D2F"/>
    <w:rsid w:val="00595DD5"/>
    <w:rsid w:val="00596607"/>
    <w:rsid w:val="00596799"/>
    <w:rsid w:val="0059679A"/>
    <w:rsid w:val="00596AA5"/>
    <w:rsid w:val="00596FA8"/>
    <w:rsid w:val="00597331"/>
    <w:rsid w:val="00597487"/>
    <w:rsid w:val="00597572"/>
    <w:rsid w:val="00597AC8"/>
    <w:rsid w:val="00597C6A"/>
    <w:rsid w:val="00597F6B"/>
    <w:rsid w:val="00597FA2"/>
    <w:rsid w:val="005A018E"/>
    <w:rsid w:val="005A055F"/>
    <w:rsid w:val="005A0645"/>
    <w:rsid w:val="005A0A91"/>
    <w:rsid w:val="005A0C98"/>
    <w:rsid w:val="005A0D11"/>
    <w:rsid w:val="005A0D5F"/>
    <w:rsid w:val="005A0FB6"/>
    <w:rsid w:val="005A114F"/>
    <w:rsid w:val="005A1685"/>
    <w:rsid w:val="005A16FD"/>
    <w:rsid w:val="005A1795"/>
    <w:rsid w:val="005A1DD1"/>
    <w:rsid w:val="005A1F06"/>
    <w:rsid w:val="005A23D5"/>
    <w:rsid w:val="005A26F5"/>
    <w:rsid w:val="005A2C4E"/>
    <w:rsid w:val="005A2F3B"/>
    <w:rsid w:val="005A3049"/>
    <w:rsid w:val="005A32FC"/>
    <w:rsid w:val="005A33FA"/>
    <w:rsid w:val="005A3433"/>
    <w:rsid w:val="005A345C"/>
    <w:rsid w:val="005A3493"/>
    <w:rsid w:val="005A3D57"/>
    <w:rsid w:val="005A4362"/>
    <w:rsid w:val="005A4637"/>
    <w:rsid w:val="005A48A9"/>
    <w:rsid w:val="005A4E8E"/>
    <w:rsid w:val="005A4EE3"/>
    <w:rsid w:val="005A4FB8"/>
    <w:rsid w:val="005A56DC"/>
    <w:rsid w:val="005A5C02"/>
    <w:rsid w:val="005A5E8B"/>
    <w:rsid w:val="005A615A"/>
    <w:rsid w:val="005A655B"/>
    <w:rsid w:val="005A6646"/>
    <w:rsid w:val="005A6D50"/>
    <w:rsid w:val="005A6E3D"/>
    <w:rsid w:val="005A6E65"/>
    <w:rsid w:val="005A6FEE"/>
    <w:rsid w:val="005A70CE"/>
    <w:rsid w:val="005A72BE"/>
    <w:rsid w:val="005A76BE"/>
    <w:rsid w:val="005A787D"/>
    <w:rsid w:val="005A7DE5"/>
    <w:rsid w:val="005A7E83"/>
    <w:rsid w:val="005A7F11"/>
    <w:rsid w:val="005B017D"/>
    <w:rsid w:val="005B04FF"/>
    <w:rsid w:val="005B060E"/>
    <w:rsid w:val="005B0649"/>
    <w:rsid w:val="005B0A78"/>
    <w:rsid w:val="005B0D01"/>
    <w:rsid w:val="005B0EC9"/>
    <w:rsid w:val="005B1131"/>
    <w:rsid w:val="005B1672"/>
    <w:rsid w:val="005B171E"/>
    <w:rsid w:val="005B198D"/>
    <w:rsid w:val="005B1BF3"/>
    <w:rsid w:val="005B1F18"/>
    <w:rsid w:val="005B20D9"/>
    <w:rsid w:val="005B2D76"/>
    <w:rsid w:val="005B2F7B"/>
    <w:rsid w:val="005B31B9"/>
    <w:rsid w:val="005B3240"/>
    <w:rsid w:val="005B3254"/>
    <w:rsid w:val="005B3461"/>
    <w:rsid w:val="005B36D3"/>
    <w:rsid w:val="005B3784"/>
    <w:rsid w:val="005B398F"/>
    <w:rsid w:val="005B3A39"/>
    <w:rsid w:val="005B3B5B"/>
    <w:rsid w:val="005B3DC3"/>
    <w:rsid w:val="005B3F7C"/>
    <w:rsid w:val="005B3FF3"/>
    <w:rsid w:val="005B4317"/>
    <w:rsid w:val="005B4910"/>
    <w:rsid w:val="005B4AF9"/>
    <w:rsid w:val="005B4F33"/>
    <w:rsid w:val="005B50F7"/>
    <w:rsid w:val="005B5199"/>
    <w:rsid w:val="005B51D0"/>
    <w:rsid w:val="005B5288"/>
    <w:rsid w:val="005B56A1"/>
    <w:rsid w:val="005B5E90"/>
    <w:rsid w:val="005B6021"/>
    <w:rsid w:val="005B6474"/>
    <w:rsid w:val="005B6A35"/>
    <w:rsid w:val="005B6B3B"/>
    <w:rsid w:val="005B6EAA"/>
    <w:rsid w:val="005B6FE0"/>
    <w:rsid w:val="005B711B"/>
    <w:rsid w:val="005B7294"/>
    <w:rsid w:val="005B73CA"/>
    <w:rsid w:val="005B74ED"/>
    <w:rsid w:val="005B7814"/>
    <w:rsid w:val="005B78BB"/>
    <w:rsid w:val="005B796B"/>
    <w:rsid w:val="005B7C24"/>
    <w:rsid w:val="005B7CBB"/>
    <w:rsid w:val="005B7D50"/>
    <w:rsid w:val="005B7E00"/>
    <w:rsid w:val="005C018D"/>
    <w:rsid w:val="005C0425"/>
    <w:rsid w:val="005C0626"/>
    <w:rsid w:val="005C072F"/>
    <w:rsid w:val="005C0885"/>
    <w:rsid w:val="005C0B0C"/>
    <w:rsid w:val="005C0B57"/>
    <w:rsid w:val="005C0CB7"/>
    <w:rsid w:val="005C0D2B"/>
    <w:rsid w:val="005C112E"/>
    <w:rsid w:val="005C11BA"/>
    <w:rsid w:val="005C194C"/>
    <w:rsid w:val="005C1BC0"/>
    <w:rsid w:val="005C2541"/>
    <w:rsid w:val="005C2624"/>
    <w:rsid w:val="005C26C6"/>
    <w:rsid w:val="005C2BC6"/>
    <w:rsid w:val="005C30B9"/>
    <w:rsid w:val="005C318F"/>
    <w:rsid w:val="005C329E"/>
    <w:rsid w:val="005C32EF"/>
    <w:rsid w:val="005C3DEA"/>
    <w:rsid w:val="005C4101"/>
    <w:rsid w:val="005C41CF"/>
    <w:rsid w:val="005C4537"/>
    <w:rsid w:val="005C4BC4"/>
    <w:rsid w:val="005C4E4A"/>
    <w:rsid w:val="005C4EC0"/>
    <w:rsid w:val="005C55A7"/>
    <w:rsid w:val="005C59BA"/>
    <w:rsid w:val="005C59BD"/>
    <w:rsid w:val="005C5D9A"/>
    <w:rsid w:val="005C5DB1"/>
    <w:rsid w:val="005C6075"/>
    <w:rsid w:val="005C60FA"/>
    <w:rsid w:val="005C61AC"/>
    <w:rsid w:val="005C668D"/>
    <w:rsid w:val="005C66C4"/>
    <w:rsid w:val="005C67BA"/>
    <w:rsid w:val="005C681D"/>
    <w:rsid w:val="005C6B12"/>
    <w:rsid w:val="005C6CBE"/>
    <w:rsid w:val="005C71F9"/>
    <w:rsid w:val="005C74E1"/>
    <w:rsid w:val="005C753E"/>
    <w:rsid w:val="005C788C"/>
    <w:rsid w:val="005C7AFA"/>
    <w:rsid w:val="005C7BB8"/>
    <w:rsid w:val="005D03AA"/>
    <w:rsid w:val="005D0D28"/>
    <w:rsid w:val="005D0E41"/>
    <w:rsid w:val="005D10F5"/>
    <w:rsid w:val="005D12F6"/>
    <w:rsid w:val="005D1317"/>
    <w:rsid w:val="005D132D"/>
    <w:rsid w:val="005D1430"/>
    <w:rsid w:val="005D1853"/>
    <w:rsid w:val="005D185F"/>
    <w:rsid w:val="005D1A45"/>
    <w:rsid w:val="005D1B41"/>
    <w:rsid w:val="005D1F5A"/>
    <w:rsid w:val="005D2260"/>
    <w:rsid w:val="005D22A0"/>
    <w:rsid w:val="005D2624"/>
    <w:rsid w:val="005D2791"/>
    <w:rsid w:val="005D2845"/>
    <w:rsid w:val="005D2C1A"/>
    <w:rsid w:val="005D2E0E"/>
    <w:rsid w:val="005D2E6B"/>
    <w:rsid w:val="005D2FE2"/>
    <w:rsid w:val="005D3021"/>
    <w:rsid w:val="005D326A"/>
    <w:rsid w:val="005D3458"/>
    <w:rsid w:val="005D35B6"/>
    <w:rsid w:val="005D3691"/>
    <w:rsid w:val="005D3C11"/>
    <w:rsid w:val="005D402C"/>
    <w:rsid w:val="005D4046"/>
    <w:rsid w:val="005D4514"/>
    <w:rsid w:val="005D4535"/>
    <w:rsid w:val="005D457E"/>
    <w:rsid w:val="005D46EF"/>
    <w:rsid w:val="005D475C"/>
    <w:rsid w:val="005D4772"/>
    <w:rsid w:val="005D47C8"/>
    <w:rsid w:val="005D4DF6"/>
    <w:rsid w:val="005D5203"/>
    <w:rsid w:val="005D55AB"/>
    <w:rsid w:val="005D568A"/>
    <w:rsid w:val="005D6063"/>
    <w:rsid w:val="005D648A"/>
    <w:rsid w:val="005D6819"/>
    <w:rsid w:val="005D6AFD"/>
    <w:rsid w:val="005D6B2C"/>
    <w:rsid w:val="005D6C11"/>
    <w:rsid w:val="005D6C53"/>
    <w:rsid w:val="005D6D0B"/>
    <w:rsid w:val="005D6D43"/>
    <w:rsid w:val="005D73BF"/>
    <w:rsid w:val="005D7925"/>
    <w:rsid w:val="005D7D4B"/>
    <w:rsid w:val="005D7EED"/>
    <w:rsid w:val="005D7F54"/>
    <w:rsid w:val="005E01A3"/>
    <w:rsid w:val="005E0202"/>
    <w:rsid w:val="005E0254"/>
    <w:rsid w:val="005E04C5"/>
    <w:rsid w:val="005E0756"/>
    <w:rsid w:val="005E08EF"/>
    <w:rsid w:val="005E0973"/>
    <w:rsid w:val="005E0B39"/>
    <w:rsid w:val="005E0C55"/>
    <w:rsid w:val="005E0CE3"/>
    <w:rsid w:val="005E0F77"/>
    <w:rsid w:val="005E1043"/>
    <w:rsid w:val="005E10A1"/>
    <w:rsid w:val="005E1177"/>
    <w:rsid w:val="005E1351"/>
    <w:rsid w:val="005E146F"/>
    <w:rsid w:val="005E1497"/>
    <w:rsid w:val="005E1803"/>
    <w:rsid w:val="005E1867"/>
    <w:rsid w:val="005E1B03"/>
    <w:rsid w:val="005E1B58"/>
    <w:rsid w:val="005E1CE5"/>
    <w:rsid w:val="005E1F9B"/>
    <w:rsid w:val="005E22E6"/>
    <w:rsid w:val="005E2337"/>
    <w:rsid w:val="005E2537"/>
    <w:rsid w:val="005E25C4"/>
    <w:rsid w:val="005E262D"/>
    <w:rsid w:val="005E2717"/>
    <w:rsid w:val="005E298D"/>
    <w:rsid w:val="005E2D1B"/>
    <w:rsid w:val="005E2DAA"/>
    <w:rsid w:val="005E2F7A"/>
    <w:rsid w:val="005E32BC"/>
    <w:rsid w:val="005E355C"/>
    <w:rsid w:val="005E387C"/>
    <w:rsid w:val="005E3ABD"/>
    <w:rsid w:val="005E4220"/>
    <w:rsid w:val="005E4434"/>
    <w:rsid w:val="005E492E"/>
    <w:rsid w:val="005E49F5"/>
    <w:rsid w:val="005E4A22"/>
    <w:rsid w:val="005E51AD"/>
    <w:rsid w:val="005E5213"/>
    <w:rsid w:val="005E54BE"/>
    <w:rsid w:val="005E568D"/>
    <w:rsid w:val="005E5701"/>
    <w:rsid w:val="005E591B"/>
    <w:rsid w:val="005E6186"/>
    <w:rsid w:val="005E6463"/>
    <w:rsid w:val="005E6572"/>
    <w:rsid w:val="005E6D24"/>
    <w:rsid w:val="005E6E0A"/>
    <w:rsid w:val="005E6FB0"/>
    <w:rsid w:val="005E70AB"/>
    <w:rsid w:val="005E732C"/>
    <w:rsid w:val="005E7359"/>
    <w:rsid w:val="005E754B"/>
    <w:rsid w:val="005E7BB8"/>
    <w:rsid w:val="005E7BFF"/>
    <w:rsid w:val="005F00C9"/>
    <w:rsid w:val="005F00D7"/>
    <w:rsid w:val="005F0230"/>
    <w:rsid w:val="005F037B"/>
    <w:rsid w:val="005F0601"/>
    <w:rsid w:val="005F0A2D"/>
    <w:rsid w:val="005F124A"/>
    <w:rsid w:val="005F13FD"/>
    <w:rsid w:val="005F1CEF"/>
    <w:rsid w:val="005F1D85"/>
    <w:rsid w:val="005F1DAE"/>
    <w:rsid w:val="005F2280"/>
    <w:rsid w:val="005F2C92"/>
    <w:rsid w:val="005F3021"/>
    <w:rsid w:val="005F33F5"/>
    <w:rsid w:val="005F3406"/>
    <w:rsid w:val="005F3B2D"/>
    <w:rsid w:val="005F3BE0"/>
    <w:rsid w:val="005F40C0"/>
    <w:rsid w:val="005F43BE"/>
    <w:rsid w:val="005F4632"/>
    <w:rsid w:val="005F479C"/>
    <w:rsid w:val="005F4C60"/>
    <w:rsid w:val="005F4D63"/>
    <w:rsid w:val="005F4F27"/>
    <w:rsid w:val="005F4FAA"/>
    <w:rsid w:val="005F500B"/>
    <w:rsid w:val="005F53EF"/>
    <w:rsid w:val="005F54B7"/>
    <w:rsid w:val="005F56A2"/>
    <w:rsid w:val="005F57DD"/>
    <w:rsid w:val="005F59A2"/>
    <w:rsid w:val="005F5BC6"/>
    <w:rsid w:val="005F5C4A"/>
    <w:rsid w:val="005F60D4"/>
    <w:rsid w:val="005F62DF"/>
    <w:rsid w:val="005F6317"/>
    <w:rsid w:val="005F65C7"/>
    <w:rsid w:val="005F6781"/>
    <w:rsid w:val="005F68C8"/>
    <w:rsid w:val="005F6944"/>
    <w:rsid w:val="005F6A6D"/>
    <w:rsid w:val="005F6BF2"/>
    <w:rsid w:val="005F6C6A"/>
    <w:rsid w:val="005F7131"/>
    <w:rsid w:val="005F75EB"/>
    <w:rsid w:val="005F767A"/>
    <w:rsid w:val="005F78A0"/>
    <w:rsid w:val="005F7952"/>
    <w:rsid w:val="005F7DEF"/>
    <w:rsid w:val="005F7EA0"/>
    <w:rsid w:val="00600040"/>
    <w:rsid w:val="006008B3"/>
    <w:rsid w:val="006010E7"/>
    <w:rsid w:val="0060128C"/>
    <w:rsid w:val="006013E8"/>
    <w:rsid w:val="0060158E"/>
    <w:rsid w:val="0060161B"/>
    <w:rsid w:val="006016D7"/>
    <w:rsid w:val="006022F4"/>
    <w:rsid w:val="00602667"/>
    <w:rsid w:val="006028F0"/>
    <w:rsid w:val="00602934"/>
    <w:rsid w:val="00602C3C"/>
    <w:rsid w:val="00602E13"/>
    <w:rsid w:val="00602F6C"/>
    <w:rsid w:val="00603060"/>
    <w:rsid w:val="006031E4"/>
    <w:rsid w:val="00603205"/>
    <w:rsid w:val="00603499"/>
    <w:rsid w:val="0060385D"/>
    <w:rsid w:val="006038F4"/>
    <w:rsid w:val="00603971"/>
    <w:rsid w:val="00603CEF"/>
    <w:rsid w:val="00603DA5"/>
    <w:rsid w:val="00603E52"/>
    <w:rsid w:val="00604032"/>
    <w:rsid w:val="00604133"/>
    <w:rsid w:val="006041B7"/>
    <w:rsid w:val="006042DD"/>
    <w:rsid w:val="00604580"/>
    <w:rsid w:val="00604642"/>
    <w:rsid w:val="0060475D"/>
    <w:rsid w:val="00604C34"/>
    <w:rsid w:val="00605B55"/>
    <w:rsid w:val="00605CB2"/>
    <w:rsid w:val="00605CB9"/>
    <w:rsid w:val="00605F29"/>
    <w:rsid w:val="0060618E"/>
    <w:rsid w:val="006061B8"/>
    <w:rsid w:val="0060637A"/>
    <w:rsid w:val="006065FC"/>
    <w:rsid w:val="00606858"/>
    <w:rsid w:val="00606A39"/>
    <w:rsid w:val="00606AC1"/>
    <w:rsid w:val="00606AE0"/>
    <w:rsid w:val="0060712F"/>
    <w:rsid w:val="006071C0"/>
    <w:rsid w:val="00607662"/>
    <w:rsid w:val="00607788"/>
    <w:rsid w:val="0060779C"/>
    <w:rsid w:val="00607AA6"/>
    <w:rsid w:val="00607CD0"/>
    <w:rsid w:val="00607DA5"/>
    <w:rsid w:val="006102AF"/>
    <w:rsid w:val="0061056B"/>
    <w:rsid w:val="00610597"/>
    <w:rsid w:val="00610A1A"/>
    <w:rsid w:val="00610BB6"/>
    <w:rsid w:val="006113F7"/>
    <w:rsid w:val="0061164F"/>
    <w:rsid w:val="006116AD"/>
    <w:rsid w:val="006119DC"/>
    <w:rsid w:val="00612EF9"/>
    <w:rsid w:val="00612FE9"/>
    <w:rsid w:val="006132E2"/>
    <w:rsid w:val="006136FD"/>
    <w:rsid w:val="00613B3F"/>
    <w:rsid w:val="00613CA0"/>
    <w:rsid w:val="00614082"/>
    <w:rsid w:val="00614136"/>
    <w:rsid w:val="0061436C"/>
    <w:rsid w:val="00614503"/>
    <w:rsid w:val="006145E2"/>
    <w:rsid w:val="0061492B"/>
    <w:rsid w:val="0061494C"/>
    <w:rsid w:val="00614C48"/>
    <w:rsid w:val="00614EB1"/>
    <w:rsid w:val="0061513C"/>
    <w:rsid w:val="0061519A"/>
    <w:rsid w:val="006151D6"/>
    <w:rsid w:val="00615EF2"/>
    <w:rsid w:val="00615F11"/>
    <w:rsid w:val="006161A6"/>
    <w:rsid w:val="0061652E"/>
    <w:rsid w:val="006166D6"/>
    <w:rsid w:val="0061679B"/>
    <w:rsid w:val="006169F2"/>
    <w:rsid w:val="00616D04"/>
    <w:rsid w:val="00616D9A"/>
    <w:rsid w:val="00616EAE"/>
    <w:rsid w:val="006177A2"/>
    <w:rsid w:val="00617863"/>
    <w:rsid w:val="0061797A"/>
    <w:rsid w:val="00617BD4"/>
    <w:rsid w:val="00617D35"/>
    <w:rsid w:val="00617EC6"/>
    <w:rsid w:val="00620A70"/>
    <w:rsid w:val="00620CAD"/>
    <w:rsid w:val="00621135"/>
    <w:rsid w:val="006212D3"/>
    <w:rsid w:val="0062164C"/>
    <w:rsid w:val="0062172A"/>
    <w:rsid w:val="00621869"/>
    <w:rsid w:val="00622530"/>
    <w:rsid w:val="006227C4"/>
    <w:rsid w:val="00622D08"/>
    <w:rsid w:val="00622F54"/>
    <w:rsid w:val="006231C0"/>
    <w:rsid w:val="0062325A"/>
    <w:rsid w:val="006236E2"/>
    <w:rsid w:val="0062412B"/>
    <w:rsid w:val="006242E3"/>
    <w:rsid w:val="0062440C"/>
    <w:rsid w:val="006248CD"/>
    <w:rsid w:val="006249D4"/>
    <w:rsid w:val="00624A4B"/>
    <w:rsid w:val="006253E8"/>
    <w:rsid w:val="00625581"/>
    <w:rsid w:val="006255BE"/>
    <w:rsid w:val="00625972"/>
    <w:rsid w:val="0062597E"/>
    <w:rsid w:val="00625BDE"/>
    <w:rsid w:val="00625DF6"/>
    <w:rsid w:val="00625F05"/>
    <w:rsid w:val="00625F45"/>
    <w:rsid w:val="006260FB"/>
    <w:rsid w:val="006261AB"/>
    <w:rsid w:val="0062664A"/>
    <w:rsid w:val="006267CB"/>
    <w:rsid w:val="00626C69"/>
    <w:rsid w:val="00626CE2"/>
    <w:rsid w:val="00626D78"/>
    <w:rsid w:val="00626DA5"/>
    <w:rsid w:val="00626E4E"/>
    <w:rsid w:val="00627119"/>
    <w:rsid w:val="0062756B"/>
    <w:rsid w:val="00627A37"/>
    <w:rsid w:val="00627AB9"/>
    <w:rsid w:val="00627D9D"/>
    <w:rsid w:val="00630226"/>
    <w:rsid w:val="0063030C"/>
    <w:rsid w:val="006303F0"/>
    <w:rsid w:val="00630418"/>
    <w:rsid w:val="00630599"/>
    <w:rsid w:val="00630725"/>
    <w:rsid w:val="00630855"/>
    <w:rsid w:val="00630C70"/>
    <w:rsid w:val="00630EF7"/>
    <w:rsid w:val="00631008"/>
    <w:rsid w:val="0063132A"/>
    <w:rsid w:val="006316DE"/>
    <w:rsid w:val="006319D6"/>
    <w:rsid w:val="00631A9F"/>
    <w:rsid w:val="00631CAD"/>
    <w:rsid w:val="00631D0B"/>
    <w:rsid w:val="00631D78"/>
    <w:rsid w:val="00631DAA"/>
    <w:rsid w:val="00631FB6"/>
    <w:rsid w:val="006323FE"/>
    <w:rsid w:val="00632A98"/>
    <w:rsid w:val="00632C7A"/>
    <w:rsid w:val="00632C91"/>
    <w:rsid w:val="00632D38"/>
    <w:rsid w:val="00632E2F"/>
    <w:rsid w:val="00632E3E"/>
    <w:rsid w:val="006330C7"/>
    <w:rsid w:val="00633703"/>
    <w:rsid w:val="00633978"/>
    <w:rsid w:val="00633998"/>
    <w:rsid w:val="00633FB3"/>
    <w:rsid w:val="0063403A"/>
    <w:rsid w:val="006341CF"/>
    <w:rsid w:val="006345D8"/>
    <w:rsid w:val="00634905"/>
    <w:rsid w:val="006349A0"/>
    <w:rsid w:val="00634CEC"/>
    <w:rsid w:val="00634D87"/>
    <w:rsid w:val="00634E63"/>
    <w:rsid w:val="00634FB7"/>
    <w:rsid w:val="00635200"/>
    <w:rsid w:val="00635396"/>
    <w:rsid w:val="006353AA"/>
    <w:rsid w:val="00635512"/>
    <w:rsid w:val="006355C3"/>
    <w:rsid w:val="00635BC7"/>
    <w:rsid w:val="00635C7F"/>
    <w:rsid w:val="00635F18"/>
    <w:rsid w:val="00635F19"/>
    <w:rsid w:val="00636099"/>
    <w:rsid w:val="006363AF"/>
    <w:rsid w:val="006363DD"/>
    <w:rsid w:val="006364CA"/>
    <w:rsid w:val="006369D0"/>
    <w:rsid w:val="0063723D"/>
    <w:rsid w:val="00637474"/>
    <w:rsid w:val="006374FC"/>
    <w:rsid w:val="006375D4"/>
    <w:rsid w:val="00637811"/>
    <w:rsid w:val="00637E82"/>
    <w:rsid w:val="0064029F"/>
    <w:rsid w:val="00640F44"/>
    <w:rsid w:val="006416A7"/>
    <w:rsid w:val="006418DB"/>
    <w:rsid w:val="00641B73"/>
    <w:rsid w:val="00641D3F"/>
    <w:rsid w:val="006420A3"/>
    <w:rsid w:val="00642106"/>
    <w:rsid w:val="006424E0"/>
    <w:rsid w:val="006425A6"/>
    <w:rsid w:val="00642C9A"/>
    <w:rsid w:val="00642CCC"/>
    <w:rsid w:val="0064357F"/>
    <w:rsid w:val="00643582"/>
    <w:rsid w:val="00643585"/>
    <w:rsid w:val="006438DC"/>
    <w:rsid w:val="00643D89"/>
    <w:rsid w:val="00644042"/>
    <w:rsid w:val="00644682"/>
    <w:rsid w:val="00644826"/>
    <w:rsid w:val="00644E9B"/>
    <w:rsid w:val="00644EE7"/>
    <w:rsid w:val="0064505E"/>
    <w:rsid w:val="00645193"/>
    <w:rsid w:val="00645957"/>
    <w:rsid w:val="00645AA9"/>
    <w:rsid w:val="006466DD"/>
    <w:rsid w:val="00646A05"/>
    <w:rsid w:val="00646AC6"/>
    <w:rsid w:val="00646B86"/>
    <w:rsid w:val="00646CD7"/>
    <w:rsid w:val="00646F32"/>
    <w:rsid w:val="00646F55"/>
    <w:rsid w:val="0064711D"/>
    <w:rsid w:val="006471AB"/>
    <w:rsid w:val="00647509"/>
    <w:rsid w:val="00647626"/>
    <w:rsid w:val="006476E6"/>
    <w:rsid w:val="00647B77"/>
    <w:rsid w:val="00647B9E"/>
    <w:rsid w:val="00647EB9"/>
    <w:rsid w:val="00650287"/>
    <w:rsid w:val="00650781"/>
    <w:rsid w:val="00650829"/>
    <w:rsid w:val="00650ACB"/>
    <w:rsid w:val="00650CC7"/>
    <w:rsid w:val="00650CF2"/>
    <w:rsid w:val="00650CF5"/>
    <w:rsid w:val="00650EC4"/>
    <w:rsid w:val="0065100E"/>
    <w:rsid w:val="00651595"/>
    <w:rsid w:val="0065180E"/>
    <w:rsid w:val="00651A52"/>
    <w:rsid w:val="00651CF8"/>
    <w:rsid w:val="00651F01"/>
    <w:rsid w:val="006520BF"/>
    <w:rsid w:val="006525B4"/>
    <w:rsid w:val="00652908"/>
    <w:rsid w:val="00652AE6"/>
    <w:rsid w:val="00652B14"/>
    <w:rsid w:val="00652B9F"/>
    <w:rsid w:val="00652D1D"/>
    <w:rsid w:val="00652E03"/>
    <w:rsid w:val="00652F4D"/>
    <w:rsid w:val="0065306E"/>
    <w:rsid w:val="00653247"/>
    <w:rsid w:val="00653723"/>
    <w:rsid w:val="00653933"/>
    <w:rsid w:val="0065395B"/>
    <w:rsid w:val="00653D29"/>
    <w:rsid w:val="00653F0C"/>
    <w:rsid w:val="006549BD"/>
    <w:rsid w:val="00654A1D"/>
    <w:rsid w:val="00654A5A"/>
    <w:rsid w:val="00654B03"/>
    <w:rsid w:val="0065501E"/>
    <w:rsid w:val="0065510F"/>
    <w:rsid w:val="00655130"/>
    <w:rsid w:val="00655353"/>
    <w:rsid w:val="00655382"/>
    <w:rsid w:val="00655385"/>
    <w:rsid w:val="006559B1"/>
    <w:rsid w:val="006559E3"/>
    <w:rsid w:val="006559EB"/>
    <w:rsid w:val="00655C01"/>
    <w:rsid w:val="00655C14"/>
    <w:rsid w:val="00655C51"/>
    <w:rsid w:val="00655FE6"/>
    <w:rsid w:val="006560CB"/>
    <w:rsid w:val="0065688A"/>
    <w:rsid w:val="006568F0"/>
    <w:rsid w:val="006569D8"/>
    <w:rsid w:val="006573A1"/>
    <w:rsid w:val="00657805"/>
    <w:rsid w:val="00657B0D"/>
    <w:rsid w:val="00657BD3"/>
    <w:rsid w:val="00657D06"/>
    <w:rsid w:val="00657DCD"/>
    <w:rsid w:val="0066041C"/>
    <w:rsid w:val="00660734"/>
    <w:rsid w:val="00660EEA"/>
    <w:rsid w:val="006614DF"/>
    <w:rsid w:val="006616E3"/>
    <w:rsid w:val="00661719"/>
    <w:rsid w:val="00661C19"/>
    <w:rsid w:val="006622AE"/>
    <w:rsid w:val="00662688"/>
    <w:rsid w:val="00662A51"/>
    <w:rsid w:val="00662BC0"/>
    <w:rsid w:val="00662E35"/>
    <w:rsid w:val="00662EBC"/>
    <w:rsid w:val="006633A4"/>
    <w:rsid w:val="00663BEF"/>
    <w:rsid w:val="00663D12"/>
    <w:rsid w:val="00663FD5"/>
    <w:rsid w:val="006647D4"/>
    <w:rsid w:val="006647F1"/>
    <w:rsid w:val="00664900"/>
    <w:rsid w:val="00664E1C"/>
    <w:rsid w:val="00664E1E"/>
    <w:rsid w:val="00665167"/>
    <w:rsid w:val="006651F1"/>
    <w:rsid w:val="0066526B"/>
    <w:rsid w:val="00665328"/>
    <w:rsid w:val="006655C6"/>
    <w:rsid w:val="00665A0A"/>
    <w:rsid w:val="00665AB6"/>
    <w:rsid w:val="00665F48"/>
    <w:rsid w:val="00666354"/>
    <w:rsid w:val="00666452"/>
    <w:rsid w:val="006666D7"/>
    <w:rsid w:val="00666A7F"/>
    <w:rsid w:val="00666DCE"/>
    <w:rsid w:val="006670B7"/>
    <w:rsid w:val="006670FA"/>
    <w:rsid w:val="006672BF"/>
    <w:rsid w:val="006676D7"/>
    <w:rsid w:val="00667908"/>
    <w:rsid w:val="00667B57"/>
    <w:rsid w:val="00667ED9"/>
    <w:rsid w:val="006700C5"/>
    <w:rsid w:val="00670163"/>
    <w:rsid w:val="006701DC"/>
    <w:rsid w:val="00670759"/>
    <w:rsid w:val="006707C5"/>
    <w:rsid w:val="00670B68"/>
    <w:rsid w:val="00670B91"/>
    <w:rsid w:val="00670BDE"/>
    <w:rsid w:val="0067157A"/>
    <w:rsid w:val="006716F5"/>
    <w:rsid w:val="006718E6"/>
    <w:rsid w:val="00671D2A"/>
    <w:rsid w:val="00671D35"/>
    <w:rsid w:val="0067237E"/>
    <w:rsid w:val="0067251F"/>
    <w:rsid w:val="006726FE"/>
    <w:rsid w:val="00672BDD"/>
    <w:rsid w:val="00672E69"/>
    <w:rsid w:val="00673298"/>
    <w:rsid w:val="006734F3"/>
    <w:rsid w:val="0067383B"/>
    <w:rsid w:val="006738FF"/>
    <w:rsid w:val="00673D3F"/>
    <w:rsid w:val="00673DF5"/>
    <w:rsid w:val="006741DE"/>
    <w:rsid w:val="00674488"/>
    <w:rsid w:val="006745F7"/>
    <w:rsid w:val="00674A0B"/>
    <w:rsid w:val="0067554F"/>
    <w:rsid w:val="00675975"/>
    <w:rsid w:val="00675A5D"/>
    <w:rsid w:val="00675BB1"/>
    <w:rsid w:val="0067625D"/>
    <w:rsid w:val="00676296"/>
    <w:rsid w:val="00676481"/>
    <w:rsid w:val="006765E8"/>
    <w:rsid w:val="00676622"/>
    <w:rsid w:val="00676D42"/>
    <w:rsid w:val="00676D9D"/>
    <w:rsid w:val="00676E67"/>
    <w:rsid w:val="00676E6F"/>
    <w:rsid w:val="00676F95"/>
    <w:rsid w:val="006770C0"/>
    <w:rsid w:val="00677306"/>
    <w:rsid w:val="006779E6"/>
    <w:rsid w:val="00677D16"/>
    <w:rsid w:val="00677D5E"/>
    <w:rsid w:val="00677D77"/>
    <w:rsid w:val="00677F8F"/>
    <w:rsid w:val="0068019B"/>
    <w:rsid w:val="006801D5"/>
    <w:rsid w:val="006805D8"/>
    <w:rsid w:val="0068064A"/>
    <w:rsid w:val="0068066A"/>
    <w:rsid w:val="00680825"/>
    <w:rsid w:val="00680A1D"/>
    <w:rsid w:val="00680AAC"/>
    <w:rsid w:val="00680B03"/>
    <w:rsid w:val="00680D63"/>
    <w:rsid w:val="00680EAE"/>
    <w:rsid w:val="00680FC1"/>
    <w:rsid w:val="00681002"/>
    <w:rsid w:val="0068118F"/>
    <w:rsid w:val="00681763"/>
    <w:rsid w:val="00681C7E"/>
    <w:rsid w:val="006821A8"/>
    <w:rsid w:val="00682230"/>
    <w:rsid w:val="00682363"/>
    <w:rsid w:val="0068249E"/>
    <w:rsid w:val="006824DB"/>
    <w:rsid w:val="006828B3"/>
    <w:rsid w:val="00682A62"/>
    <w:rsid w:val="00682AF8"/>
    <w:rsid w:val="00682C6D"/>
    <w:rsid w:val="00682E56"/>
    <w:rsid w:val="00682EE4"/>
    <w:rsid w:val="00682FC4"/>
    <w:rsid w:val="00683489"/>
    <w:rsid w:val="0068353C"/>
    <w:rsid w:val="00683619"/>
    <w:rsid w:val="00683847"/>
    <w:rsid w:val="006838BB"/>
    <w:rsid w:val="006838FE"/>
    <w:rsid w:val="00683DA5"/>
    <w:rsid w:val="006848C3"/>
    <w:rsid w:val="00684D91"/>
    <w:rsid w:val="00684E2B"/>
    <w:rsid w:val="00684EB8"/>
    <w:rsid w:val="00685044"/>
    <w:rsid w:val="006850E7"/>
    <w:rsid w:val="006851B7"/>
    <w:rsid w:val="006853AE"/>
    <w:rsid w:val="006855C9"/>
    <w:rsid w:val="0068564F"/>
    <w:rsid w:val="00685888"/>
    <w:rsid w:val="00685B2B"/>
    <w:rsid w:val="00685C40"/>
    <w:rsid w:val="00685F27"/>
    <w:rsid w:val="00685FEC"/>
    <w:rsid w:val="006860EC"/>
    <w:rsid w:val="00686358"/>
    <w:rsid w:val="006864E8"/>
    <w:rsid w:val="0068679A"/>
    <w:rsid w:val="0068687A"/>
    <w:rsid w:val="00686B54"/>
    <w:rsid w:val="00686CA1"/>
    <w:rsid w:val="0068749D"/>
    <w:rsid w:val="006876DD"/>
    <w:rsid w:val="00687937"/>
    <w:rsid w:val="00687C16"/>
    <w:rsid w:val="00687D74"/>
    <w:rsid w:val="00687D9D"/>
    <w:rsid w:val="00690257"/>
    <w:rsid w:val="00690559"/>
    <w:rsid w:val="00690994"/>
    <w:rsid w:val="00690EFC"/>
    <w:rsid w:val="00691164"/>
    <w:rsid w:val="006916B2"/>
    <w:rsid w:val="006916D6"/>
    <w:rsid w:val="00691782"/>
    <w:rsid w:val="006917BC"/>
    <w:rsid w:val="00691F6F"/>
    <w:rsid w:val="0069218C"/>
    <w:rsid w:val="006921A7"/>
    <w:rsid w:val="006921AF"/>
    <w:rsid w:val="00692271"/>
    <w:rsid w:val="0069243A"/>
    <w:rsid w:val="006924F2"/>
    <w:rsid w:val="006925AF"/>
    <w:rsid w:val="0069292F"/>
    <w:rsid w:val="006929EA"/>
    <w:rsid w:val="00692B43"/>
    <w:rsid w:val="00692BF6"/>
    <w:rsid w:val="00692C56"/>
    <w:rsid w:val="00692EA8"/>
    <w:rsid w:val="00693408"/>
    <w:rsid w:val="0069355F"/>
    <w:rsid w:val="006935F2"/>
    <w:rsid w:val="006936CF"/>
    <w:rsid w:val="00693819"/>
    <w:rsid w:val="006939A2"/>
    <w:rsid w:val="00693BF3"/>
    <w:rsid w:val="00693C55"/>
    <w:rsid w:val="00693CB1"/>
    <w:rsid w:val="006943F8"/>
    <w:rsid w:val="00694501"/>
    <w:rsid w:val="00694520"/>
    <w:rsid w:val="00694C32"/>
    <w:rsid w:val="00694DF2"/>
    <w:rsid w:val="00694E73"/>
    <w:rsid w:val="006950A5"/>
    <w:rsid w:val="006955F8"/>
    <w:rsid w:val="00695664"/>
    <w:rsid w:val="00695A86"/>
    <w:rsid w:val="00695F06"/>
    <w:rsid w:val="0069646A"/>
    <w:rsid w:val="006964D6"/>
    <w:rsid w:val="006965F3"/>
    <w:rsid w:val="00696665"/>
    <w:rsid w:val="006967EA"/>
    <w:rsid w:val="00696B69"/>
    <w:rsid w:val="00697074"/>
    <w:rsid w:val="00697144"/>
    <w:rsid w:val="0069744B"/>
    <w:rsid w:val="00697B5D"/>
    <w:rsid w:val="00697B81"/>
    <w:rsid w:val="00697F61"/>
    <w:rsid w:val="006A02A8"/>
    <w:rsid w:val="006A0FBE"/>
    <w:rsid w:val="006A106D"/>
    <w:rsid w:val="006A1429"/>
    <w:rsid w:val="006A1BC6"/>
    <w:rsid w:val="006A1D2C"/>
    <w:rsid w:val="006A1DD3"/>
    <w:rsid w:val="006A24BA"/>
    <w:rsid w:val="006A2510"/>
    <w:rsid w:val="006A29B4"/>
    <w:rsid w:val="006A2C2F"/>
    <w:rsid w:val="006A2CB3"/>
    <w:rsid w:val="006A2DB0"/>
    <w:rsid w:val="006A2E19"/>
    <w:rsid w:val="006A34A0"/>
    <w:rsid w:val="006A357D"/>
    <w:rsid w:val="006A3737"/>
    <w:rsid w:val="006A3E98"/>
    <w:rsid w:val="006A407D"/>
    <w:rsid w:val="006A40F2"/>
    <w:rsid w:val="006A41D0"/>
    <w:rsid w:val="006A43EC"/>
    <w:rsid w:val="006A44D5"/>
    <w:rsid w:val="006A48D0"/>
    <w:rsid w:val="006A48DA"/>
    <w:rsid w:val="006A48F8"/>
    <w:rsid w:val="006A4A2F"/>
    <w:rsid w:val="006A4D2B"/>
    <w:rsid w:val="006A4EAF"/>
    <w:rsid w:val="006A50C5"/>
    <w:rsid w:val="006A55D0"/>
    <w:rsid w:val="006A56E2"/>
    <w:rsid w:val="006A5B8F"/>
    <w:rsid w:val="006A5DFD"/>
    <w:rsid w:val="006A61D6"/>
    <w:rsid w:val="006A6966"/>
    <w:rsid w:val="006A6A74"/>
    <w:rsid w:val="006A6ABD"/>
    <w:rsid w:val="006A6B51"/>
    <w:rsid w:val="006A6FD9"/>
    <w:rsid w:val="006A71B9"/>
    <w:rsid w:val="006A7315"/>
    <w:rsid w:val="006A73C7"/>
    <w:rsid w:val="006A76D3"/>
    <w:rsid w:val="006A7C8E"/>
    <w:rsid w:val="006A7D44"/>
    <w:rsid w:val="006A7D47"/>
    <w:rsid w:val="006A7DB8"/>
    <w:rsid w:val="006A7E00"/>
    <w:rsid w:val="006A7E0B"/>
    <w:rsid w:val="006B0192"/>
    <w:rsid w:val="006B04E5"/>
    <w:rsid w:val="006B0534"/>
    <w:rsid w:val="006B0682"/>
    <w:rsid w:val="006B06DC"/>
    <w:rsid w:val="006B07E8"/>
    <w:rsid w:val="006B0A7F"/>
    <w:rsid w:val="006B0B46"/>
    <w:rsid w:val="006B0BC5"/>
    <w:rsid w:val="006B0D40"/>
    <w:rsid w:val="006B0EAC"/>
    <w:rsid w:val="006B0EFF"/>
    <w:rsid w:val="006B1227"/>
    <w:rsid w:val="006B184C"/>
    <w:rsid w:val="006B18F0"/>
    <w:rsid w:val="006B1E05"/>
    <w:rsid w:val="006B1EB0"/>
    <w:rsid w:val="006B236E"/>
    <w:rsid w:val="006B236F"/>
    <w:rsid w:val="006B23E3"/>
    <w:rsid w:val="006B2CDA"/>
    <w:rsid w:val="006B3374"/>
    <w:rsid w:val="006B3675"/>
    <w:rsid w:val="006B3B8C"/>
    <w:rsid w:val="006B3BD1"/>
    <w:rsid w:val="006B3EF7"/>
    <w:rsid w:val="006B4178"/>
    <w:rsid w:val="006B42C9"/>
    <w:rsid w:val="006B439B"/>
    <w:rsid w:val="006B4630"/>
    <w:rsid w:val="006B4835"/>
    <w:rsid w:val="006B4A0A"/>
    <w:rsid w:val="006B4A90"/>
    <w:rsid w:val="006B4D5E"/>
    <w:rsid w:val="006B5069"/>
    <w:rsid w:val="006B527D"/>
    <w:rsid w:val="006B52DC"/>
    <w:rsid w:val="006B534B"/>
    <w:rsid w:val="006B5375"/>
    <w:rsid w:val="006B537D"/>
    <w:rsid w:val="006B5B84"/>
    <w:rsid w:val="006B632F"/>
    <w:rsid w:val="006B64D5"/>
    <w:rsid w:val="006B65B0"/>
    <w:rsid w:val="006B67BF"/>
    <w:rsid w:val="006B6CAC"/>
    <w:rsid w:val="006B6DEC"/>
    <w:rsid w:val="006B7049"/>
    <w:rsid w:val="006B71B1"/>
    <w:rsid w:val="006B723D"/>
    <w:rsid w:val="006B747B"/>
    <w:rsid w:val="006B7594"/>
    <w:rsid w:val="006B7772"/>
    <w:rsid w:val="006B7979"/>
    <w:rsid w:val="006B7DF3"/>
    <w:rsid w:val="006B7F9D"/>
    <w:rsid w:val="006C035C"/>
    <w:rsid w:val="006C06A0"/>
    <w:rsid w:val="006C083F"/>
    <w:rsid w:val="006C0E97"/>
    <w:rsid w:val="006C14CA"/>
    <w:rsid w:val="006C14FF"/>
    <w:rsid w:val="006C15F8"/>
    <w:rsid w:val="006C1698"/>
    <w:rsid w:val="006C196F"/>
    <w:rsid w:val="006C1EF6"/>
    <w:rsid w:val="006C23E7"/>
    <w:rsid w:val="006C252B"/>
    <w:rsid w:val="006C2716"/>
    <w:rsid w:val="006C2790"/>
    <w:rsid w:val="006C28B7"/>
    <w:rsid w:val="006C297C"/>
    <w:rsid w:val="006C2F0F"/>
    <w:rsid w:val="006C3A10"/>
    <w:rsid w:val="006C3B42"/>
    <w:rsid w:val="006C4481"/>
    <w:rsid w:val="006C46A9"/>
    <w:rsid w:val="006C4848"/>
    <w:rsid w:val="006C498D"/>
    <w:rsid w:val="006C4C4B"/>
    <w:rsid w:val="006C4DB4"/>
    <w:rsid w:val="006C5277"/>
    <w:rsid w:val="006C547E"/>
    <w:rsid w:val="006C54C8"/>
    <w:rsid w:val="006C54CF"/>
    <w:rsid w:val="006C5610"/>
    <w:rsid w:val="006C66E0"/>
    <w:rsid w:val="006C67BB"/>
    <w:rsid w:val="006C6903"/>
    <w:rsid w:val="006C691E"/>
    <w:rsid w:val="006C6A08"/>
    <w:rsid w:val="006C77BD"/>
    <w:rsid w:val="006C7A14"/>
    <w:rsid w:val="006C7F73"/>
    <w:rsid w:val="006D0454"/>
    <w:rsid w:val="006D0C7B"/>
    <w:rsid w:val="006D1083"/>
    <w:rsid w:val="006D10BB"/>
    <w:rsid w:val="006D133A"/>
    <w:rsid w:val="006D15C0"/>
    <w:rsid w:val="006D1B0E"/>
    <w:rsid w:val="006D1D9C"/>
    <w:rsid w:val="006D2289"/>
    <w:rsid w:val="006D2447"/>
    <w:rsid w:val="006D3036"/>
    <w:rsid w:val="006D331C"/>
    <w:rsid w:val="006D3356"/>
    <w:rsid w:val="006D33D1"/>
    <w:rsid w:val="006D35E5"/>
    <w:rsid w:val="006D36B5"/>
    <w:rsid w:val="006D3924"/>
    <w:rsid w:val="006D3990"/>
    <w:rsid w:val="006D39EA"/>
    <w:rsid w:val="006D3B71"/>
    <w:rsid w:val="006D3BCC"/>
    <w:rsid w:val="006D3F28"/>
    <w:rsid w:val="006D423E"/>
    <w:rsid w:val="006D4574"/>
    <w:rsid w:val="006D48B1"/>
    <w:rsid w:val="006D4AF5"/>
    <w:rsid w:val="006D4D74"/>
    <w:rsid w:val="006D4F8F"/>
    <w:rsid w:val="006D500B"/>
    <w:rsid w:val="006D52B3"/>
    <w:rsid w:val="006D57BD"/>
    <w:rsid w:val="006D5804"/>
    <w:rsid w:val="006D58C6"/>
    <w:rsid w:val="006D5B61"/>
    <w:rsid w:val="006D6B91"/>
    <w:rsid w:val="006D6D03"/>
    <w:rsid w:val="006D6D44"/>
    <w:rsid w:val="006D6E8C"/>
    <w:rsid w:val="006D6EBF"/>
    <w:rsid w:val="006D6EF0"/>
    <w:rsid w:val="006D6EF1"/>
    <w:rsid w:val="006D7100"/>
    <w:rsid w:val="006D716F"/>
    <w:rsid w:val="006D74BD"/>
    <w:rsid w:val="006D77C7"/>
    <w:rsid w:val="006D7FE0"/>
    <w:rsid w:val="006E0018"/>
    <w:rsid w:val="006E022F"/>
    <w:rsid w:val="006E0246"/>
    <w:rsid w:val="006E063A"/>
    <w:rsid w:val="006E0D14"/>
    <w:rsid w:val="006E0E85"/>
    <w:rsid w:val="006E0EED"/>
    <w:rsid w:val="006E0F30"/>
    <w:rsid w:val="006E1496"/>
    <w:rsid w:val="006E14BF"/>
    <w:rsid w:val="006E1535"/>
    <w:rsid w:val="006E1554"/>
    <w:rsid w:val="006E194F"/>
    <w:rsid w:val="006E1E25"/>
    <w:rsid w:val="006E1F79"/>
    <w:rsid w:val="006E227D"/>
    <w:rsid w:val="006E23FC"/>
    <w:rsid w:val="006E2513"/>
    <w:rsid w:val="006E2661"/>
    <w:rsid w:val="006E2B82"/>
    <w:rsid w:val="006E2C87"/>
    <w:rsid w:val="006E2E5C"/>
    <w:rsid w:val="006E2EA0"/>
    <w:rsid w:val="006E30D5"/>
    <w:rsid w:val="006E30FD"/>
    <w:rsid w:val="006E3293"/>
    <w:rsid w:val="006E34AB"/>
    <w:rsid w:val="006E3CD0"/>
    <w:rsid w:val="006E3FB8"/>
    <w:rsid w:val="006E4077"/>
    <w:rsid w:val="006E498E"/>
    <w:rsid w:val="006E4F89"/>
    <w:rsid w:val="006E5AF6"/>
    <w:rsid w:val="006E5B8A"/>
    <w:rsid w:val="006E5CFE"/>
    <w:rsid w:val="006E65DE"/>
    <w:rsid w:val="006E6879"/>
    <w:rsid w:val="006E68A8"/>
    <w:rsid w:val="006E74CD"/>
    <w:rsid w:val="006E7525"/>
    <w:rsid w:val="006E759D"/>
    <w:rsid w:val="006E75BC"/>
    <w:rsid w:val="006E75D1"/>
    <w:rsid w:val="006E7913"/>
    <w:rsid w:val="006E7A2B"/>
    <w:rsid w:val="006E7A30"/>
    <w:rsid w:val="006E7C39"/>
    <w:rsid w:val="006E7DF5"/>
    <w:rsid w:val="006E7E15"/>
    <w:rsid w:val="006E7FBA"/>
    <w:rsid w:val="006F04DF"/>
    <w:rsid w:val="006F05C2"/>
    <w:rsid w:val="006F0AF7"/>
    <w:rsid w:val="006F0B9A"/>
    <w:rsid w:val="006F0D86"/>
    <w:rsid w:val="006F14EA"/>
    <w:rsid w:val="006F1789"/>
    <w:rsid w:val="006F21C6"/>
    <w:rsid w:val="006F2584"/>
    <w:rsid w:val="006F276C"/>
    <w:rsid w:val="006F2EAB"/>
    <w:rsid w:val="006F2EE3"/>
    <w:rsid w:val="006F315A"/>
    <w:rsid w:val="006F35AD"/>
    <w:rsid w:val="006F3A0B"/>
    <w:rsid w:val="006F3AEF"/>
    <w:rsid w:val="006F3BC0"/>
    <w:rsid w:val="006F3C38"/>
    <w:rsid w:val="006F3D41"/>
    <w:rsid w:val="006F3E90"/>
    <w:rsid w:val="006F3EA4"/>
    <w:rsid w:val="006F3FB5"/>
    <w:rsid w:val="006F406F"/>
    <w:rsid w:val="006F4718"/>
    <w:rsid w:val="006F4765"/>
    <w:rsid w:val="006F480B"/>
    <w:rsid w:val="006F4C69"/>
    <w:rsid w:val="006F4E93"/>
    <w:rsid w:val="006F53C9"/>
    <w:rsid w:val="006F53CB"/>
    <w:rsid w:val="006F559A"/>
    <w:rsid w:val="006F5CF6"/>
    <w:rsid w:val="006F5D26"/>
    <w:rsid w:val="006F60D5"/>
    <w:rsid w:val="006F670D"/>
    <w:rsid w:val="006F72BD"/>
    <w:rsid w:val="006F7326"/>
    <w:rsid w:val="006F7F21"/>
    <w:rsid w:val="006F7F6B"/>
    <w:rsid w:val="00700109"/>
    <w:rsid w:val="00700465"/>
    <w:rsid w:val="007008C2"/>
    <w:rsid w:val="00700B61"/>
    <w:rsid w:val="00701017"/>
    <w:rsid w:val="007012A3"/>
    <w:rsid w:val="007012B7"/>
    <w:rsid w:val="00701344"/>
    <w:rsid w:val="007017A8"/>
    <w:rsid w:val="007018F0"/>
    <w:rsid w:val="0070192F"/>
    <w:rsid w:val="00701D72"/>
    <w:rsid w:val="0070246C"/>
    <w:rsid w:val="0070293C"/>
    <w:rsid w:val="00702E7D"/>
    <w:rsid w:val="00702ED8"/>
    <w:rsid w:val="00703029"/>
    <w:rsid w:val="007030D0"/>
    <w:rsid w:val="007033EF"/>
    <w:rsid w:val="00703628"/>
    <w:rsid w:val="0070362A"/>
    <w:rsid w:val="00703955"/>
    <w:rsid w:val="007039B4"/>
    <w:rsid w:val="00703AC3"/>
    <w:rsid w:val="00703B6B"/>
    <w:rsid w:val="00704098"/>
    <w:rsid w:val="007042DF"/>
    <w:rsid w:val="007042F7"/>
    <w:rsid w:val="00704507"/>
    <w:rsid w:val="007048D6"/>
    <w:rsid w:val="00704B4D"/>
    <w:rsid w:val="00704DB6"/>
    <w:rsid w:val="00704E04"/>
    <w:rsid w:val="007053CE"/>
    <w:rsid w:val="0070573C"/>
    <w:rsid w:val="0070596E"/>
    <w:rsid w:val="00705D47"/>
    <w:rsid w:val="0070626C"/>
    <w:rsid w:val="007065AD"/>
    <w:rsid w:val="00706668"/>
    <w:rsid w:val="007066FA"/>
    <w:rsid w:val="00706801"/>
    <w:rsid w:val="007068F2"/>
    <w:rsid w:val="00706964"/>
    <w:rsid w:val="00706A70"/>
    <w:rsid w:val="00706B91"/>
    <w:rsid w:val="00706F7B"/>
    <w:rsid w:val="00706FD1"/>
    <w:rsid w:val="007071CA"/>
    <w:rsid w:val="007071E7"/>
    <w:rsid w:val="00707298"/>
    <w:rsid w:val="00707960"/>
    <w:rsid w:val="00707A9C"/>
    <w:rsid w:val="0071032F"/>
    <w:rsid w:val="0071067A"/>
    <w:rsid w:val="00710ADA"/>
    <w:rsid w:val="00710C2B"/>
    <w:rsid w:val="00710DE8"/>
    <w:rsid w:val="00710E05"/>
    <w:rsid w:val="00711163"/>
    <w:rsid w:val="00711343"/>
    <w:rsid w:val="0071146E"/>
    <w:rsid w:val="00711540"/>
    <w:rsid w:val="0071165E"/>
    <w:rsid w:val="00711A0F"/>
    <w:rsid w:val="00711E5A"/>
    <w:rsid w:val="00712004"/>
    <w:rsid w:val="007124BC"/>
    <w:rsid w:val="00712774"/>
    <w:rsid w:val="00712A21"/>
    <w:rsid w:val="00712DF8"/>
    <w:rsid w:val="00712EE3"/>
    <w:rsid w:val="00712FB1"/>
    <w:rsid w:val="00712FFD"/>
    <w:rsid w:val="00713003"/>
    <w:rsid w:val="00713402"/>
    <w:rsid w:val="00713862"/>
    <w:rsid w:val="00713AC4"/>
    <w:rsid w:val="00713CBA"/>
    <w:rsid w:val="00713D97"/>
    <w:rsid w:val="00713DBA"/>
    <w:rsid w:val="00713DEF"/>
    <w:rsid w:val="00713E22"/>
    <w:rsid w:val="00713F3B"/>
    <w:rsid w:val="00713F4B"/>
    <w:rsid w:val="0071412B"/>
    <w:rsid w:val="0071412E"/>
    <w:rsid w:val="007141E9"/>
    <w:rsid w:val="00714253"/>
    <w:rsid w:val="00714286"/>
    <w:rsid w:val="0071446A"/>
    <w:rsid w:val="007146B5"/>
    <w:rsid w:val="0071480A"/>
    <w:rsid w:val="0071481B"/>
    <w:rsid w:val="00714985"/>
    <w:rsid w:val="00714BA1"/>
    <w:rsid w:val="00714C7E"/>
    <w:rsid w:val="00714E94"/>
    <w:rsid w:val="0071502C"/>
    <w:rsid w:val="007152F4"/>
    <w:rsid w:val="007156F7"/>
    <w:rsid w:val="007157B2"/>
    <w:rsid w:val="007158FE"/>
    <w:rsid w:val="00715CE5"/>
    <w:rsid w:val="00715E14"/>
    <w:rsid w:val="0071649D"/>
    <w:rsid w:val="007164B0"/>
    <w:rsid w:val="007164EB"/>
    <w:rsid w:val="00716794"/>
    <w:rsid w:val="0071690F"/>
    <w:rsid w:val="00716BF5"/>
    <w:rsid w:val="00716ECD"/>
    <w:rsid w:val="00717124"/>
    <w:rsid w:val="00717267"/>
    <w:rsid w:val="007177A6"/>
    <w:rsid w:val="00717960"/>
    <w:rsid w:val="00717C94"/>
    <w:rsid w:val="00717FC6"/>
    <w:rsid w:val="00720086"/>
    <w:rsid w:val="007201EE"/>
    <w:rsid w:val="00720605"/>
    <w:rsid w:val="007206A5"/>
    <w:rsid w:val="00720FC9"/>
    <w:rsid w:val="00720FE5"/>
    <w:rsid w:val="00721234"/>
    <w:rsid w:val="00721C2D"/>
    <w:rsid w:val="00721CFB"/>
    <w:rsid w:val="00721E04"/>
    <w:rsid w:val="00722476"/>
    <w:rsid w:val="007225CA"/>
    <w:rsid w:val="0072273B"/>
    <w:rsid w:val="00722822"/>
    <w:rsid w:val="00722895"/>
    <w:rsid w:val="00722929"/>
    <w:rsid w:val="00722AC6"/>
    <w:rsid w:val="0072336D"/>
    <w:rsid w:val="007236AF"/>
    <w:rsid w:val="007236CF"/>
    <w:rsid w:val="0072381A"/>
    <w:rsid w:val="00723886"/>
    <w:rsid w:val="00723D3F"/>
    <w:rsid w:val="00723F3E"/>
    <w:rsid w:val="007244A2"/>
    <w:rsid w:val="00724552"/>
    <w:rsid w:val="0072468B"/>
    <w:rsid w:val="0072479C"/>
    <w:rsid w:val="007248A1"/>
    <w:rsid w:val="00724900"/>
    <w:rsid w:val="00724B05"/>
    <w:rsid w:val="00724CE1"/>
    <w:rsid w:val="007250BC"/>
    <w:rsid w:val="00725344"/>
    <w:rsid w:val="007254A1"/>
    <w:rsid w:val="00725567"/>
    <w:rsid w:val="00725572"/>
    <w:rsid w:val="0072578C"/>
    <w:rsid w:val="00725957"/>
    <w:rsid w:val="00725973"/>
    <w:rsid w:val="00725CC8"/>
    <w:rsid w:val="00725F68"/>
    <w:rsid w:val="007260C5"/>
    <w:rsid w:val="007264E4"/>
    <w:rsid w:val="0072682B"/>
    <w:rsid w:val="0072685F"/>
    <w:rsid w:val="007268C5"/>
    <w:rsid w:val="00726B5C"/>
    <w:rsid w:val="00726C90"/>
    <w:rsid w:val="00726F3A"/>
    <w:rsid w:val="00726F48"/>
    <w:rsid w:val="00727485"/>
    <w:rsid w:val="007274AF"/>
    <w:rsid w:val="007276C4"/>
    <w:rsid w:val="007277C7"/>
    <w:rsid w:val="00727AC9"/>
    <w:rsid w:val="00727B44"/>
    <w:rsid w:val="00727BF1"/>
    <w:rsid w:val="00727DC0"/>
    <w:rsid w:val="00727E7B"/>
    <w:rsid w:val="00730262"/>
    <w:rsid w:val="007306F9"/>
    <w:rsid w:val="007309E5"/>
    <w:rsid w:val="00730A56"/>
    <w:rsid w:val="00730B80"/>
    <w:rsid w:val="00730D2B"/>
    <w:rsid w:val="00730E30"/>
    <w:rsid w:val="0073126F"/>
    <w:rsid w:val="00731674"/>
    <w:rsid w:val="007317E3"/>
    <w:rsid w:val="007317F3"/>
    <w:rsid w:val="00731E17"/>
    <w:rsid w:val="00731F5C"/>
    <w:rsid w:val="00732078"/>
    <w:rsid w:val="007320B9"/>
    <w:rsid w:val="007323A0"/>
    <w:rsid w:val="0073272C"/>
    <w:rsid w:val="00732832"/>
    <w:rsid w:val="00732D25"/>
    <w:rsid w:val="00733023"/>
    <w:rsid w:val="00733103"/>
    <w:rsid w:val="0073322A"/>
    <w:rsid w:val="00733881"/>
    <w:rsid w:val="00734665"/>
    <w:rsid w:val="0073469F"/>
    <w:rsid w:val="007346F6"/>
    <w:rsid w:val="00734713"/>
    <w:rsid w:val="00734930"/>
    <w:rsid w:val="007355BD"/>
    <w:rsid w:val="00735A08"/>
    <w:rsid w:val="00735A94"/>
    <w:rsid w:val="00735BF3"/>
    <w:rsid w:val="00735ED5"/>
    <w:rsid w:val="00735F4E"/>
    <w:rsid w:val="00735FF1"/>
    <w:rsid w:val="0073601D"/>
    <w:rsid w:val="007362D3"/>
    <w:rsid w:val="00736796"/>
    <w:rsid w:val="00736822"/>
    <w:rsid w:val="00736988"/>
    <w:rsid w:val="00736F41"/>
    <w:rsid w:val="007374CF"/>
    <w:rsid w:val="007376BA"/>
    <w:rsid w:val="007377EE"/>
    <w:rsid w:val="007379BE"/>
    <w:rsid w:val="007379F1"/>
    <w:rsid w:val="00737A54"/>
    <w:rsid w:val="00737BB2"/>
    <w:rsid w:val="00737D84"/>
    <w:rsid w:val="00737EEC"/>
    <w:rsid w:val="007402A0"/>
    <w:rsid w:val="007403D3"/>
    <w:rsid w:val="00740404"/>
    <w:rsid w:val="0074080F"/>
    <w:rsid w:val="00740E99"/>
    <w:rsid w:val="00740EBC"/>
    <w:rsid w:val="00740F85"/>
    <w:rsid w:val="00740FB7"/>
    <w:rsid w:val="007410D2"/>
    <w:rsid w:val="007410DD"/>
    <w:rsid w:val="007411F6"/>
    <w:rsid w:val="0074125D"/>
    <w:rsid w:val="007414B2"/>
    <w:rsid w:val="00741696"/>
    <w:rsid w:val="007419F2"/>
    <w:rsid w:val="00741EED"/>
    <w:rsid w:val="00742211"/>
    <w:rsid w:val="00742262"/>
    <w:rsid w:val="0074236B"/>
    <w:rsid w:val="00742434"/>
    <w:rsid w:val="007428D0"/>
    <w:rsid w:val="00742913"/>
    <w:rsid w:val="00742A15"/>
    <w:rsid w:val="00742E16"/>
    <w:rsid w:val="00742E65"/>
    <w:rsid w:val="007432C9"/>
    <w:rsid w:val="007437CD"/>
    <w:rsid w:val="00743867"/>
    <w:rsid w:val="007439B3"/>
    <w:rsid w:val="007439C1"/>
    <w:rsid w:val="007439DA"/>
    <w:rsid w:val="00743CCC"/>
    <w:rsid w:val="00744208"/>
    <w:rsid w:val="0074437B"/>
    <w:rsid w:val="0074447F"/>
    <w:rsid w:val="00744B94"/>
    <w:rsid w:val="00744F24"/>
    <w:rsid w:val="00744FFF"/>
    <w:rsid w:val="00745708"/>
    <w:rsid w:val="00745790"/>
    <w:rsid w:val="0074590F"/>
    <w:rsid w:val="00745DBF"/>
    <w:rsid w:val="00746076"/>
    <w:rsid w:val="00746173"/>
    <w:rsid w:val="007464A3"/>
    <w:rsid w:val="007464FF"/>
    <w:rsid w:val="0074673C"/>
    <w:rsid w:val="007469C5"/>
    <w:rsid w:val="00746B5E"/>
    <w:rsid w:val="00746DD3"/>
    <w:rsid w:val="00746E07"/>
    <w:rsid w:val="007471DA"/>
    <w:rsid w:val="00747393"/>
    <w:rsid w:val="0074747C"/>
    <w:rsid w:val="0074753F"/>
    <w:rsid w:val="00747A15"/>
    <w:rsid w:val="00747C89"/>
    <w:rsid w:val="00750178"/>
    <w:rsid w:val="00750311"/>
    <w:rsid w:val="00750888"/>
    <w:rsid w:val="00750B28"/>
    <w:rsid w:val="00750D94"/>
    <w:rsid w:val="00751297"/>
    <w:rsid w:val="007516FA"/>
    <w:rsid w:val="00751AA3"/>
    <w:rsid w:val="00751B55"/>
    <w:rsid w:val="00751B5D"/>
    <w:rsid w:val="00751C83"/>
    <w:rsid w:val="0075246B"/>
    <w:rsid w:val="00752491"/>
    <w:rsid w:val="00752AF5"/>
    <w:rsid w:val="00752B03"/>
    <w:rsid w:val="00752B9F"/>
    <w:rsid w:val="00752D15"/>
    <w:rsid w:val="00752D5E"/>
    <w:rsid w:val="00752E83"/>
    <w:rsid w:val="00752FE0"/>
    <w:rsid w:val="00753616"/>
    <w:rsid w:val="007539C5"/>
    <w:rsid w:val="00753D8C"/>
    <w:rsid w:val="00753E1F"/>
    <w:rsid w:val="00753F51"/>
    <w:rsid w:val="007541DF"/>
    <w:rsid w:val="00754253"/>
    <w:rsid w:val="00754314"/>
    <w:rsid w:val="0075435E"/>
    <w:rsid w:val="00754428"/>
    <w:rsid w:val="0075451A"/>
    <w:rsid w:val="00754AE6"/>
    <w:rsid w:val="00754CD5"/>
    <w:rsid w:val="00754E47"/>
    <w:rsid w:val="00755247"/>
    <w:rsid w:val="0075556C"/>
    <w:rsid w:val="00755622"/>
    <w:rsid w:val="00755B3B"/>
    <w:rsid w:val="00755BEB"/>
    <w:rsid w:val="00755C18"/>
    <w:rsid w:val="00755C2F"/>
    <w:rsid w:val="00755EAE"/>
    <w:rsid w:val="00756245"/>
    <w:rsid w:val="007564DC"/>
    <w:rsid w:val="00756585"/>
    <w:rsid w:val="007567AB"/>
    <w:rsid w:val="007569A5"/>
    <w:rsid w:val="00756B17"/>
    <w:rsid w:val="00756FB4"/>
    <w:rsid w:val="0075726A"/>
    <w:rsid w:val="0075739C"/>
    <w:rsid w:val="00757511"/>
    <w:rsid w:val="00757CB5"/>
    <w:rsid w:val="00757DDA"/>
    <w:rsid w:val="00760071"/>
    <w:rsid w:val="00760675"/>
    <w:rsid w:val="007607D6"/>
    <w:rsid w:val="00760905"/>
    <w:rsid w:val="00760BEB"/>
    <w:rsid w:val="00760FE9"/>
    <w:rsid w:val="00760FEC"/>
    <w:rsid w:val="007612EC"/>
    <w:rsid w:val="00761BA1"/>
    <w:rsid w:val="00761C49"/>
    <w:rsid w:val="00761D69"/>
    <w:rsid w:val="00762887"/>
    <w:rsid w:val="00762922"/>
    <w:rsid w:val="00762A0B"/>
    <w:rsid w:val="00762B23"/>
    <w:rsid w:val="00762CF0"/>
    <w:rsid w:val="00763460"/>
    <w:rsid w:val="00763479"/>
    <w:rsid w:val="00763490"/>
    <w:rsid w:val="00763533"/>
    <w:rsid w:val="007635A5"/>
    <w:rsid w:val="00763871"/>
    <w:rsid w:val="00763AAC"/>
    <w:rsid w:val="00763E9D"/>
    <w:rsid w:val="00763F9B"/>
    <w:rsid w:val="00764142"/>
    <w:rsid w:val="0076431C"/>
    <w:rsid w:val="007643F5"/>
    <w:rsid w:val="007648D2"/>
    <w:rsid w:val="00764943"/>
    <w:rsid w:val="00764956"/>
    <w:rsid w:val="00764A51"/>
    <w:rsid w:val="00764FE7"/>
    <w:rsid w:val="00765199"/>
    <w:rsid w:val="007653F1"/>
    <w:rsid w:val="00765879"/>
    <w:rsid w:val="007658F8"/>
    <w:rsid w:val="0076593E"/>
    <w:rsid w:val="00766399"/>
    <w:rsid w:val="0076655B"/>
    <w:rsid w:val="00766C09"/>
    <w:rsid w:val="00766D5D"/>
    <w:rsid w:val="00767155"/>
    <w:rsid w:val="00767255"/>
    <w:rsid w:val="00767732"/>
    <w:rsid w:val="00767762"/>
    <w:rsid w:val="00767811"/>
    <w:rsid w:val="00767864"/>
    <w:rsid w:val="00770101"/>
    <w:rsid w:val="0077061D"/>
    <w:rsid w:val="007706BA"/>
    <w:rsid w:val="00770C8D"/>
    <w:rsid w:val="00770CD7"/>
    <w:rsid w:val="00771659"/>
    <w:rsid w:val="0077194C"/>
    <w:rsid w:val="00771A0A"/>
    <w:rsid w:val="00771B0E"/>
    <w:rsid w:val="00771D61"/>
    <w:rsid w:val="00771F41"/>
    <w:rsid w:val="00772104"/>
    <w:rsid w:val="00772443"/>
    <w:rsid w:val="0077287E"/>
    <w:rsid w:val="00772AB5"/>
    <w:rsid w:val="00772B10"/>
    <w:rsid w:val="00772D45"/>
    <w:rsid w:val="00773833"/>
    <w:rsid w:val="00773966"/>
    <w:rsid w:val="00773BAB"/>
    <w:rsid w:val="00773E69"/>
    <w:rsid w:val="007740C0"/>
    <w:rsid w:val="00774667"/>
    <w:rsid w:val="007756A1"/>
    <w:rsid w:val="00775731"/>
    <w:rsid w:val="0077581A"/>
    <w:rsid w:val="0077599B"/>
    <w:rsid w:val="00775B89"/>
    <w:rsid w:val="00775FA2"/>
    <w:rsid w:val="0077647C"/>
    <w:rsid w:val="00776589"/>
    <w:rsid w:val="007767C6"/>
    <w:rsid w:val="00776894"/>
    <w:rsid w:val="007773C8"/>
    <w:rsid w:val="00777490"/>
    <w:rsid w:val="00777BB2"/>
    <w:rsid w:val="00777C3D"/>
    <w:rsid w:val="00777FCE"/>
    <w:rsid w:val="00780763"/>
    <w:rsid w:val="00780F67"/>
    <w:rsid w:val="0078100F"/>
    <w:rsid w:val="0078108B"/>
    <w:rsid w:val="00781278"/>
    <w:rsid w:val="007813C3"/>
    <w:rsid w:val="00781964"/>
    <w:rsid w:val="00781989"/>
    <w:rsid w:val="00781A32"/>
    <w:rsid w:val="00781D21"/>
    <w:rsid w:val="00781F22"/>
    <w:rsid w:val="0078231F"/>
    <w:rsid w:val="00782406"/>
    <w:rsid w:val="00782425"/>
    <w:rsid w:val="0078248B"/>
    <w:rsid w:val="007825D1"/>
    <w:rsid w:val="00782B2A"/>
    <w:rsid w:val="00782D22"/>
    <w:rsid w:val="007831C2"/>
    <w:rsid w:val="00783213"/>
    <w:rsid w:val="007834D7"/>
    <w:rsid w:val="007835BC"/>
    <w:rsid w:val="00783792"/>
    <w:rsid w:val="00783971"/>
    <w:rsid w:val="0078431A"/>
    <w:rsid w:val="007847EE"/>
    <w:rsid w:val="00784C09"/>
    <w:rsid w:val="00784D16"/>
    <w:rsid w:val="00784F0B"/>
    <w:rsid w:val="00785097"/>
    <w:rsid w:val="007850FF"/>
    <w:rsid w:val="00785155"/>
    <w:rsid w:val="00785DF6"/>
    <w:rsid w:val="00786165"/>
    <w:rsid w:val="007862C9"/>
    <w:rsid w:val="00786365"/>
    <w:rsid w:val="0078636D"/>
    <w:rsid w:val="00786501"/>
    <w:rsid w:val="00786798"/>
    <w:rsid w:val="00786BBD"/>
    <w:rsid w:val="00786E24"/>
    <w:rsid w:val="00786E4F"/>
    <w:rsid w:val="007872FF"/>
    <w:rsid w:val="00787CB5"/>
    <w:rsid w:val="00787EBA"/>
    <w:rsid w:val="00787F2F"/>
    <w:rsid w:val="00790174"/>
    <w:rsid w:val="00790A33"/>
    <w:rsid w:val="00790A82"/>
    <w:rsid w:val="00790A89"/>
    <w:rsid w:val="00790B2A"/>
    <w:rsid w:val="00790C14"/>
    <w:rsid w:val="00790CD9"/>
    <w:rsid w:val="00791021"/>
    <w:rsid w:val="0079103D"/>
    <w:rsid w:val="007914B0"/>
    <w:rsid w:val="007914FF"/>
    <w:rsid w:val="00791789"/>
    <w:rsid w:val="00791BB8"/>
    <w:rsid w:val="00791CC4"/>
    <w:rsid w:val="00791D57"/>
    <w:rsid w:val="00791D58"/>
    <w:rsid w:val="00792104"/>
    <w:rsid w:val="007923C5"/>
    <w:rsid w:val="007928C3"/>
    <w:rsid w:val="00792CB1"/>
    <w:rsid w:val="00792D27"/>
    <w:rsid w:val="007931BA"/>
    <w:rsid w:val="007933F0"/>
    <w:rsid w:val="007939B6"/>
    <w:rsid w:val="00793C00"/>
    <w:rsid w:val="007941CA"/>
    <w:rsid w:val="0079421E"/>
    <w:rsid w:val="00794496"/>
    <w:rsid w:val="0079457E"/>
    <w:rsid w:val="007945EC"/>
    <w:rsid w:val="0079467C"/>
    <w:rsid w:val="00794749"/>
    <w:rsid w:val="00794B7A"/>
    <w:rsid w:val="00794F1B"/>
    <w:rsid w:val="00795079"/>
    <w:rsid w:val="007952B8"/>
    <w:rsid w:val="00795596"/>
    <w:rsid w:val="007956DE"/>
    <w:rsid w:val="00795923"/>
    <w:rsid w:val="00795B6F"/>
    <w:rsid w:val="00795CD2"/>
    <w:rsid w:val="0079629B"/>
    <w:rsid w:val="0079637E"/>
    <w:rsid w:val="0079674C"/>
    <w:rsid w:val="00796906"/>
    <w:rsid w:val="00796C7B"/>
    <w:rsid w:val="00796ED9"/>
    <w:rsid w:val="00797595"/>
    <w:rsid w:val="00797B57"/>
    <w:rsid w:val="007A0967"/>
    <w:rsid w:val="007A0C74"/>
    <w:rsid w:val="007A0FDE"/>
    <w:rsid w:val="007A10D4"/>
    <w:rsid w:val="007A11F8"/>
    <w:rsid w:val="007A120C"/>
    <w:rsid w:val="007A1335"/>
    <w:rsid w:val="007A1464"/>
    <w:rsid w:val="007A15B5"/>
    <w:rsid w:val="007A1B51"/>
    <w:rsid w:val="007A1BCA"/>
    <w:rsid w:val="007A1C81"/>
    <w:rsid w:val="007A1E04"/>
    <w:rsid w:val="007A1E49"/>
    <w:rsid w:val="007A1EC6"/>
    <w:rsid w:val="007A1F16"/>
    <w:rsid w:val="007A2047"/>
    <w:rsid w:val="007A25DD"/>
    <w:rsid w:val="007A302C"/>
    <w:rsid w:val="007A3334"/>
    <w:rsid w:val="007A334E"/>
    <w:rsid w:val="007A33AE"/>
    <w:rsid w:val="007A3B16"/>
    <w:rsid w:val="007A3DA2"/>
    <w:rsid w:val="007A3E31"/>
    <w:rsid w:val="007A4144"/>
    <w:rsid w:val="007A4393"/>
    <w:rsid w:val="007A43B9"/>
    <w:rsid w:val="007A443F"/>
    <w:rsid w:val="007A4542"/>
    <w:rsid w:val="007A4557"/>
    <w:rsid w:val="007A4ABB"/>
    <w:rsid w:val="007A4E6E"/>
    <w:rsid w:val="007A4E93"/>
    <w:rsid w:val="007A5904"/>
    <w:rsid w:val="007A5A7C"/>
    <w:rsid w:val="007A5B35"/>
    <w:rsid w:val="007A5CC4"/>
    <w:rsid w:val="007A5F6A"/>
    <w:rsid w:val="007A653B"/>
    <w:rsid w:val="007A676F"/>
    <w:rsid w:val="007A68F7"/>
    <w:rsid w:val="007A6D7A"/>
    <w:rsid w:val="007A7249"/>
    <w:rsid w:val="007A761E"/>
    <w:rsid w:val="007A7702"/>
    <w:rsid w:val="007A7829"/>
    <w:rsid w:val="007A784D"/>
    <w:rsid w:val="007A7851"/>
    <w:rsid w:val="007B00FB"/>
    <w:rsid w:val="007B0221"/>
    <w:rsid w:val="007B0370"/>
    <w:rsid w:val="007B075F"/>
    <w:rsid w:val="007B0CDF"/>
    <w:rsid w:val="007B0ED6"/>
    <w:rsid w:val="007B1B4C"/>
    <w:rsid w:val="007B24AA"/>
    <w:rsid w:val="007B24E6"/>
    <w:rsid w:val="007B2A4C"/>
    <w:rsid w:val="007B2BDD"/>
    <w:rsid w:val="007B2DDD"/>
    <w:rsid w:val="007B31A2"/>
    <w:rsid w:val="007B3538"/>
    <w:rsid w:val="007B3E67"/>
    <w:rsid w:val="007B3F52"/>
    <w:rsid w:val="007B3FD5"/>
    <w:rsid w:val="007B4031"/>
    <w:rsid w:val="007B4509"/>
    <w:rsid w:val="007B46B7"/>
    <w:rsid w:val="007B4865"/>
    <w:rsid w:val="007B496E"/>
    <w:rsid w:val="007B4B81"/>
    <w:rsid w:val="007B4CE4"/>
    <w:rsid w:val="007B4D10"/>
    <w:rsid w:val="007B4EF1"/>
    <w:rsid w:val="007B5020"/>
    <w:rsid w:val="007B51C1"/>
    <w:rsid w:val="007B52EE"/>
    <w:rsid w:val="007B5393"/>
    <w:rsid w:val="007B5917"/>
    <w:rsid w:val="007B5A81"/>
    <w:rsid w:val="007B5C7A"/>
    <w:rsid w:val="007B5D7F"/>
    <w:rsid w:val="007B6812"/>
    <w:rsid w:val="007B6AD9"/>
    <w:rsid w:val="007B6D93"/>
    <w:rsid w:val="007B731F"/>
    <w:rsid w:val="007B7352"/>
    <w:rsid w:val="007B73E0"/>
    <w:rsid w:val="007B74DA"/>
    <w:rsid w:val="007B7728"/>
    <w:rsid w:val="007B7864"/>
    <w:rsid w:val="007B7A99"/>
    <w:rsid w:val="007B7B6E"/>
    <w:rsid w:val="007B7C25"/>
    <w:rsid w:val="007C03CB"/>
    <w:rsid w:val="007C041B"/>
    <w:rsid w:val="007C061A"/>
    <w:rsid w:val="007C087F"/>
    <w:rsid w:val="007C0A34"/>
    <w:rsid w:val="007C0A5E"/>
    <w:rsid w:val="007C0DC9"/>
    <w:rsid w:val="007C0F9E"/>
    <w:rsid w:val="007C0FBE"/>
    <w:rsid w:val="007C1226"/>
    <w:rsid w:val="007C1366"/>
    <w:rsid w:val="007C13FD"/>
    <w:rsid w:val="007C16B6"/>
    <w:rsid w:val="007C16FA"/>
    <w:rsid w:val="007C1B11"/>
    <w:rsid w:val="007C1E5A"/>
    <w:rsid w:val="007C2010"/>
    <w:rsid w:val="007C231F"/>
    <w:rsid w:val="007C26A1"/>
    <w:rsid w:val="007C26E4"/>
    <w:rsid w:val="007C26FB"/>
    <w:rsid w:val="007C282C"/>
    <w:rsid w:val="007C2961"/>
    <w:rsid w:val="007C297A"/>
    <w:rsid w:val="007C2C23"/>
    <w:rsid w:val="007C2E72"/>
    <w:rsid w:val="007C2F31"/>
    <w:rsid w:val="007C2F4D"/>
    <w:rsid w:val="007C353C"/>
    <w:rsid w:val="007C37E4"/>
    <w:rsid w:val="007C3908"/>
    <w:rsid w:val="007C3921"/>
    <w:rsid w:val="007C3B51"/>
    <w:rsid w:val="007C3E07"/>
    <w:rsid w:val="007C3EFA"/>
    <w:rsid w:val="007C43E7"/>
    <w:rsid w:val="007C4660"/>
    <w:rsid w:val="007C4F98"/>
    <w:rsid w:val="007C4FA1"/>
    <w:rsid w:val="007C526C"/>
    <w:rsid w:val="007C5625"/>
    <w:rsid w:val="007C5725"/>
    <w:rsid w:val="007C5AE1"/>
    <w:rsid w:val="007C5DC2"/>
    <w:rsid w:val="007C5EAD"/>
    <w:rsid w:val="007C5EF5"/>
    <w:rsid w:val="007C62DB"/>
    <w:rsid w:val="007C66F2"/>
    <w:rsid w:val="007C6C94"/>
    <w:rsid w:val="007C6D0D"/>
    <w:rsid w:val="007C6D3C"/>
    <w:rsid w:val="007C72CE"/>
    <w:rsid w:val="007C7663"/>
    <w:rsid w:val="007C78C8"/>
    <w:rsid w:val="007C798C"/>
    <w:rsid w:val="007C7E44"/>
    <w:rsid w:val="007C7EF2"/>
    <w:rsid w:val="007D01BA"/>
    <w:rsid w:val="007D0266"/>
    <w:rsid w:val="007D0482"/>
    <w:rsid w:val="007D0584"/>
    <w:rsid w:val="007D0684"/>
    <w:rsid w:val="007D06DF"/>
    <w:rsid w:val="007D0890"/>
    <w:rsid w:val="007D0B35"/>
    <w:rsid w:val="007D0C52"/>
    <w:rsid w:val="007D0F73"/>
    <w:rsid w:val="007D100F"/>
    <w:rsid w:val="007D104A"/>
    <w:rsid w:val="007D12B1"/>
    <w:rsid w:val="007D1A39"/>
    <w:rsid w:val="007D2057"/>
    <w:rsid w:val="007D22D4"/>
    <w:rsid w:val="007D22E4"/>
    <w:rsid w:val="007D2336"/>
    <w:rsid w:val="007D2378"/>
    <w:rsid w:val="007D2822"/>
    <w:rsid w:val="007D2E81"/>
    <w:rsid w:val="007D30E8"/>
    <w:rsid w:val="007D34A5"/>
    <w:rsid w:val="007D355A"/>
    <w:rsid w:val="007D361E"/>
    <w:rsid w:val="007D3D04"/>
    <w:rsid w:val="007D3E91"/>
    <w:rsid w:val="007D42B0"/>
    <w:rsid w:val="007D42DA"/>
    <w:rsid w:val="007D4379"/>
    <w:rsid w:val="007D490C"/>
    <w:rsid w:val="007D4D0B"/>
    <w:rsid w:val="007D4DEC"/>
    <w:rsid w:val="007D5296"/>
    <w:rsid w:val="007D59EC"/>
    <w:rsid w:val="007D5B98"/>
    <w:rsid w:val="007D5F5B"/>
    <w:rsid w:val="007D5FF7"/>
    <w:rsid w:val="007D60DE"/>
    <w:rsid w:val="007D627E"/>
    <w:rsid w:val="007D66AD"/>
    <w:rsid w:val="007D6756"/>
    <w:rsid w:val="007D6789"/>
    <w:rsid w:val="007D67E8"/>
    <w:rsid w:val="007D68D3"/>
    <w:rsid w:val="007D6D6A"/>
    <w:rsid w:val="007D6D94"/>
    <w:rsid w:val="007D6DC4"/>
    <w:rsid w:val="007D710E"/>
    <w:rsid w:val="007D73B3"/>
    <w:rsid w:val="007D7B5D"/>
    <w:rsid w:val="007D7C79"/>
    <w:rsid w:val="007D7EB6"/>
    <w:rsid w:val="007D7F9E"/>
    <w:rsid w:val="007E005F"/>
    <w:rsid w:val="007E02EF"/>
    <w:rsid w:val="007E02F5"/>
    <w:rsid w:val="007E0608"/>
    <w:rsid w:val="007E070C"/>
    <w:rsid w:val="007E0C11"/>
    <w:rsid w:val="007E0E7C"/>
    <w:rsid w:val="007E0F15"/>
    <w:rsid w:val="007E126A"/>
    <w:rsid w:val="007E162F"/>
    <w:rsid w:val="007E18C4"/>
    <w:rsid w:val="007E1C1B"/>
    <w:rsid w:val="007E1CDC"/>
    <w:rsid w:val="007E2267"/>
    <w:rsid w:val="007E231A"/>
    <w:rsid w:val="007E251E"/>
    <w:rsid w:val="007E25F5"/>
    <w:rsid w:val="007E270B"/>
    <w:rsid w:val="007E2B39"/>
    <w:rsid w:val="007E31B4"/>
    <w:rsid w:val="007E33FD"/>
    <w:rsid w:val="007E3B38"/>
    <w:rsid w:val="007E3CD3"/>
    <w:rsid w:val="007E3E25"/>
    <w:rsid w:val="007E3F8D"/>
    <w:rsid w:val="007E44B0"/>
    <w:rsid w:val="007E455C"/>
    <w:rsid w:val="007E49E2"/>
    <w:rsid w:val="007E4E4E"/>
    <w:rsid w:val="007E50AF"/>
    <w:rsid w:val="007E53F6"/>
    <w:rsid w:val="007E5AFD"/>
    <w:rsid w:val="007E5E2D"/>
    <w:rsid w:val="007E624D"/>
    <w:rsid w:val="007E64CB"/>
    <w:rsid w:val="007E66E4"/>
    <w:rsid w:val="007E67AB"/>
    <w:rsid w:val="007E6BE1"/>
    <w:rsid w:val="007E6D8A"/>
    <w:rsid w:val="007E6D96"/>
    <w:rsid w:val="007E7140"/>
    <w:rsid w:val="007E7197"/>
    <w:rsid w:val="007E71A1"/>
    <w:rsid w:val="007E71C3"/>
    <w:rsid w:val="007E7529"/>
    <w:rsid w:val="007E777A"/>
    <w:rsid w:val="007E79C2"/>
    <w:rsid w:val="007E7C7E"/>
    <w:rsid w:val="007F002C"/>
    <w:rsid w:val="007F012D"/>
    <w:rsid w:val="007F0689"/>
    <w:rsid w:val="007F06A3"/>
    <w:rsid w:val="007F09F6"/>
    <w:rsid w:val="007F0ADC"/>
    <w:rsid w:val="007F0B86"/>
    <w:rsid w:val="007F0D69"/>
    <w:rsid w:val="007F0DF3"/>
    <w:rsid w:val="007F0FC4"/>
    <w:rsid w:val="007F0FD3"/>
    <w:rsid w:val="007F11AE"/>
    <w:rsid w:val="007F16E9"/>
    <w:rsid w:val="007F1846"/>
    <w:rsid w:val="007F18AD"/>
    <w:rsid w:val="007F1CB0"/>
    <w:rsid w:val="007F1DD7"/>
    <w:rsid w:val="007F1F45"/>
    <w:rsid w:val="007F2106"/>
    <w:rsid w:val="007F218D"/>
    <w:rsid w:val="007F2573"/>
    <w:rsid w:val="007F27CB"/>
    <w:rsid w:val="007F2894"/>
    <w:rsid w:val="007F29AF"/>
    <w:rsid w:val="007F2B6B"/>
    <w:rsid w:val="007F2C7D"/>
    <w:rsid w:val="007F38AF"/>
    <w:rsid w:val="007F399E"/>
    <w:rsid w:val="007F3C9F"/>
    <w:rsid w:val="007F3D4E"/>
    <w:rsid w:val="007F3E5B"/>
    <w:rsid w:val="007F453C"/>
    <w:rsid w:val="007F45D4"/>
    <w:rsid w:val="007F489C"/>
    <w:rsid w:val="007F4B40"/>
    <w:rsid w:val="007F4F41"/>
    <w:rsid w:val="007F50AE"/>
    <w:rsid w:val="007F5208"/>
    <w:rsid w:val="007F5715"/>
    <w:rsid w:val="007F5822"/>
    <w:rsid w:val="007F596D"/>
    <w:rsid w:val="007F5B43"/>
    <w:rsid w:val="007F5C21"/>
    <w:rsid w:val="007F63FB"/>
    <w:rsid w:val="007F6E52"/>
    <w:rsid w:val="007F6F80"/>
    <w:rsid w:val="007F7272"/>
    <w:rsid w:val="007F7638"/>
    <w:rsid w:val="007F76BB"/>
    <w:rsid w:val="007F787E"/>
    <w:rsid w:val="007F7A7B"/>
    <w:rsid w:val="007F7B73"/>
    <w:rsid w:val="007F7C61"/>
    <w:rsid w:val="007F7D46"/>
    <w:rsid w:val="00800925"/>
    <w:rsid w:val="008009F5"/>
    <w:rsid w:val="00800B55"/>
    <w:rsid w:val="00801086"/>
    <w:rsid w:val="008016FE"/>
    <w:rsid w:val="008017B3"/>
    <w:rsid w:val="00801810"/>
    <w:rsid w:val="008018BF"/>
    <w:rsid w:val="00801924"/>
    <w:rsid w:val="00801978"/>
    <w:rsid w:val="00801999"/>
    <w:rsid w:val="008019DB"/>
    <w:rsid w:val="00801B9C"/>
    <w:rsid w:val="00801BC4"/>
    <w:rsid w:val="00801C67"/>
    <w:rsid w:val="00801D52"/>
    <w:rsid w:val="00801F5D"/>
    <w:rsid w:val="00802215"/>
    <w:rsid w:val="00802544"/>
    <w:rsid w:val="00802A65"/>
    <w:rsid w:val="00802B7D"/>
    <w:rsid w:val="00802D1A"/>
    <w:rsid w:val="00803141"/>
    <w:rsid w:val="008031D9"/>
    <w:rsid w:val="0080349C"/>
    <w:rsid w:val="00803516"/>
    <w:rsid w:val="008035BC"/>
    <w:rsid w:val="00803988"/>
    <w:rsid w:val="00803EF5"/>
    <w:rsid w:val="008040FA"/>
    <w:rsid w:val="008042F5"/>
    <w:rsid w:val="008047D7"/>
    <w:rsid w:val="00804BE2"/>
    <w:rsid w:val="00804E70"/>
    <w:rsid w:val="00804EC7"/>
    <w:rsid w:val="00804EF8"/>
    <w:rsid w:val="0080510C"/>
    <w:rsid w:val="0080526E"/>
    <w:rsid w:val="0080565E"/>
    <w:rsid w:val="0080608B"/>
    <w:rsid w:val="008068F0"/>
    <w:rsid w:val="00806BB4"/>
    <w:rsid w:val="00806D77"/>
    <w:rsid w:val="00807121"/>
    <w:rsid w:val="008075C2"/>
    <w:rsid w:val="008076FA"/>
    <w:rsid w:val="008077B5"/>
    <w:rsid w:val="00807CD0"/>
    <w:rsid w:val="00807E8F"/>
    <w:rsid w:val="008100C0"/>
    <w:rsid w:val="008102DB"/>
    <w:rsid w:val="0081051B"/>
    <w:rsid w:val="0081055C"/>
    <w:rsid w:val="008105BD"/>
    <w:rsid w:val="0081082E"/>
    <w:rsid w:val="008109F7"/>
    <w:rsid w:val="00810CB8"/>
    <w:rsid w:val="00810F47"/>
    <w:rsid w:val="008110D3"/>
    <w:rsid w:val="00811255"/>
    <w:rsid w:val="0081131E"/>
    <w:rsid w:val="008116A1"/>
    <w:rsid w:val="00811E6D"/>
    <w:rsid w:val="008124B6"/>
    <w:rsid w:val="00812572"/>
    <w:rsid w:val="008125BA"/>
    <w:rsid w:val="00813551"/>
    <w:rsid w:val="00813683"/>
    <w:rsid w:val="0081422A"/>
    <w:rsid w:val="00814400"/>
    <w:rsid w:val="008144F0"/>
    <w:rsid w:val="008145AD"/>
    <w:rsid w:val="008146AF"/>
    <w:rsid w:val="0081472C"/>
    <w:rsid w:val="00814833"/>
    <w:rsid w:val="00814A62"/>
    <w:rsid w:val="00814AD4"/>
    <w:rsid w:val="00815385"/>
    <w:rsid w:val="0081554C"/>
    <w:rsid w:val="0081555C"/>
    <w:rsid w:val="00815685"/>
    <w:rsid w:val="00815820"/>
    <w:rsid w:val="008159EA"/>
    <w:rsid w:val="00815FB2"/>
    <w:rsid w:val="00816392"/>
    <w:rsid w:val="008163BD"/>
    <w:rsid w:val="008167E3"/>
    <w:rsid w:val="00816814"/>
    <w:rsid w:val="00816A9F"/>
    <w:rsid w:val="00816DF4"/>
    <w:rsid w:val="00816E60"/>
    <w:rsid w:val="00816E99"/>
    <w:rsid w:val="00817190"/>
    <w:rsid w:val="0081724C"/>
    <w:rsid w:val="00817285"/>
    <w:rsid w:val="008174EE"/>
    <w:rsid w:val="0081753D"/>
    <w:rsid w:val="008177F3"/>
    <w:rsid w:val="008178DD"/>
    <w:rsid w:val="00817A07"/>
    <w:rsid w:val="00817D0C"/>
    <w:rsid w:val="008200B7"/>
    <w:rsid w:val="00820949"/>
    <w:rsid w:val="00820DCD"/>
    <w:rsid w:val="00820FE6"/>
    <w:rsid w:val="00821025"/>
    <w:rsid w:val="00821235"/>
    <w:rsid w:val="00821312"/>
    <w:rsid w:val="008215B0"/>
    <w:rsid w:val="0082168C"/>
    <w:rsid w:val="008216F7"/>
    <w:rsid w:val="00821853"/>
    <w:rsid w:val="00821A62"/>
    <w:rsid w:val="00821F5C"/>
    <w:rsid w:val="00821FFA"/>
    <w:rsid w:val="00822390"/>
    <w:rsid w:val="008224B1"/>
    <w:rsid w:val="00822642"/>
    <w:rsid w:val="0082296A"/>
    <w:rsid w:val="00822B25"/>
    <w:rsid w:val="00823727"/>
    <w:rsid w:val="008239BC"/>
    <w:rsid w:val="00823BA8"/>
    <w:rsid w:val="00823C78"/>
    <w:rsid w:val="00823CF9"/>
    <w:rsid w:val="00823DC2"/>
    <w:rsid w:val="008241F1"/>
    <w:rsid w:val="00824475"/>
    <w:rsid w:val="008246CE"/>
    <w:rsid w:val="008247D4"/>
    <w:rsid w:val="00824EAD"/>
    <w:rsid w:val="00824F34"/>
    <w:rsid w:val="00825053"/>
    <w:rsid w:val="00825141"/>
    <w:rsid w:val="0082547C"/>
    <w:rsid w:val="008255F0"/>
    <w:rsid w:val="00825B89"/>
    <w:rsid w:val="00825BBB"/>
    <w:rsid w:val="00825C35"/>
    <w:rsid w:val="00825C4E"/>
    <w:rsid w:val="00825C5F"/>
    <w:rsid w:val="00825F1F"/>
    <w:rsid w:val="008260A8"/>
    <w:rsid w:val="0082624B"/>
    <w:rsid w:val="0082660E"/>
    <w:rsid w:val="0082736C"/>
    <w:rsid w:val="008273A7"/>
    <w:rsid w:val="008274EE"/>
    <w:rsid w:val="0082751B"/>
    <w:rsid w:val="00827868"/>
    <w:rsid w:val="008278FA"/>
    <w:rsid w:val="00827ADF"/>
    <w:rsid w:val="00827FCE"/>
    <w:rsid w:val="008302B1"/>
    <w:rsid w:val="008302B5"/>
    <w:rsid w:val="00830554"/>
    <w:rsid w:val="00830655"/>
    <w:rsid w:val="008306EC"/>
    <w:rsid w:val="008307C3"/>
    <w:rsid w:val="0083115C"/>
    <w:rsid w:val="0083119A"/>
    <w:rsid w:val="0083135C"/>
    <w:rsid w:val="0083155E"/>
    <w:rsid w:val="00831713"/>
    <w:rsid w:val="00831789"/>
    <w:rsid w:val="00831863"/>
    <w:rsid w:val="00831C2F"/>
    <w:rsid w:val="008320D5"/>
    <w:rsid w:val="008320EE"/>
    <w:rsid w:val="008324C8"/>
    <w:rsid w:val="008329E6"/>
    <w:rsid w:val="00832D95"/>
    <w:rsid w:val="00832FD9"/>
    <w:rsid w:val="00833269"/>
    <w:rsid w:val="008334EC"/>
    <w:rsid w:val="00833A16"/>
    <w:rsid w:val="00833A41"/>
    <w:rsid w:val="00833BB0"/>
    <w:rsid w:val="00833F3A"/>
    <w:rsid w:val="00833FDE"/>
    <w:rsid w:val="0083420D"/>
    <w:rsid w:val="0083425C"/>
    <w:rsid w:val="00834275"/>
    <w:rsid w:val="00834318"/>
    <w:rsid w:val="0083435D"/>
    <w:rsid w:val="008344B6"/>
    <w:rsid w:val="008344FE"/>
    <w:rsid w:val="00834677"/>
    <w:rsid w:val="00834697"/>
    <w:rsid w:val="00834DF3"/>
    <w:rsid w:val="00834E15"/>
    <w:rsid w:val="00835269"/>
    <w:rsid w:val="0083528E"/>
    <w:rsid w:val="008353F0"/>
    <w:rsid w:val="00835491"/>
    <w:rsid w:val="00835558"/>
    <w:rsid w:val="0083579A"/>
    <w:rsid w:val="00835959"/>
    <w:rsid w:val="00835A08"/>
    <w:rsid w:val="00835A62"/>
    <w:rsid w:val="00835B4E"/>
    <w:rsid w:val="00835D30"/>
    <w:rsid w:val="00835DC5"/>
    <w:rsid w:val="008364D3"/>
    <w:rsid w:val="00836517"/>
    <w:rsid w:val="00836727"/>
    <w:rsid w:val="00836DD3"/>
    <w:rsid w:val="00836FCD"/>
    <w:rsid w:val="0083701F"/>
    <w:rsid w:val="008370BF"/>
    <w:rsid w:val="00837176"/>
    <w:rsid w:val="00837D63"/>
    <w:rsid w:val="0084031E"/>
    <w:rsid w:val="008403FA"/>
    <w:rsid w:val="008406A9"/>
    <w:rsid w:val="008409A8"/>
    <w:rsid w:val="00840B1A"/>
    <w:rsid w:val="0084112C"/>
    <w:rsid w:val="0084175A"/>
    <w:rsid w:val="00841949"/>
    <w:rsid w:val="00841A53"/>
    <w:rsid w:val="00841B1D"/>
    <w:rsid w:val="00841CD7"/>
    <w:rsid w:val="00841EE1"/>
    <w:rsid w:val="00841FC2"/>
    <w:rsid w:val="0084206E"/>
    <w:rsid w:val="00842212"/>
    <w:rsid w:val="008424C6"/>
    <w:rsid w:val="0084271D"/>
    <w:rsid w:val="00842957"/>
    <w:rsid w:val="00842B3C"/>
    <w:rsid w:val="00842B7B"/>
    <w:rsid w:val="0084344F"/>
    <w:rsid w:val="008435FF"/>
    <w:rsid w:val="00843659"/>
    <w:rsid w:val="008438BB"/>
    <w:rsid w:val="00843BE3"/>
    <w:rsid w:val="00843D7B"/>
    <w:rsid w:val="00843E11"/>
    <w:rsid w:val="00843E31"/>
    <w:rsid w:val="00843EA2"/>
    <w:rsid w:val="00844292"/>
    <w:rsid w:val="00844799"/>
    <w:rsid w:val="008447FB"/>
    <w:rsid w:val="00844A57"/>
    <w:rsid w:val="00844DAA"/>
    <w:rsid w:val="008450EF"/>
    <w:rsid w:val="0084513A"/>
    <w:rsid w:val="008452AC"/>
    <w:rsid w:val="0084534D"/>
    <w:rsid w:val="008453F0"/>
    <w:rsid w:val="0084572A"/>
    <w:rsid w:val="008458EF"/>
    <w:rsid w:val="00845A72"/>
    <w:rsid w:val="00845A79"/>
    <w:rsid w:val="00845B7C"/>
    <w:rsid w:val="00845D6B"/>
    <w:rsid w:val="00845E9A"/>
    <w:rsid w:val="008462D4"/>
    <w:rsid w:val="00846451"/>
    <w:rsid w:val="0084663A"/>
    <w:rsid w:val="008466E6"/>
    <w:rsid w:val="00846791"/>
    <w:rsid w:val="00846BC9"/>
    <w:rsid w:val="00846C49"/>
    <w:rsid w:val="00847182"/>
    <w:rsid w:val="00847A40"/>
    <w:rsid w:val="00847C1D"/>
    <w:rsid w:val="00847CBD"/>
    <w:rsid w:val="00847DBA"/>
    <w:rsid w:val="00847DFF"/>
    <w:rsid w:val="00847E63"/>
    <w:rsid w:val="00847EC2"/>
    <w:rsid w:val="00850343"/>
    <w:rsid w:val="00850551"/>
    <w:rsid w:val="008505CD"/>
    <w:rsid w:val="0085088F"/>
    <w:rsid w:val="008509D0"/>
    <w:rsid w:val="00850AFD"/>
    <w:rsid w:val="00850B76"/>
    <w:rsid w:val="00850BD0"/>
    <w:rsid w:val="00850D6C"/>
    <w:rsid w:val="00850E1C"/>
    <w:rsid w:val="00851044"/>
    <w:rsid w:val="00851268"/>
    <w:rsid w:val="008517E9"/>
    <w:rsid w:val="00851D45"/>
    <w:rsid w:val="00851F67"/>
    <w:rsid w:val="00852303"/>
    <w:rsid w:val="008525AC"/>
    <w:rsid w:val="008527F3"/>
    <w:rsid w:val="00852AE4"/>
    <w:rsid w:val="00852B15"/>
    <w:rsid w:val="00852B33"/>
    <w:rsid w:val="0085333E"/>
    <w:rsid w:val="00853418"/>
    <w:rsid w:val="0085345B"/>
    <w:rsid w:val="00853EB6"/>
    <w:rsid w:val="00854093"/>
    <w:rsid w:val="0085437C"/>
    <w:rsid w:val="0085449D"/>
    <w:rsid w:val="00854743"/>
    <w:rsid w:val="0085484E"/>
    <w:rsid w:val="008548F9"/>
    <w:rsid w:val="00854B74"/>
    <w:rsid w:val="00854C41"/>
    <w:rsid w:val="0085524B"/>
    <w:rsid w:val="0085543E"/>
    <w:rsid w:val="0085599E"/>
    <w:rsid w:val="00855C0A"/>
    <w:rsid w:val="00856222"/>
    <w:rsid w:val="008565B6"/>
    <w:rsid w:val="00856750"/>
    <w:rsid w:val="00856B18"/>
    <w:rsid w:val="00856B79"/>
    <w:rsid w:val="00856D5E"/>
    <w:rsid w:val="00856D7B"/>
    <w:rsid w:val="008571CE"/>
    <w:rsid w:val="00857A51"/>
    <w:rsid w:val="00857A98"/>
    <w:rsid w:val="0086068F"/>
    <w:rsid w:val="008607FF"/>
    <w:rsid w:val="00860F31"/>
    <w:rsid w:val="00860FF0"/>
    <w:rsid w:val="008610F0"/>
    <w:rsid w:val="008612A3"/>
    <w:rsid w:val="0086156B"/>
    <w:rsid w:val="00861606"/>
    <w:rsid w:val="0086176B"/>
    <w:rsid w:val="0086194D"/>
    <w:rsid w:val="008619CA"/>
    <w:rsid w:val="008619DF"/>
    <w:rsid w:val="00861A97"/>
    <w:rsid w:val="00861F1E"/>
    <w:rsid w:val="0086201C"/>
    <w:rsid w:val="0086217E"/>
    <w:rsid w:val="008624B2"/>
    <w:rsid w:val="008626A1"/>
    <w:rsid w:val="0086280C"/>
    <w:rsid w:val="00862D66"/>
    <w:rsid w:val="00862DC1"/>
    <w:rsid w:val="00862EAA"/>
    <w:rsid w:val="00862F5B"/>
    <w:rsid w:val="008631DB"/>
    <w:rsid w:val="008637D6"/>
    <w:rsid w:val="00863A05"/>
    <w:rsid w:val="00863BDF"/>
    <w:rsid w:val="00863C4B"/>
    <w:rsid w:val="008640EA"/>
    <w:rsid w:val="00864261"/>
    <w:rsid w:val="008642CA"/>
    <w:rsid w:val="008642F6"/>
    <w:rsid w:val="00864509"/>
    <w:rsid w:val="008646D2"/>
    <w:rsid w:val="008647C3"/>
    <w:rsid w:val="008647C5"/>
    <w:rsid w:val="008652E4"/>
    <w:rsid w:val="00865825"/>
    <w:rsid w:val="00865EE2"/>
    <w:rsid w:val="0086643F"/>
    <w:rsid w:val="008664DF"/>
    <w:rsid w:val="00866662"/>
    <w:rsid w:val="008669B3"/>
    <w:rsid w:val="00866A41"/>
    <w:rsid w:val="00866A5D"/>
    <w:rsid w:val="00866BEC"/>
    <w:rsid w:val="00866C0C"/>
    <w:rsid w:val="00866D71"/>
    <w:rsid w:val="00866E69"/>
    <w:rsid w:val="0086704D"/>
    <w:rsid w:val="0086705F"/>
    <w:rsid w:val="0086719C"/>
    <w:rsid w:val="0086728E"/>
    <w:rsid w:val="008675A3"/>
    <w:rsid w:val="00867722"/>
    <w:rsid w:val="00867A20"/>
    <w:rsid w:val="00867A55"/>
    <w:rsid w:val="00867A72"/>
    <w:rsid w:val="00867B01"/>
    <w:rsid w:val="0087016A"/>
    <w:rsid w:val="00870454"/>
    <w:rsid w:val="0087067D"/>
    <w:rsid w:val="008707E8"/>
    <w:rsid w:val="0087098B"/>
    <w:rsid w:val="00870A18"/>
    <w:rsid w:val="00870E80"/>
    <w:rsid w:val="00870F4B"/>
    <w:rsid w:val="00870F9C"/>
    <w:rsid w:val="0087167F"/>
    <w:rsid w:val="00871DAF"/>
    <w:rsid w:val="00871E22"/>
    <w:rsid w:val="00872361"/>
    <w:rsid w:val="00872368"/>
    <w:rsid w:val="00872730"/>
    <w:rsid w:val="008728BA"/>
    <w:rsid w:val="00872A73"/>
    <w:rsid w:val="00872C07"/>
    <w:rsid w:val="00872D93"/>
    <w:rsid w:val="00872EEF"/>
    <w:rsid w:val="00872F95"/>
    <w:rsid w:val="00873358"/>
    <w:rsid w:val="00873639"/>
    <w:rsid w:val="008739C4"/>
    <w:rsid w:val="00873CB7"/>
    <w:rsid w:val="00873CE6"/>
    <w:rsid w:val="00874293"/>
    <w:rsid w:val="0087477C"/>
    <w:rsid w:val="00874895"/>
    <w:rsid w:val="00874908"/>
    <w:rsid w:val="0087506A"/>
    <w:rsid w:val="00875180"/>
    <w:rsid w:val="0087526C"/>
    <w:rsid w:val="008752FF"/>
    <w:rsid w:val="0087531D"/>
    <w:rsid w:val="00875374"/>
    <w:rsid w:val="008756D6"/>
    <w:rsid w:val="00875D81"/>
    <w:rsid w:val="0087642F"/>
    <w:rsid w:val="00876490"/>
    <w:rsid w:val="008768F9"/>
    <w:rsid w:val="00876B80"/>
    <w:rsid w:val="00876C5D"/>
    <w:rsid w:val="00876CBF"/>
    <w:rsid w:val="00876EF7"/>
    <w:rsid w:val="00877089"/>
    <w:rsid w:val="008772C6"/>
    <w:rsid w:val="00877390"/>
    <w:rsid w:val="0087763B"/>
    <w:rsid w:val="00877738"/>
    <w:rsid w:val="00877895"/>
    <w:rsid w:val="00877A4E"/>
    <w:rsid w:val="00880024"/>
    <w:rsid w:val="008800D1"/>
    <w:rsid w:val="00880383"/>
    <w:rsid w:val="00880399"/>
    <w:rsid w:val="008804EA"/>
    <w:rsid w:val="00880955"/>
    <w:rsid w:val="00880A5E"/>
    <w:rsid w:val="00880B1A"/>
    <w:rsid w:val="00880B7C"/>
    <w:rsid w:val="00881017"/>
    <w:rsid w:val="008811BE"/>
    <w:rsid w:val="0088140A"/>
    <w:rsid w:val="00881766"/>
    <w:rsid w:val="00881B20"/>
    <w:rsid w:val="00881B8E"/>
    <w:rsid w:val="00881B9A"/>
    <w:rsid w:val="00881D78"/>
    <w:rsid w:val="00881ECB"/>
    <w:rsid w:val="00881F62"/>
    <w:rsid w:val="00881F7A"/>
    <w:rsid w:val="008824E1"/>
    <w:rsid w:val="0088265E"/>
    <w:rsid w:val="00882761"/>
    <w:rsid w:val="00883553"/>
    <w:rsid w:val="008838E5"/>
    <w:rsid w:val="00883D0C"/>
    <w:rsid w:val="00883D8D"/>
    <w:rsid w:val="0088400D"/>
    <w:rsid w:val="008844C1"/>
    <w:rsid w:val="00884523"/>
    <w:rsid w:val="008847C4"/>
    <w:rsid w:val="00884938"/>
    <w:rsid w:val="00884A16"/>
    <w:rsid w:val="00884A81"/>
    <w:rsid w:val="0088505E"/>
    <w:rsid w:val="008852C5"/>
    <w:rsid w:val="008852E1"/>
    <w:rsid w:val="00885552"/>
    <w:rsid w:val="00885944"/>
    <w:rsid w:val="00885AE9"/>
    <w:rsid w:val="00885E6E"/>
    <w:rsid w:val="00885F87"/>
    <w:rsid w:val="00886217"/>
    <w:rsid w:val="008862B6"/>
    <w:rsid w:val="008868AC"/>
    <w:rsid w:val="00886976"/>
    <w:rsid w:val="008869A2"/>
    <w:rsid w:val="00886C96"/>
    <w:rsid w:val="00886D1F"/>
    <w:rsid w:val="00887423"/>
    <w:rsid w:val="00887787"/>
    <w:rsid w:val="00887C23"/>
    <w:rsid w:val="00887EFA"/>
    <w:rsid w:val="0089026D"/>
    <w:rsid w:val="008904A8"/>
    <w:rsid w:val="008906F8"/>
    <w:rsid w:val="0089076E"/>
    <w:rsid w:val="008907A9"/>
    <w:rsid w:val="008907C1"/>
    <w:rsid w:val="00891328"/>
    <w:rsid w:val="00891716"/>
    <w:rsid w:val="008917E7"/>
    <w:rsid w:val="008920D1"/>
    <w:rsid w:val="008923CC"/>
    <w:rsid w:val="008926B5"/>
    <w:rsid w:val="0089279C"/>
    <w:rsid w:val="00892839"/>
    <w:rsid w:val="008928AF"/>
    <w:rsid w:val="00892B01"/>
    <w:rsid w:val="00892B51"/>
    <w:rsid w:val="00892C4C"/>
    <w:rsid w:val="00892D45"/>
    <w:rsid w:val="00893445"/>
    <w:rsid w:val="00893730"/>
    <w:rsid w:val="00894035"/>
    <w:rsid w:val="00894397"/>
    <w:rsid w:val="008946F1"/>
    <w:rsid w:val="00894880"/>
    <w:rsid w:val="00894AA3"/>
    <w:rsid w:val="00894B2F"/>
    <w:rsid w:val="00895372"/>
    <w:rsid w:val="00895A76"/>
    <w:rsid w:val="00895C07"/>
    <w:rsid w:val="00895E3C"/>
    <w:rsid w:val="00895F86"/>
    <w:rsid w:val="00896357"/>
    <w:rsid w:val="00896808"/>
    <w:rsid w:val="0089693A"/>
    <w:rsid w:val="0089699B"/>
    <w:rsid w:val="00896E64"/>
    <w:rsid w:val="00896E7D"/>
    <w:rsid w:val="0089708C"/>
    <w:rsid w:val="008970D0"/>
    <w:rsid w:val="008975A5"/>
    <w:rsid w:val="00897986"/>
    <w:rsid w:val="00897A4E"/>
    <w:rsid w:val="00897E63"/>
    <w:rsid w:val="00897F53"/>
    <w:rsid w:val="008A02E4"/>
    <w:rsid w:val="008A08AF"/>
    <w:rsid w:val="008A0A66"/>
    <w:rsid w:val="008A0CC7"/>
    <w:rsid w:val="008A0CEB"/>
    <w:rsid w:val="008A1256"/>
    <w:rsid w:val="008A14F9"/>
    <w:rsid w:val="008A1525"/>
    <w:rsid w:val="008A1666"/>
    <w:rsid w:val="008A171B"/>
    <w:rsid w:val="008A1782"/>
    <w:rsid w:val="008A1886"/>
    <w:rsid w:val="008A1944"/>
    <w:rsid w:val="008A1F69"/>
    <w:rsid w:val="008A2298"/>
    <w:rsid w:val="008A22A5"/>
    <w:rsid w:val="008A22DB"/>
    <w:rsid w:val="008A247C"/>
    <w:rsid w:val="008A2494"/>
    <w:rsid w:val="008A294C"/>
    <w:rsid w:val="008A2BAC"/>
    <w:rsid w:val="008A2C01"/>
    <w:rsid w:val="008A2CF6"/>
    <w:rsid w:val="008A3039"/>
    <w:rsid w:val="008A3048"/>
    <w:rsid w:val="008A31BA"/>
    <w:rsid w:val="008A31E8"/>
    <w:rsid w:val="008A358B"/>
    <w:rsid w:val="008A390A"/>
    <w:rsid w:val="008A3A46"/>
    <w:rsid w:val="008A3F63"/>
    <w:rsid w:val="008A4087"/>
    <w:rsid w:val="008A47C1"/>
    <w:rsid w:val="008A4BAA"/>
    <w:rsid w:val="008A517E"/>
    <w:rsid w:val="008A53D5"/>
    <w:rsid w:val="008A547E"/>
    <w:rsid w:val="008A566B"/>
    <w:rsid w:val="008A5959"/>
    <w:rsid w:val="008A6023"/>
    <w:rsid w:val="008A6386"/>
    <w:rsid w:val="008A65C0"/>
    <w:rsid w:val="008A686F"/>
    <w:rsid w:val="008A6C30"/>
    <w:rsid w:val="008A6D84"/>
    <w:rsid w:val="008A72BE"/>
    <w:rsid w:val="008A7B10"/>
    <w:rsid w:val="008A7B27"/>
    <w:rsid w:val="008A7E50"/>
    <w:rsid w:val="008B002C"/>
    <w:rsid w:val="008B0373"/>
    <w:rsid w:val="008B03C3"/>
    <w:rsid w:val="008B049D"/>
    <w:rsid w:val="008B06A3"/>
    <w:rsid w:val="008B06BC"/>
    <w:rsid w:val="008B07D0"/>
    <w:rsid w:val="008B0983"/>
    <w:rsid w:val="008B0A53"/>
    <w:rsid w:val="008B1A0A"/>
    <w:rsid w:val="008B1BD6"/>
    <w:rsid w:val="008B2278"/>
    <w:rsid w:val="008B22F3"/>
    <w:rsid w:val="008B239B"/>
    <w:rsid w:val="008B2916"/>
    <w:rsid w:val="008B2A2F"/>
    <w:rsid w:val="008B2AD8"/>
    <w:rsid w:val="008B2B12"/>
    <w:rsid w:val="008B2F4B"/>
    <w:rsid w:val="008B3052"/>
    <w:rsid w:val="008B3761"/>
    <w:rsid w:val="008B3781"/>
    <w:rsid w:val="008B3DC2"/>
    <w:rsid w:val="008B44F7"/>
    <w:rsid w:val="008B4BDF"/>
    <w:rsid w:val="008B4DD6"/>
    <w:rsid w:val="008B5146"/>
    <w:rsid w:val="008B5246"/>
    <w:rsid w:val="008B52E5"/>
    <w:rsid w:val="008B5A39"/>
    <w:rsid w:val="008B5B05"/>
    <w:rsid w:val="008B5B4F"/>
    <w:rsid w:val="008B5E2E"/>
    <w:rsid w:val="008B5F83"/>
    <w:rsid w:val="008B5FDC"/>
    <w:rsid w:val="008B6142"/>
    <w:rsid w:val="008B6151"/>
    <w:rsid w:val="008B63D7"/>
    <w:rsid w:val="008B67C8"/>
    <w:rsid w:val="008B6918"/>
    <w:rsid w:val="008B6E60"/>
    <w:rsid w:val="008B7518"/>
    <w:rsid w:val="008B77FD"/>
    <w:rsid w:val="008B79D9"/>
    <w:rsid w:val="008B7A17"/>
    <w:rsid w:val="008B7FFE"/>
    <w:rsid w:val="008C04E5"/>
    <w:rsid w:val="008C0591"/>
    <w:rsid w:val="008C069A"/>
    <w:rsid w:val="008C073B"/>
    <w:rsid w:val="008C0B80"/>
    <w:rsid w:val="008C0CD2"/>
    <w:rsid w:val="008C0DA1"/>
    <w:rsid w:val="008C1673"/>
    <w:rsid w:val="008C183B"/>
    <w:rsid w:val="008C1895"/>
    <w:rsid w:val="008C18AD"/>
    <w:rsid w:val="008C1A0D"/>
    <w:rsid w:val="008C1BAB"/>
    <w:rsid w:val="008C1DAE"/>
    <w:rsid w:val="008C1E34"/>
    <w:rsid w:val="008C20C3"/>
    <w:rsid w:val="008C22A1"/>
    <w:rsid w:val="008C2339"/>
    <w:rsid w:val="008C2393"/>
    <w:rsid w:val="008C2A22"/>
    <w:rsid w:val="008C2CE8"/>
    <w:rsid w:val="008C34FC"/>
    <w:rsid w:val="008C35DD"/>
    <w:rsid w:val="008C3785"/>
    <w:rsid w:val="008C3CF9"/>
    <w:rsid w:val="008C3EA5"/>
    <w:rsid w:val="008C3EDC"/>
    <w:rsid w:val="008C45D6"/>
    <w:rsid w:val="008C530A"/>
    <w:rsid w:val="008C5492"/>
    <w:rsid w:val="008C5B47"/>
    <w:rsid w:val="008C5BCF"/>
    <w:rsid w:val="008C5CE3"/>
    <w:rsid w:val="008C600F"/>
    <w:rsid w:val="008C62C5"/>
    <w:rsid w:val="008C64C1"/>
    <w:rsid w:val="008C65B2"/>
    <w:rsid w:val="008C65D2"/>
    <w:rsid w:val="008C65E8"/>
    <w:rsid w:val="008C677D"/>
    <w:rsid w:val="008C6A3E"/>
    <w:rsid w:val="008C6E69"/>
    <w:rsid w:val="008C7000"/>
    <w:rsid w:val="008C715A"/>
    <w:rsid w:val="008C72F0"/>
    <w:rsid w:val="008C73A2"/>
    <w:rsid w:val="008C7517"/>
    <w:rsid w:val="008C7763"/>
    <w:rsid w:val="008C7C38"/>
    <w:rsid w:val="008D00FC"/>
    <w:rsid w:val="008D027D"/>
    <w:rsid w:val="008D029C"/>
    <w:rsid w:val="008D0448"/>
    <w:rsid w:val="008D06A7"/>
    <w:rsid w:val="008D0796"/>
    <w:rsid w:val="008D0847"/>
    <w:rsid w:val="008D0F53"/>
    <w:rsid w:val="008D0F5B"/>
    <w:rsid w:val="008D0F82"/>
    <w:rsid w:val="008D141C"/>
    <w:rsid w:val="008D17E4"/>
    <w:rsid w:val="008D18F8"/>
    <w:rsid w:val="008D1BD3"/>
    <w:rsid w:val="008D1D33"/>
    <w:rsid w:val="008D1E70"/>
    <w:rsid w:val="008D207F"/>
    <w:rsid w:val="008D20E6"/>
    <w:rsid w:val="008D21A4"/>
    <w:rsid w:val="008D21BD"/>
    <w:rsid w:val="008D23EF"/>
    <w:rsid w:val="008D2782"/>
    <w:rsid w:val="008D28BF"/>
    <w:rsid w:val="008D296F"/>
    <w:rsid w:val="008D29D7"/>
    <w:rsid w:val="008D2CAD"/>
    <w:rsid w:val="008D2F7D"/>
    <w:rsid w:val="008D31CF"/>
    <w:rsid w:val="008D332E"/>
    <w:rsid w:val="008D38BD"/>
    <w:rsid w:val="008D3A55"/>
    <w:rsid w:val="008D3AA5"/>
    <w:rsid w:val="008D3B76"/>
    <w:rsid w:val="008D3EF5"/>
    <w:rsid w:val="008D3FC9"/>
    <w:rsid w:val="008D4032"/>
    <w:rsid w:val="008D416F"/>
    <w:rsid w:val="008D423C"/>
    <w:rsid w:val="008D4354"/>
    <w:rsid w:val="008D4703"/>
    <w:rsid w:val="008D4A14"/>
    <w:rsid w:val="008D5099"/>
    <w:rsid w:val="008D5234"/>
    <w:rsid w:val="008D5366"/>
    <w:rsid w:val="008D5B65"/>
    <w:rsid w:val="008D5F3C"/>
    <w:rsid w:val="008D6172"/>
    <w:rsid w:val="008D6425"/>
    <w:rsid w:val="008D6466"/>
    <w:rsid w:val="008D65BE"/>
    <w:rsid w:val="008D6615"/>
    <w:rsid w:val="008D6867"/>
    <w:rsid w:val="008D6CC7"/>
    <w:rsid w:val="008D6EF8"/>
    <w:rsid w:val="008D6F60"/>
    <w:rsid w:val="008D7214"/>
    <w:rsid w:val="008D757A"/>
    <w:rsid w:val="008D75CC"/>
    <w:rsid w:val="008D77C6"/>
    <w:rsid w:val="008D78C8"/>
    <w:rsid w:val="008D7A9F"/>
    <w:rsid w:val="008D7CD9"/>
    <w:rsid w:val="008D7E29"/>
    <w:rsid w:val="008D7F64"/>
    <w:rsid w:val="008E018F"/>
    <w:rsid w:val="008E036B"/>
    <w:rsid w:val="008E075F"/>
    <w:rsid w:val="008E0813"/>
    <w:rsid w:val="008E0FF9"/>
    <w:rsid w:val="008E1123"/>
    <w:rsid w:val="008E155D"/>
    <w:rsid w:val="008E15AA"/>
    <w:rsid w:val="008E215A"/>
    <w:rsid w:val="008E2515"/>
    <w:rsid w:val="008E2A97"/>
    <w:rsid w:val="008E2D45"/>
    <w:rsid w:val="008E2F38"/>
    <w:rsid w:val="008E31B3"/>
    <w:rsid w:val="008E3273"/>
    <w:rsid w:val="008E332F"/>
    <w:rsid w:val="008E3A35"/>
    <w:rsid w:val="008E3DE9"/>
    <w:rsid w:val="008E4006"/>
    <w:rsid w:val="008E4709"/>
    <w:rsid w:val="008E4ABD"/>
    <w:rsid w:val="008E4BE8"/>
    <w:rsid w:val="008E4C9C"/>
    <w:rsid w:val="008E5258"/>
    <w:rsid w:val="008E5C2E"/>
    <w:rsid w:val="008E600D"/>
    <w:rsid w:val="008E60FE"/>
    <w:rsid w:val="008E617F"/>
    <w:rsid w:val="008E632F"/>
    <w:rsid w:val="008E6C25"/>
    <w:rsid w:val="008E6C5A"/>
    <w:rsid w:val="008E74FB"/>
    <w:rsid w:val="008E7745"/>
    <w:rsid w:val="008E78A7"/>
    <w:rsid w:val="008E7973"/>
    <w:rsid w:val="008E7BC7"/>
    <w:rsid w:val="008E7CE2"/>
    <w:rsid w:val="008E7F16"/>
    <w:rsid w:val="008F0009"/>
    <w:rsid w:val="008F0116"/>
    <w:rsid w:val="008F01BB"/>
    <w:rsid w:val="008F0279"/>
    <w:rsid w:val="008F0955"/>
    <w:rsid w:val="008F0984"/>
    <w:rsid w:val="008F09F5"/>
    <w:rsid w:val="008F131F"/>
    <w:rsid w:val="008F1840"/>
    <w:rsid w:val="008F1892"/>
    <w:rsid w:val="008F1AF1"/>
    <w:rsid w:val="008F2040"/>
    <w:rsid w:val="008F2293"/>
    <w:rsid w:val="008F2744"/>
    <w:rsid w:val="008F285A"/>
    <w:rsid w:val="008F28DB"/>
    <w:rsid w:val="008F2A4B"/>
    <w:rsid w:val="008F2ACB"/>
    <w:rsid w:val="008F2CB1"/>
    <w:rsid w:val="008F2FB6"/>
    <w:rsid w:val="008F3BD2"/>
    <w:rsid w:val="008F3D2C"/>
    <w:rsid w:val="008F4228"/>
    <w:rsid w:val="008F46D9"/>
    <w:rsid w:val="008F479E"/>
    <w:rsid w:val="008F47C0"/>
    <w:rsid w:val="008F4947"/>
    <w:rsid w:val="008F4B48"/>
    <w:rsid w:val="008F4CCB"/>
    <w:rsid w:val="008F4D98"/>
    <w:rsid w:val="008F4EF4"/>
    <w:rsid w:val="008F50FC"/>
    <w:rsid w:val="008F59A1"/>
    <w:rsid w:val="008F5EEA"/>
    <w:rsid w:val="008F5F08"/>
    <w:rsid w:val="008F5F80"/>
    <w:rsid w:val="008F6047"/>
    <w:rsid w:val="008F6157"/>
    <w:rsid w:val="008F62AA"/>
    <w:rsid w:val="008F659D"/>
    <w:rsid w:val="008F6A4E"/>
    <w:rsid w:val="008F6C49"/>
    <w:rsid w:val="008F71CF"/>
    <w:rsid w:val="008F7313"/>
    <w:rsid w:val="008F7678"/>
    <w:rsid w:val="008F781C"/>
    <w:rsid w:val="008F798A"/>
    <w:rsid w:val="008F7B0C"/>
    <w:rsid w:val="008F7B32"/>
    <w:rsid w:val="008F7C1F"/>
    <w:rsid w:val="0090013A"/>
    <w:rsid w:val="009002D8"/>
    <w:rsid w:val="009006E7"/>
    <w:rsid w:val="009009DA"/>
    <w:rsid w:val="00900B0D"/>
    <w:rsid w:val="00900B23"/>
    <w:rsid w:val="00900C0C"/>
    <w:rsid w:val="00900E8C"/>
    <w:rsid w:val="0090131A"/>
    <w:rsid w:val="0090134A"/>
    <w:rsid w:val="00901A49"/>
    <w:rsid w:val="00901DE0"/>
    <w:rsid w:val="00901EA3"/>
    <w:rsid w:val="00901F45"/>
    <w:rsid w:val="00902184"/>
    <w:rsid w:val="00902E32"/>
    <w:rsid w:val="009032B3"/>
    <w:rsid w:val="009033E1"/>
    <w:rsid w:val="009034AE"/>
    <w:rsid w:val="009038FA"/>
    <w:rsid w:val="00903A64"/>
    <w:rsid w:val="00903BA9"/>
    <w:rsid w:val="00903EFD"/>
    <w:rsid w:val="00903F94"/>
    <w:rsid w:val="00903FD3"/>
    <w:rsid w:val="00903FD7"/>
    <w:rsid w:val="00903FDA"/>
    <w:rsid w:val="009041A1"/>
    <w:rsid w:val="009043B3"/>
    <w:rsid w:val="00904421"/>
    <w:rsid w:val="00904428"/>
    <w:rsid w:val="00904513"/>
    <w:rsid w:val="00904517"/>
    <w:rsid w:val="00904741"/>
    <w:rsid w:val="00904A4D"/>
    <w:rsid w:val="00904A99"/>
    <w:rsid w:val="00904AC5"/>
    <w:rsid w:val="00904D62"/>
    <w:rsid w:val="00904EA9"/>
    <w:rsid w:val="0090520F"/>
    <w:rsid w:val="009053C6"/>
    <w:rsid w:val="00905F67"/>
    <w:rsid w:val="00906164"/>
    <w:rsid w:val="00906AEB"/>
    <w:rsid w:val="00906BB7"/>
    <w:rsid w:val="00906ED3"/>
    <w:rsid w:val="0090700B"/>
    <w:rsid w:val="0090725D"/>
    <w:rsid w:val="009077ED"/>
    <w:rsid w:val="009078EC"/>
    <w:rsid w:val="00907B04"/>
    <w:rsid w:val="009102B2"/>
    <w:rsid w:val="00910572"/>
    <w:rsid w:val="00910B78"/>
    <w:rsid w:val="00910F68"/>
    <w:rsid w:val="00911249"/>
    <w:rsid w:val="009113EA"/>
    <w:rsid w:val="0091174A"/>
    <w:rsid w:val="00911D6A"/>
    <w:rsid w:val="00911DDE"/>
    <w:rsid w:val="0091214A"/>
    <w:rsid w:val="0091247D"/>
    <w:rsid w:val="0091254A"/>
    <w:rsid w:val="00913199"/>
    <w:rsid w:val="00913511"/>
    <w:rsid w:val="00913684"/>
    <w:rsid w:val="00913853"/>
    <w:rsid w:val="0091385B"/>
    <w:rsid w:val="00913AD0"/>
    <w:rsid w:val="00913B46"/>
    <w:rsid w:val="00914170"/>
    <w:rsid w:val="009142B0"/>
    <w:rsid w:val="009142C2"/>
    <w:rsid w:val="00914429"/>
    <w:rsid w:val="00914CB2"/>
    <w:rsid w:val="00915424"/>
    <w:rsid w:val="00915488"/>
    <w:rsid w:val="009155A6"/>
    <w:rsid w:val="009156E6"/>
    <w:rsid w:val="009161F8"/>
    <w:rsid w:val="0091686C"/>
    <w:rsid w:val="009168A2"/>
    <w:rsid w:val="00916938"/>
    <w:rsid w:val="00916DD3"/>
    <w:rsid w:val="009170E6"/>
    <w:rsid w:val="0091796B"/>
    <w:rsid w:val="00917D2B"/>
    <w:rsid w:val="00917DD6"/>
    <w:rsid w:val="009202E1"/>
    <w:rsid w:val="00920417"/>
    <w:rsid w:val="00920479"/>
    <w:rsid w:val="0092055C"/>
    <w:rsid w:val="0092059C"/>
    <w:rsid w:val="009208AA"/>
    <w:rsid w:val="009208B6"/>
    <w:rsid w:val="00920985"/>
    <w:rsid w:val="00920AC7"/>
    <w:rsid w:val="00920AFF"/>
    <w:rsid w:val="00920B83"/>
    <w:rsid w:val="00920E92"/>
    <w:rsid w:val="00920FCE"/>
    <w:rsid w:val="0092134A"/>
    <w:rsid w:val="00921591"/>
    <w:rsid w:val="009216DC"/>
    <w:rsid w:val="0092171B"/>
    <w:rsid w:val="009217BD"/>
    <w:rsid w:val="0092196C"/>
    <w:rsid w:val="009219E9"/>
    <w:rsid w:val="00921AD9"/>
    <w:rsid w:val="00921C5C"/>
    <w:rsid w:val="00921D53"/>
    <w:rsid w:val="00921DF9"/>
    <w:rsid w:val="00921F15"/>
    <w:rsid w:val="00921FAE"/>
    <w:rsid w:val="00922008"/>
    <w:rsid w:val="0092205D"/>
    <w:rsid w:val="00922093"/>
    <w:rsid w:val="009223BF"/>
    <w:rsid w:val="00922654"/>
    <w:rsid w:val="009226EC"/>
    <w:rsid w:val="00922894"/>
    <w:rsid w:val="00922B0C"/>
    <w:rsid w:val="0092342E"/>
    <w:rsid w:val="0092361E"/>
    <w:rsid w:val="009236F2"/>
    <w:rsid w:val="00923BA7"/>
    <w:rsid w:val="00923C9E"/>
    <w:rsid w:val="00923D27"/>
    <w:rsid w:val="00924047"/>
    <w:rsid w:val="009242AD"/>
    <w:rsid w:val="00924467"/>
    <w:rsid w:val="009247E6"/>
    <w:rsid w:val="00924858"/>
    <w:rsid w:val="00924DC7"/>
    <w:rsid w:val="00924EAB"/>
    <w:rsid w:val="00925059"/>
    <w:rsid w:val="00925087"/>
    <w:rsid w:val="00925A73"/>
    <w:rsid w:val="00925CD8"/>
    <w:rsid w:val="00926255"/>
    <w:rsid w:val="00926281"/>
    <w:rsid w:val="009263C4"/>
    <w:rsid w:val="009266B7"/>
    <w:rsid w:val="009267BD"/>
    <w:rsid w:val="009268E4"/>
    <w:rsid w:val="009269A2"/>
    <w:rsid w:val="00926D08"/>
    <w:rsid w:val="00926EBE"/>
    <w:rsid w:val="00927021"/>
    <w:rsid w:val="0092778C"/>
    <w:rsid w:val="00927F71"/>
    <w:rsid w:val="009300E7"/>
    <w:rsid w:val="0093016C"/>
    <w:rsid w:val="0093016D"/>
    <w:rsid w:val="0093030F"/>
    <w:rsid w:val="00930373"/>
    <w:rsid w:val="0093043D"/>
    <w:rsid w:val="009304D7"/>
    <w:rsid w:val="0093083F"/>
    <w:rsid w:val="00930B8A"/>
    <w:rsid w:val="00930C76"/>
    <w:rsid w:val="009311FA"/>
    <w:rsid w:val="00931218"/>
    <w:rsid w:val="00931438"/>
    <w:rsid w:val="0093161C"/>
    <w:rsid w:val="00931693"/>
    <w:rsid w:val="00931795"/>
    <w:rsid w:val="00931BA7"/>
    <w:rsid w:val="00931BEB"/>
    <w:rsid w:val="00932076"/>
    <w:rsid w:val="00932167"/>
    <w:rsid w:val="00932368"/>
    <w:rsid w:val="00932578"/>
    <w:rsid w:val="0093281C"/>
    <w:rsid w:val="00932B96"/>
    <w:rsid w:val="00932BB4"/>
    <w:rsid w:val="00932CC8"/>
    <w:rsid w:val="00932F1C"/>
    <w:rsid w:val="0093312A"/>
    <w:rsid w:val="0093321C"/>
    <w:rsid w:val="00933756"/>
    <w:rsid w:val="00933A9C"/>
    <w:rsid w:val="0093407E"/>
    <w:rsid w:val="009341E6"/>
    <w:rsid w:val="009347E0"/>
    <w:rsid w:val="009347FE"/>
    <w:rsid w:val="00934C72"/>
    <w:rsid w:val="00934F8C"/>
    <w:rsid w:val="009350EE"/>
    <w:rsid w:val="00935150"/>
    <w:rsid w:val="00935B7B"/>
    <w:rsid w:val="00935C1C"/>
    <w:rsid w:val="00935D85"/>
    <w:rsid w:val="00935D8A"/>
    <w:rsid w:val="00935EE0"/>
    <w:rsid w:val="009362DD"/>
    <w:rsid w:val="009365E6"/>
    <w:rsid w:val="00936A88"/>
    <w:rsid w:val="00936C62"/>
    <w:rsid w:val="00936D38"/>
    <w:rsid w:val="00936EDD"/>
    <w:rsid w:val="00937014"/>
    <w:rsid w:val="009372D8"/>
    <w:rsid w:val="00937463"/>
    <w:rsid w:val="009374D9"/>
    <w:rsid w:val="009374FC"/>
    <w:rsid w:val="00937D0F"/>
    <w:rsid w:val="00937D10"/>
    <w:rsid w:val="00937E88"/>
    <w:rsid w:val="00937F00"/>
    <w:rsid w:val="0094008B"/>
    <w:rsid w:val="0094009C"/>
    <w:rsid w:val="009402AE"/>
    <w:rsid w:val="00940692"/>
    <w:rsid w:val="00940878"/>
    <w:rsid w:val="00940A36"/>
    <w:rsid w:val="00940AE5"/>
    <w:rsid w:val="00940FE7"/>
    <w:rsid w:val="00941460"/>
    <w:rsid w:val="00941929"/>
    <w:rsid w:val="00941B32"/>
    <w:rsid w:val="00941FEF"/>
    <w:rsid w:val="009420C1"/>
    <w:rsid w:val="009425E3"/>
    <w:rsid w:val="009427D6"/>
    <w:rsid w:val="00942F43"/>
    <w:rsid w:val="00942FBB"/>
    <w:rsid w:val="00943480"/>
    <w:rsid w:val="0094388B"/>
    <w:rsid w:val="0094398C"/>
    <w:rsid w:val="00943C38"/>
    <w:rsid w:val="00943E79"/>
    <w:rsid w:val="009440D1"/>
    <w:rsid w:val="00944510"/>
    <w:rsid w:val="00944CAD"/>
    <w:rsid w:val="00944D5B"/>
    <w:rsid w:val="00944D5F"/>
    <w:rsid w:val="009450C4"/>
    <w:rsid w:val="009450F8"/>
    <w:rsid w:val="0094572B"/>
    <w:rsid w:val="00945803"/>
    <w:rsid w:val="0094588E"/>
    <w:rsid w:val="0094594D"/>
    <w:rsid w:val="00945A50"/>
    <w:rsid w:val="00945DAC"/>
    <w:rsid w:val="00946131"/>
    <w:rsid w:val="009462C0"/>
    <w:rsid w:val="0094643B"/>
    <w:rsid w:val="00946C93"/>
    <w:rsid w:val="00946D71"/>
    <w:rsid w:val="00946E40"/>
    <w:rsid w:val="00946F98"/>
    <w:rsid w:val="009477FA"/>
    <w:rsid w:val="00947825"/>
    <w:rsid w:val="0094798E"/>
    <w:rsid w:val="00947A7C"/>
    <w:rsid w:val="00947BF3"/>
    <w:rsid w:val="00947C7B"/>
    <w:rsid w:val="00947D0E"/>
    <w:rsid w:val="00947D6D"/>
    <w:rsid w:val="00947E2A"/>
    <w:rsid w:val="009504E2"/>
    <w:rsid w:val="00950607"/>
    <w:rsid w:val="00950925"/>
    <w:rsid w:val="00950F5B"/>
    <w:rsid w:val="00950F87"/>
    <w:rsid w:val="009515B9"/>
    <w:rsid w:val="009519A6"/>
    <w:rsid w:val="00951ABF"/>
    <w:rsid w:val="00951ACE"/>
    <w:rsid w:val="00951BB0"/>
    <w:rsid w:val="00951CE0"/>
    <w:rsid w:val="00951DE5"/>
    <w:rsid w:val="00951F10"/>
    <w:rsid w:val="00952069"/>
    <w:rsid w:val="0095233F"/>
    <w:rsid w:val="009523F3"/>
    <w:rsid w:val="0095260C"/>
    <w:rsid w:val="0095291C"/>
    <w:rsid w:val="009529FA"/>
    <w:rsid w:val="00952A63"/>
    <w:rsid w:val="00952BFF"/>
    <w:rsid w:val="00952E6D"/>
    <w:rsid w:val="0095300B"/>
    <w:rsid w:val="0095316D"/>
    <w:rsid w:val="009539A3"/>
    <w:rsid w:val="00953A2E"/>
    <w:rsid w:val="00953AA3"/>
    <w:rsid w:val="009544C4"/>
    <w:rsid w:val="009545C4"/>
    <w:rsid w:val="009546B4"/>
    <w:rsid w:val="009548AF"/>
    <w:rsid w:val="009548CE"/>
    <w:rsid w:val="00954A3C"/>
    <w:rsid w:val="00954CE0"/>
    <w:rsid w:val="00954DD4"/>
    <w:rsid w:val="00954F58"/>
    <w:rsid w:val="0095543E"/>
    <w:rsid w:val="00955741"/>
    <w:rsid w:val="0095582D"/>
    <w:rsid w:val="00955C1E"/>
    <w:rsid w:val="00955D96"/>
    <w:rsid w:val="00955DDF"/>
    <w:rsid w:val="00955F8A"/>
    <w:rsid w:val="00956042"/>
    <w:rsid w:val="00956060"/>
    <w:rsid w:val="0095607E"/>
    <w:rsid w:val="00956086"/>
    <w:rsid w:val="00956156"/>
    <w:rsid w:val="00956250"/>
    <w:rsid w:val="00956521"/>
    <w:rsid w:val="00956571"/>
    <w:rsid w:val="0095679F"/>
    <w:rsid w:val="009567B8"/>
    <w:rsid w:val="00956900"/>
    <w:rsid w:val="00956EA9"/>
    <w:rsid w:val="009571D3"/>
    <w:rsid w:val="00957AA1"/>
    <w:rsid w:val="00957B58"/>
    <w:rsid w:val="009604D6"/>
    <w:rsid w:val="0096071F"/>
    <w:rsid w:val="00960F56"/>
    <w:rsid w:val="00961551"/>
    <w:rsid w:val="009615D3"/>
    <w:rsid w:val="00961A31"/>
    <w:rsid w:val="00961DF5"/>
    <w:rsid w:val="00962127"/>
    <w:rsid w:val="00962196"/>
    <w:rsid w:val="0096226F"/>
    <w:rsid w:val="0096233D"/>
    <w:rsid w:val="009625F8"/>
    <w:rsid w:val="00962AF2"/>
    <w:rsid w:val="00962B5A"/>
    <w:rsid w:val="00962D48"/>
    <w:rsid w:val="00963200"/>
    <w:rsid w:val="00963475"/>
    <w:rsid w:val="009635C3"/>
    <w:rsid w:val="009636B7"/>
    <w:rsid w:val="00963800"/>
    <w:rsid w:val="00963843"/>
    <w:rsid w:val="00963EC9"/>
    <w:rsid w:val="00963EE4"/>
    <w:rsid w:val="0096455B"/>
    <w:rsid w:val="009647BB"/>
    <w:rsid w:val="00964867"/>
    <w:rsid w:val="00964B85"/>
    <w:rsid w:val="00964EBA"/>
    <w:rsid w:val="00964F1D"/>
    <w:rsid w:val="009656C0"/>
    <w:rsid w:val="009658A9"/>
    <w:rsid w:val="00965EA2"/>
    <w:rsid w:val="009665B3"/>
    <w:rsid w:val="00966669"/>
    <w:rsid w:val="0096682B"/>
    <w:rsid w:val="00966A8D"/>
    <w:rsid w:val="00966C74"/>
    <w:rsid w:val="00966EE0"/>
    <w:rsid w:val="00967009"/>
    <w:rsid w:val="0096700D"/>
    <w:rsid w:val="00967142"/>
    <w:rsid w:val="00967D49"/>
    <w:rsid w:val="00967D53"/>
    <w:rsid w:val="00967DCF"/>
    <w:rsid w:val="00967F44"/>
    <w:rsid w:val="00970246"/>
    <w:rsid w:val="00970355"/>
    <w:rsid w:val="009707C6"/>
    <w:rsid w:val="009707F2"/>
    <w:rsid w:val="00970B1C"/>
    <w:rsid w:val="00970E39"/>
    <w:rsid w:val="00970EB8"/>
    <w:rsid w:val="00970EBD"/>
    <w:rsid w:val="00971479"/>
    <w:rsid w:val="00971588"/>
    <w:rsid w:val="009719C5"/>
    <w:rsid w:val="00971AA0"/>
    <w:rsid w:val="00971B05"/>
    <w:rsid w:val="00971CFA"/>
    <w:rsid w:val="00971E03"/>
    <w:rsid w:val="00971E7C"/>
    <w:rsid w:val="00971FE7"/>
    <w:rsid w:val="00972521"/>
    <w:rsid w:val="00972790"/>
    <w:rsid w:val="00972DE3"/>
    <w:rsid w:val="00972F05"/>
    <w:rsid w:val="009730D5"/>
    <w:rsid w:val="009731E6"/>
    <w:rsid w:val="00973398"/>
    <w:rsid w:val="009734E2"/>
    <w:rsid w:val="009735E9"/>
    <w:rsid w:val="00973BD8"/>
    <w:rsid w:val="00973C40"/>
    <w:rsid w:val="00973CFD"/>
    <w:rsid w:val="00974285"/>
    <w:rsid w:val="009743AC"/>
    <w:rsid w:val="00974AB6"/>
    <w:rsid w:val="00974E3A"/>
    <w:rsid w:val="00974F0D"/>
    <w:rsid w:val="00975264"/>
    <w:rsid w:val="009755BE"/>
    <w:rsid w:val="0097566C"/>
    <w:rsid w:val="00975751"/>
    <w:rsid w:val="00975AA0"/>
    <w:rsid w:val="00975B59"/>
    <w:rsid w:val="00975F0C"/>
    <w:rsid w:val="00975F12"/>
    <w:rsid w:val="0097612C"/>
    <w:rsid w:val="0097695A"/>
    <w:rsid w:val="00976A2D"/>
    <w:rsid w:val="00976BEC"/>
    <w:rsid w:val="00976C61"/>
    <w:rsid w:val="0097785A"/>
    <w:rsid w:val="00977BBD"/>
    <w:rsid w:val="00977C5A"/>
    <w:rsid w:val="00980226"/>
    <w:rsid w:val="009802B7"/>
    <w:rsid w:val="009805A7"/>
    <w:rsid w:val="009807E3"/>
    <w:rsid w:val="00980813"/>
    <w:rsid w:val="00980B52"/>
    <w:rsid w:val="00980EAE"/>
    <w:rsid w:val="009812B0"/>
    <w:rsid w:val="009815D8"/>
    <w:rsid w:val="009816BD"/>
    <w:rsid w:val="00981932"/>
    <w:rsid w:val="009819BE"/>
    <w:rsid w:val="00981B6F"/>
    <w:rsid w:val="00982195"/>
    <w:rsid w:val="009822C5"/>
    <w:rsid w:val="009823BC"/>
    <w:rsid w:val="0098258A"/>
    <w:rsid w:val="009825CA"/>
    <w:rsid w:val="00982781"/>
    <w:rsid w:val="00982828"/>
    <w:rsid w:val="00982A2F"/>
    <w:rsid w:val="00982E34"/>
    <w:rsid w:val="00982E66"/>
    <w:rsid w:val="00982FDB"/>
    <w:rsid w:val="00983317"/>
    <w:rsid w:val="009837FD"/>
    <w:rsid w:val="0098395A"/>
    <w:rsid w:val="00983B3F"/>
    <w:rsid w:val="00983C07"/>
    <w:rsid w:val="00983C36"/>
    <w:rsid w:val="00983CC5"/>
    <w:rsid w:val="00983E61"/>
    <w:rsid w:val="009840E9"/>
    <w:rsid w:val="00984474"/>
    <w:rsid w:val="009846A1"/>
    <w:rsid w:val="00984888"/>
    <w:rsid w:val="00984960"/>
    <w:rsid w:val="009850DF"/>
    <w:rsid w:val="009851D0"/>
    <w:rsid w:val="0098524E"/>
    <w:rsid w:val="0098527B"/>
    <w:rsid w:val="009852B2"/>
    <w:rsid w:val="00985416"/>
    <w:rsid w:val="0098548D"/>
    <w:rsid w:val="009854B6"/>
    <w:rsid w:val="00985CE7"/>
    <w:rsid w:val="00986006"/>
    <w:rsid w:val="0098604A"/>
    <w:rsid w:val="00986200"/>
    <w:rsid w:val="00986482"/>
    <w:rsid w:val="00986BA0"/>
    <w:rsid w:val="00986BE8"/>
    <w:rsid w:val="00986D77"/>
    <w:rsid w:val="00987453"/>
    <w:rsid w:val="009874E7"/>
    <w:rsid w:val="009875B3"/>
    <w:rsid w:val="0098776B"/>
    <w:rsid w:val="00987771"/>
    <w:rsid w:val="00987928"/>
    <w:rsid w:val="00987AC7"/>
    <w:rsid w:val="00987F62"/>
    <w:rsid w:val="00987F8B"/>
    <w:rsid w:val="00990382"/>
    <w:rsid w:val="00990694"/>
    <w:rsid w:val="009908A1"/>
    <w:rsid w:val="00990C71"/>
    <w:rsid w:val="00990CE3"/>
    <w:rsid w:val="00990E73"/>
    <w:rsid w:val="00990F1F"/>
    <w:rsid w:val="009911E2"/>
    <w:rsid w:val="0099180F"/>
    <w:rsid w:val="00991B07"/>
    <w:rsid w:val="00991D2B"/>
    <w:rsid w:val="00991ED6"/>
    <w:rsid w:val="009926A5"/>
    <w:rsid w:val="009927C5"/>
    <w:rsid w:val="00992813"/>
    <w:rsid w:val="009928FC"/>
    <w:rsid w:val="00992B30"/>
    <w:rsid w:val="00992C94"/>
    <w:rsid w:val="00993111"/>
    <w:rsid w:val="009934ED"/>
    <w:rsid w:val="009938FE"/>
    <w:rsid w:val="00993A42"/>
    <w:rsid w:val="00993CD5"/>
    <w:rsid w:val="00993CF2"/>
    <w:rsid w:val="00993ECA"/>
    <w:rsid w:val="00993EE2"/>
    <w:rsid w:val="00993FBF"/>
    <w:rsid w:val="0099430B"/>
    <w:rsid w:val="0099436B"/>
    <w:rsid w:val="009947B1"/>
    <w:rsid w:val="00994AD3"/>
    <w:rsid w:val="00994DDC"/>
    <w:rsid w:val="00994EE5"/>
    <w:rsid w:val="00995104"/>
    <w:rsid w:val="009953B7"/>
    <w:rsid w:val="009953DC"/>
    <w:rsid w:val="0099577E"/>
    <w:rsid w:val="0099588D"/>
    <w:rsid w:val="00996504"/>
    <w:rsid w:val="009967E3"/>
    <w:rsid w:val="00996FCA"/>
    <w:rsid w:val="009970ED"/>
    <w:rsid w:val="009971D7"/>
    <w:rsid w:val="0099724D"/>
    <w:rsid w:val="00997455"/>
    <w:rsid w:val="00997E47"/>
    <w:rsid w:val="00997EC9"/>
    <w:rsid w:val="00997F88"/>
    <w:rsid w:val="009A04FF"/>
    <w:rsid w:val="009A0668"/>
    <w:rsid w:val="009A07FD"/>
    <w:rsid w:val="009A09D1"/>
    <w:rsid w:val="009A0BDB"/>
    <w:rsid w:val="009A0FA2"/>
    <w:rsid w:val="009A114B"/>
    <w:rsid w:val="009A13B1"/>
    <w:rsid w:val="009A14F3"/>
    <w:rsid w:val="009A1A7F"/>
    <w:rsid w:val="009A1CB0"/>
    <w:rsid w:val="009A1DEB"/>
    <w:rsid w:val="009A24A6"/>
    <w:rsid w:val="009A2543"/>
    <w:rsid w:val="009A29FA"/>
    <w:rsid w:val="009A2C45"/>
    <w:rsid w:val="009A2C9F"/>
    <w:rsid w:val="009A2DEA"/>
    <w:rsid w:val="009A30A8"/>
    <w:rsid w:val="009A3250"/>
    <w:rsid w:val="009A3880"/>
    <w:rsid w:val="009A38E9"/>
    <w:rsid w:val="009A3D07"/>
    <w:rsid w:val="009A3F47"/>
    <w:rsid w:val="009A418A"/>
    <w:rsid w:val="009A43B4"/>
    <w:rsid w:val="009A44AB"/>
    <w:rsid w:val="009A4775"/>
    <w:rsid w:val="009A47D7"/>
    <w:rsid w:val="009A4AFA"/>
    <w:rsid w:val="009A517F"/>
    <w:rsid w:val="009A5215"/>
    <w:rsid w:val="009A5368"/>
    <w:rsid w:val="009A547E"/>
    <w:rsid w:val="009A548A"/>
    <w:rsid w:val="009A564D"/>
    <w:rsid w:val="009A58EB"/>
    <w:rsid w:val="009A5A83"/>
    <w:rsid w:val="009A61E2"/>
    <w:rsid w:val="009A6263"/>
    <w:rsid w:val="009A6D06"/>
    <w:rsid w:val="009A6E3F"/>
    <w:rsid w:val="009A6FAE"/>
    <w:rsid w:val="009A7537"/>
    <w:rsid w:val="009A7598"/>
    <w:rsid w:val="009A76B1"/>
    <w:rsid w:val="009A7744"/>
    <w:rsid w:val="009A7A98"/>
    <w:rsid w:val="009B0027"/>
    <w:rsid w:val="009B028A"/>
    <w:rsid w:val="009B0457"/>
    <w:rsid w:val="009B0987"/>
    <w:rsid w:val="009B0E49"/>
    <w:rsid w:val="009B0F93"/>
    <w:rsid w:val="009B1000"/>
    <w:rsid w:val="009B1164"/>
    <w:rsid w:val="009B1BD1"/>
    <w:rsid w:val="009B2104"/>
    <w:rsid w:val="009B23B0"/>
    <w:rsid w:val="009B24A2"/>
    <w:rsid w:val="009B29FA"/>
    <w:rsid w:val="009B2BB0"/>
    <w:rsid w:val="009B2DFB"/>
    <w:rsid w:val="009B34B7"/>
    <w:rsid w:val="009B3768"/>
    <w:rsid w:val="009B3964"/>
    <w:rsid w:val="009B39F2"/>
    <w:rsid w:val="009B3A7B"/>
    <w:rsid w:val="009B3C41"/>
    <w:rsid w:val="009B3C59"/>
    <w:rsid w:val="009B3E46"/>
    <w:rsid w:val="009B40F2"/>
    <w:rsid w:val="009B4448"/>
    <w:rsid w:val="009B47E2"/>
    <w:rsid w:val="009B4D98"/>
    <w:rsid w:val="009B4FBF"/>
    <w:rsid w:val="009B519A"/>
    <w:rsid w:val="009B52E1"/>
    <w:rsid w:val="009B5551"/>
    <w:rsid w:val="009B5BBF"/>
    <w:rsid w:val="009B5CDF"/>
    <w:rsid w:val="009B5D2E"/>
    <w:rsid w:val="009B5DA6"/>
    <w:rsid w:val="009B5E2F"/>
    <w:rsid w:val="009B6189"/>
    <w:rsid w:val="009B6496"/>
    <w:rsid w:val="009B6B53"/>
    <w:rsid w:val="009B6E81"/>
    <w:rsid w:val="009B707D"/>
    <w:rsid w:val="009B75EF"/>
    <w:rsid w:val="009B7678"/>
    <w:rsid w:val="009B7741"/>
    <w:rsid w:val="009B7C18"/>
    <w:rsid w:val="009B7DD5"/>
    <w:rsid w:val="009C000E"/>
    <w:rsid w:val="009C0624"/>
    <w:rsid w:val="009C09C5"/>
    <w:rsid w:val="009C0B53"/>
    <w:rsid w:val="009C0DA9"/>
    <w:rsid w:val="009C14AA"/>
    <w:rsid w:val="009C15B1"/>
    <w:rsid w:val="009C1745"/>
    <w:rsid w:val="009C1A4B"/>
    <w:rsid w:val="009C1AE7"/>
    <w:rsid w:val="009C1C1D"/>
    <w:rsid w:val="009C1FBF"/>
    <w:rsid w:val="009C2177"/>
    <w:rsid w:val="009C21FA"/>
    <w:rsid w:val="009C236C"/>
    <w:rsid w:val="009C25CB"/>
    <w:rsid w:val="009C2904"/>
    <w:rsid w:val="009C298E"/>
    <w:rsid w:val="009C2AD6"/>
    <w:rsid w:val="009C2CD4"/>
    <w:rsid w:val="009C2E9C"/>
    <w:rsid w:val="009C364C"/>
    <w:rsid w:val="009C3683"/>
    <w:rsid w:val="009C3822"/>
    <w:rsid w:val="009C38B0"/>
    <w:rsid w:val="009C3ACA"/>
    <w:rsid w:val="009C3AD8"/>
    <w:rsid w:val="009C3C8D"/>
    <w:rsid w:val="009C3F60"/>
    <w:rsid w:val="009C4372"/>
    <w:rsid w:val="009C4579"/>
    <w:rsid w:val="009C45B1"/>
    <w:rsid w:val="009C464B"/>
    <w:rsid w:val="009C47E2"/>
    <w:rsid w:val="009C4824"/>
    <w:rsid w:val="009C48C7"/>
    <w:rsid w:val="009C49B3"/>
    <w:rsid w:val="009C4E99"/>
    <w:rsid w:val="009C53E2"/>
    <w:rsid w:val="009C5583"/>
    <w:rsid w:val="009C5685"/>
    <w:rsid w:val="009C57F7"/>
    <w:rsid w:val="009C5A12"/>
    <w:rsid w:val="009C5CEE"/>
    <w:rsid w:val="009C611D"/>
    <w:rsid w:val="009C6272"/>
    <w:rsid w:val="009C6532"/>
    <w:rsid w:val="009C69AF"/>
    <w:rsid w:val="009C6BBF"/>
    <w:rsid w:val="009C6D94"/>
    <w:rsid w:val="009C6E63"/>
    <w:rsid w:val="009C6FC1"/>
    <w:rsid w:val="009C7433"/>
    <w:rsid w:val="009C754D"/>
    <w:rsid w:val="009C7994"/>
    <w:rsid w:val="009C7AFD"/>
    <w:rsid w:val="009C7B63"/>
    <w:rsid w:val="009C7F09"/>
    <w:rsid w:val="009D021F"/>
    <w:rsid w:val="009D03B0"/>
    <w:rsid w:val="009D0673"/>
    <w:rsid w:val="009D0A27"/>
    <w:rsid w:val="009D0B01"/>
    <w:rsid w:val="009D0E2F"/>
    <w:rsid w:val="009D0E69"/>
    <w:rsid w:val="009D11AE"/>
    <w:rsid w:val="009D14C9"/>
    <w:rsid w:val="009D17A0"/>
    <w:rsid w:val="009D1A63"/>
    <w:rsid w:val="009D2AC5"/>
    <w:rsid w:val="009D2D47"/>
    <w:rsid w:val="009D2E5C"/>
    <w:rsid w:val="009D2E92"/>
    <w:rsid w:val="009D30CA"/>
    <w:rsid w:val="009D3759"/>
    <w:rsid w:val="009D39ED"/>
    <w:rsid w:val="009D39F3"/>
    <w:rsid w:val="009D3FE7"/>
    <w:rsid w:val="009D4122"/>
    <w:rsid w:val="009D422B"/>
    <w:rsid w:val="009D4233"/>
    <w:rsid w:val="009D4362"/>
    <w:rsid w:val="009D44D2"/>
    <w:rsid w:val="009D4A3A"/>
    <w:rsid w:val="009D4B67"/>
    <w:rsid w:val="009D4EA4"/>
    <w:rsid w:val="009D50D6"/>
    <w:rsid w:val="009D5111"/>
    <w:rsid w:val="009D5182"/>
    <w:rsid w:val="009D519F"/>
    <w:rsid w:val="009D528E"/>
    <w:rsid w:val="009D52D3"/>
    <w:rsid w:val="009D543E"/>
    <w:rsid w:val="009D54D4"/>
    <w:rsid w:val="009D554B"/>
    <w:rsid w:val="009D585A"/>
    <w:rsid w:val="009D58FE"/>
    <w:rsid w:val="009D59EE"/>
    <w:rsid w:val="009D5EC2"/>
    <w:rsid w:val="009D5F35"/>
    <w:rsid w:val="009D63FA"/>
    <w:rsid w:val="009D6692"/>
    <w:rsid w:val="009D66C8"/>
    <w:rsid w:val="009D6782"/>
    <w:rsid w:val="009D69F9"/>
    <w:rsid w:val="009D6A11"/>
    <w:rsid w:val="009D6A4C"/>
    <w:rsid w:val="009D6D5F"/>
    <w:rsid w:val="009D6EFC"/>
    <w:rsid w:val="009D722A"/>
    <w:rsid w:val="009D7442"/>
    <w:rsid w:val="009D75A2"/>
    <w:rsid w:val="009D75D5"/>
    <w:rsid w:val="009D7B2D"/>
    <w:rsid w:val="009D7B8E"/>
    <w:rsid w:val="009D7E12"/>
    <w:rsid w:val="009D7FA7"/>
    <w:rsid w:val="009D7FFB"/>
    <w:rsid w:val="009E01E5"/>
    <w:rsid w:val="009E02B9"/>
    <w:rsid w:val="009E02C7"/>
    <w:rsid w:val="009E0506"/>
    <w:rsid w:val="009E0A86"/>
    <w:rsid w:val="009E0B7D"/>
    <w:rsid w:val="009E0CC9"/>
    <w:rsid w:val="009E0F90"/>
    <w:rsid w:val="009E0F9C"/>
    <w:rsid w:val="009E1178"/>
    <w:rsid w:val="009E118B"/>
    <w:rsid w:val="009E1263"/>
    <w:rsid w:val="009E15C3"/>
    <w:rsid w:val="009E1794"/>
    <w:rsid w:val="009E17C1"/>
    <w:rsid w:val="009E1844"/>
    <w:rsid w:val="009E1886"/>
    <w:rsid w:val="009E1A86"/>
    <w:rsid w:val="009E1BC5"/>
    <w:rsid w:val="009E1C21"/>
    <w:rsid w:val="009E1CBA"/>
    <w:rsid w:val="009E1CF8"/>
    <w:rsid w:val="009E1EE3"/>
    <w:rsid w:val="009E221A"/>
    <w:rsid w:val="009E2616"/>
    <w:rsid w:val="009E27AC"/>
    <w:rsid w:val="009E27FB"/>
    <w:rsid w:val="009E2886"/>
    <w:rsid w:val="009E28FB"/>
    <w:rsid w:val="009E2A7B"/>
    <w:rsid w:val="009E2ACB"/>
    <w:rsid w:val="009E2C18"/>
    <w:rsid w:val="009E355E"/>
    <w:rsid w:val="009E3B19"/>
    <w:rsid w:val="009E3C44"/>
    <w:rsid w:val="009E4A4D"/>
    <w:rsid w:val="009E4ECC"/>
    <w:rsid w:val="009E4F4B"/>
    <w:rsid w:val="009E4FA6"/>
    <w:rsid w:val="009E5ACD"/>
    <w:rsid w:val="009E5E16"/>
    <w:rsid w:val="009E5EA8"/>
    <w:rsid w:val="009E5F68"/>
    <w:rsid w:val="009E5F81"/>
    <w:rsid w:val="009E5FE5"/>
    <w:rsid w:val="009E6204"/>
    <w:rsid w:val="009E6513"/>
    <w:rsid w:val="009E65B6"/>
    <w:rsid w:val="009E66DC"/>
    <w:rsid w:val="009E68B1"/>
    <w:rsid w:val="009E6B13"/>
    <w:rsid w:val="009E6B7A"/>
    <w:rsid w:val="009E6EB3"/>
    <w:rsid w:val="009E6FF0"/>
    <w:rsid w:val="009E71DC"/>
    <w:rsid w:val="009E71E2"/>
    <w:rsid w:val="009E7804"/>
    <w:rsid w:val="009E7C75"/>
    <w:rsid w:val="009E7D44"/>
    <w:rsid w:val="009E7D7C"/>
    <w:rsid w:val="009E7E14"/>
    <w:rsid w:val="009E7E9E"/>
    <w:rsid w:val="009F015E"/>
    <w:rsid w:val="009F0169"/>
    <w:rsid w:val="009F0196"/>
    <w:rsid w:val="009F0378"/>
    <w:rsid w:val="009F0550"/>
    <w:rsid w:val="009F0639"/>
    <w:rsid w:val="009F07B8"/>
    <w:rsid w:val="009F080B"/>
    <w:rsid w:val="009F08B4"/>
    <w:rsid w:val="009F0C81"/>
    <w:rsid w:val="009F0D48"/>
    <w:rsid w:val="009F0EE4"/>
    <w:rsid w:val="009F103D"/>
    <w:rsid w:val="009F1AF7"/>
    <w:rsid w:val="009F1DE6"/>
    <w:rsid w:val="009F218D"/>
    <w:rsid w:val="009F22A1"/>
    <w:rsid w:val="009F2343"/>
    <w:rsid w:val="009F2369"/>
    <w:rsid w:val="009F27F2"/>
    <w:rsid w:val="009F28AD"/>
    <w:rsid w:val="009F2902"/>
    <w:rsid w:val="009F2A3A"/>
    <w:rsid w:val="009F2ADB"/>
    <w:rsid w:val="009F2C22"/>
    <w:rsid w:val="009F2CE6"/>
    <w:rsid w:val="009F2D01"/>
    <w:rsid w:val="009F2FE9"/>
    <w:rsid w:val="009F32C1"/>
    <w:rsid w:val="009F32F2"/>
    <w:rsid w:val="009F352F"/>
    <w:rsid w:val="009F36CD"/>
    <w:rsid w:val="009F3AED"/>
    <w:rsid w:val="009F3C63"/>
    <w:rsid w:val="009F3CB5"/>
    <w:rsid w:val="009F3E08"/>
    <w:rsid w:val="009F3E3C"/>
    <w:rsid w:val="009F3F4F"/>
    <w:rsid w:val="009F4004"/>
    <w:rsid w:val="009F4045"/>
    <w:rsid w:val="009F4F1E"/>
    <w:rsid w:val="009F4F7A"/>
    <w:rsid w:val="009F50C7"/>
    <w:rsid w:val="009F51EF"/>
    <w:rsid w:val="009F53C2"/>
    <w:rsid w:val="009F5494"/>
    <w:rsid w:val="009F559D"/>
    <w:rsid w:val="009F57A5"/>
    <w:rsid w:val="009F5845"/>
    <w:rsid w:val="009F5ABC"/>
    <w:rsid w:val="009F5E8D"/>
    <w:rsid w:val="009F60AA"/>
    <w:rsid w:val="009F6CFF"/>
    <w:rsid w:val="009F6D0F"/>
    <w:rsid w:val="009F6D2C"/>
    <w:rsid w:val="009F6DBF"/>
    <w:rsid w:val="009F73D5"/>
    <w:rsid w:val="009F7659"/>
    <w:rsid w:val="009F796B"/>
    <w:rsid w:val="009F7C3B"/>
    <w:rsid w:val="009F7F1F"/>
    <w:rsid w:val="00A006DD"/>
    <w:rsid w:val="00A00AD0"/>
    <w:rsid w:val="00A01295"/>
    <w:rsid w:val="00A01EA8"/>
    <w:rsid w:val="00A02153"/>
    <w:rsid w:val="00A02369"/>
    <w:rsid w:val="00A02CA2"/>
    <w:rsid w:val="00A02EC7"/>
    <w:rsid w:val="00A02F8A"/>
    <w:rsid w:val="00A0301A"/>
    <w:rsid w:val="00A0318A"/>
    <w:rsid w:val="00A0347E"/>
    <w:rsid w:val="00A034EC"/>
    <w:rsid w:val="00A0384D"/>
    <w:rsid w:val="00A03ACB"/>
    <w:rsid w:val="00A03BC6"/>
    <w:rsid w:val="00A03BCF"/>
    <w:rsid w:val="00A041E2"/>
    <w:rsid w:val="00A044DC"/>
    <w:rsid w:val="00A044FE"/>
    <w:rsid w:val="00A0452C"/>
    <w:rsid w:val="00A0473D"/>
    <w:rsid w:val="00A04D86"/>
    <w:rsid w:val="00A05142"/>
    <w:rsid w:val="00A053D1"/>
    <w:rsid w:val="00A05582"/>
    <w:rsid w:val="00A05655"/>
    <w:rsid w:val="00A058FB"/>
    <w:rsid w:val="00A05C0B"/>
    <w:rsid w:val="00A05D8C"/>
    <w:rsid w:val="00A05EF9"/>
    <w:rsid w:val="00A05F1C"/>
    <w:rsid w:val="00A05F92"/>
    <w:rsid w:val="00A0646A"/>
    <w:rsid w:val="00A0651C"/>
    <w:rsid w:val="00A066EA"/>
    <w:rsid w:val="00A06C20"/>
    <w:rsid w:val="00A06C23"/>
    <w:rsid w:val="00A06D12"/>
    <w:rsid w:val="00A06DDB"/>
    <w:rsid w:val="00A07085"/>
    <w:rsid w:val="00A071F2"/>
    <w:rsid w:val="00A078F6"/>
    <w:rsid w:val="00A1031C"/>
    <w:rsid w:val="00A1036D"/>
    <w:rsid w:val="00A107F5"/>
    <w:rsid w:val="00A10DBD"/>
    <w:rsid w:val="00A10F40"/>
    <w:rsid w:val="00A111BE"/>
    <w:rsid w:val="00A11222"/>
    <w:rsid w:val="00A11492"/>
    <w:rsid w:val="00A1187F"/>
    <w:rsid w:val="00A11880"/>
    <w:rsid w:val="00A11FF1"/>
    <w:rsid w:val="00A12496"/>
    <w:rsid w:val="00A12610"/>
    <w:rsid w:val="00A128C0"/>
    <w:rsid w:val="00A12929"/>
    <w:rsid w:val="00A12A1D"/>
    <w:rsid w:val="00A12B91"/>
    <w:rsid w:val="00A12E2E"/>
    <w:rsid w:val="00A12ED4"/>
    <w:rsid w:val="00A130BC"/>
    <w:rsid w:val="00A13221"/>
    <w:rsid w:val="00A13363"/>
    <w:rsid w:val="00A13535"/>
    <w:rsid w:val="00A13589"/>
    <w:rsid w:val="00A13D8A"/>
    <w:rsid w:val="00A13E36"/>
    <w:rsid w:val="00A13E9B"/>
    <w:rsid w:val="00A13FA3"/>
    <w:rsid w:val="00A14047"/>
    <w:rsid w:val="00A14379"/>
    <w:rsid w:val="00A14743"/>
    <w:rsid w:val="00A149AE"/>
    <w:rsid w:val="00A14AB3"/>
    <w:rsid w:val="00A1525D"/>
    <w:rsid w:val="00A156AB"/>
    <w:rsid w:val="00A15742"/>
    <w:rsid w:val="00A15AA3"/>
    <w:rsid w:val="00A15B7B"/>
    <w:rsid w:val="00A15EF4"/>
    <w:rsid w:val="00A160CB"/>
    <w:rsid w:val="00A160D7"/>
    <w:rsid w:val="00A1638B"/>
    <w:rsid w:val="00A164F7"/>
    <w:rsid w:val="00A16664"/>
    <w:rsid w:val="00A166D0"/>
    <w:rsid w:val="00A16911"/>
    <w:rsid w:val="00A16934"/>
    <w:rsid w:val="00A16B95"/>
    <w:rsid w:val="00A16BE5"/>
    <w:rsid w:val="00A16DDF"/>
    <w:rsid w:val="00A17160"/>
    <w:rsid w:val="00A174A8"/>
    <w:rsid w:val="00A179C5"/>
    <w:rsid w:val="00A17B8F"/>
    <w:rsid w:val="00A20D1C"/>
    <w:rsid w:val="00A20DD1"/>
    <w:rsid w:val="00A213BF"/>
    <w:rsid w:val="00A21582"/>
    <w:rsid w:val="00A216D5"/>
    <w:rsid w:val="00A21967"/>
    <w:rsid w:val="00A2197F"/>
    <w:rsid w:val="00A21F9B"/>
    <w:rsid w:val="00A221DC"/>
    <w:rsid w:val="00A22320"/>
    <w:rsid w:val="00A22699"/>
    <w:rsid w:val="00A226D5"/>
    <w:rsid w:val="00A2289B"/>
    <w:rsid w:val="00A228FE"/>
    <w:rsid w:val="00A2314A"/>
    <w:rsid w:val="00A23391"/>
    <w:rsid w:val="00A2348F"/>
    <w:rsid w:val="00A237FB"/>
    <w:rsid w:val="00A239E0"/>
    <w:rsid w:val="00A239E3"/>
    <w:rsid w:val="00A23A10"/>
    <w:rsid w:val="00A23BAF"/>
    <w:rsid w:val="00A23F3A"/>
    <w:rsid w:val="00A24908"/>
    <w:rsid w:val="00A2497B"/>
    <w:rsid w:val="00A24A43"/>
    <w:rsid w:val="00A24ABE"/>
    <w:rsid w:val="00A24B39"/>
    <w:rsid w:val="00A24BB5"/>
    <w:rsid w:val="00A24CDB"/>
    <w:rsid w:val="00A2526C"/>
    <w:rsid w:val="00A253C4"/>
    <w:rsid w:val="00A255C8"/>
    <w:rsid w:val="00A25807"/>
    <w:rsid w:val="00A25CE3"/>
    <w:rsid w:val="00A25DF0"/>
    <w:rsid w:val="00A26080"/>
    <w:rsid w:val="00A260FD"/>
    <w:rsid w:val="00A26405"/>
    <w:rsid w:val="00A264F0"/>
    <w:rsid w:val="00A26504"/>
    <w:rsid w:val="00A26A74"/>
    <w:rsid w:val="00A26AC2"/>
    <w:rsid w:val="00A26C58"/>
    <w:rsid w:val="00A27CAB"/>
    <w:rsid w:val="00A301D9"/>
    <w:rsid w:val="00A3108F"/>
    <w:rsid w:val="00A31670"/>
    <w:rsid w:val="00A31A4C"/>
    <w:rsid w:val="00A31EB7"/>
    <w:rsid w:val="00A321A6"/>
    <w:rsid w:val="00A32351"/>
    <w:rsid w:val="00A32408"/>
    <w:rsid w:val="00A3244F"/>
    <w:rsid w:val="00A324DD"/>
    <w:rsid w:val="00A324E0"/>
    <w:rsid w:val="00A32ABB"/>
    <w:rsid w:val="00A330BC"/>
    <w:rsid w:val="00A33521"/>
    <w:rsid w:val="00A3381A"/>
    <w:rsid w:val="00A33931"/>
    <w:rsid w:val="00A33A6B"/>
    <w:rsid w:val="00A33C59"/>
    <w:rsid w:val="00A33C5E"/>
    <w:rsid w:val="00A33D70"/>
    <w:rsid w:val="00A3409E"/>
    <w:rsid w:val="00A340DC"/>
    <w:rsid w:val="00A345E6"/>
    <w:rsid w:val="00A347A2"/>
    <w:rsid w:val="00A347CE"/>
    <w:rsid w:val="00A34990"/>
    <w:rsid w:val="00A34B43"/>
    <w:rsid w:val="00A34DC8"/>
    <w:rsid w:val="00A34DE1"/>
    <w:rsid w:val="00A34EAE"/>
    <w:rsid w:val="00A34F7A"/>
    <w:rsid w:val="00A34F96"/>
    <w:rsid w:val="00A3512B"/>
    <w:rsid w:val="00A35246"/>
    <w:rsid w:val="00A352E0"/>
    <w:rsid w:val="00A357C8"/>
    <w:rsid w:val="00A35C53"/>
    <w:rsid w:val="00A35EE1"/>
    <w:rsid w:val="00A35F16"/>
    <w:rsid w:val="00A360CF"/>
    <w:rsid w:val="00A36916"/>
    <w:rsid w:val="00A3693F"/>
    <w:rsid w:val="00A36A6A"/>
    <w:rsid w:val="00A36D0E"/>
    <w:rsid w:val="00A36D1E"/>
    <w:rsid w:val="00A36D29"/>
    <w:rsid w:val="00A36DCB"/>
    <w:rsid w:val="00A36F09"/>
    <w:rsid w:val="00A370C1"/>
    <w:rsid w:val="00A3740B"/>
    <w:rsid w:val="00A378E3"/>
    <w:rsid w:val="00A37EED"/>
    <w:rsid w:val="00A4024D"/>
    <w:rsid w:val="00A4030A"/>
    <w:rsid w:val="00A4037F"/>
    <w:rsid w:val="00A4075E"/>
    <w:rsid w:val="00A40925"/>
    <w:rsid w:val="00A40942"/>
    <w:rsid w:val="00A409AE"/>
    <w:rsid w:val="00A412CB"/>
    <w:rsid w:val="00A414AB"/>
    <w:rsid w:val="00A41570"/>
    <w:rsid w:val="00A41770"/>
    <w:rsid w:val="00A418C8"/>
    <w:rsid w:val="00A419A0"/>
    <w:rsid w:val="00A419FE"/>
    <w:rsid w:val="00A41DA2"/>
    <w:rsid w:val="00A4245C"/>
    <w:rsid w:val="00A4283A"/>
    <w:rsid w:val="00A42A6C"/>
    <w:rsid w:val="00A42A89"/>
    <w:rsid w:val="00A42F63"/>
    <w:rsid w:val="00A42FFA"/>
    <w:rsid w:val="00A4326D"/>
    <w:rsid w:val="00A43355"/>
    <w:rsid w:val="00A439B9"/>
    <w:rsid w:val="00A43ACF"/>
    <w:rsid w:val="00A43B14"/>
    <w:rsid w:val="00A43EF8"/>
    <w:rsid w:val="00A4407E"/>
    <w:rsid w:val="00A44355"/>
    <w:rsid w:val="00A44525"/>
    <w:rsid w:val="00A4457F"/>
    <w:rsid w:val="00A44724"/>
    <w:rsid w:val="00A448D0"/>
    <w:rsid w:val="00A44DEA"/>
    <w:rsid w:val="00A44EB4"/>
    <w:rsid w:val="00A44F08"/>
    <w:rsid w:val="00A4513E"/>
    <w:rsid w:val="00A4533E"/>
    <w:rsid w:val="00A458D0"/>
    <w:rsid w:val="00A45B50"/>
    <w:rsid w:val="00A45FF3"/>
    <w:rsid w:val="00A465F1"/>
    <w:rsid w:val="00A474F3"/>
    <w:rsid w:val="00A47577"/>
    <w:rsid w:val="00A4760C"/>
    <w:rsid w:val="00A47E15"/>
    <w:rsid w:val="00A503EC"/>
    <w:rsid w:val="00A50582"/>
    <w:rsid w:val="00A505C8"/>
    <w:rsid w:val="00A506DC"/>
    <w:rsid w:val="00A509A0"/>
    <w:rsid w:val="00A50F6C"/>
    <w:rsid w:val="00A50F71"/>
    <w:rsid w:val="00A511EE"/>
    <w:rsid w:val="00A5127B"/>
    <w:rsid w:val="00A51282"/>
    <w:rsid w:val="00A51661"/>
    <w:rsid w:val="00A51CB7"/>
    <w:rsid w:val="00A52044"/>
    <w:rsid w:val="00A521E5"/>
    <w:rsid w:val="00A522D8"/>
    <w:rsid w:val="00A5267F"/>
    <w:rsid w:val="00A5270D"/>
    <w:rsid w:val="00A52743"/>
    <w:rsid w:val="00A53039"/>
    <w:rsid w:val="00A53161"/>
    <w:rsid w:val="00A53787"/>
    <w:rsid w:val="00A5387D"/>
    <w:rsid w:val="00A53A26"/>
    <w:rsid w:val="00A53A72"/>
    <w:rsid w:val="00A53BA9"/>
    <w:rsid w:val="00A53C64"/>
    <w:rsid w:val="00A53EB4"/>
    <w:rsid w:val="00A542E0"/>
    <w:rsid w:val="00A54556"/>
    <w:rsid w:val="00A54847"/>
    <w:rsid w:val="00A54B82"/>
    <w:rsid w:val="00A54CEB"/>
    <w:rsid w:val="00A54E5D"/>
    <w:rsid w:val="00A5505B"/>
    <w:rsid w:val="00A55497"/>
    <w:rsid w:val="00A559D7"/>
    <w:rsid w:val="00A55C16"/>
    <w:rsid w:val="00A55D10"/>
    <w:rsid w:val="00A55DF9"/>
    <w:rsid w:val="00A55F96"/>
    <w:rsid w:val="00A566D5"/>
    <w:rsid w:val="00A567DE"/>
    <w:rsid w:val="00A56C42"/>
    <w:rsid w:val="00A56F56"/>
    <w:rsid w:val="00A56F9A"/>
    <w:rsid w:val="00A57029"/>
    <w:rsid w:val="00A570CC"/>
    <w:rsid w:val="00A574C0"/>
    <w:rsid w:val="00A5762B"/>
    <w:rsid w:val="00A57837"/>
    <w:rsid w:val="00A57EA6"/>
    <w:rsid w:val="00A57EC6"/>
    <w:rsid w:val="00A605F4"/>
    <w:rsid w:val="00A60B88"/>
    <w:rsid w:val="00A60CE7"/>
    <w:rsid w:val="00A60EB0"/>
    <w:rsid w:val="00A60EE3"/>
    <w:rsid w:val="00A60FC4"/>
    <w:rsid w:val="00A61683"/>
    <w:rsid w:val="00A619F4"/>
    <w:rsid w:val="00A61BC7"/>
    <w:rsid w:val="00A61DBA"/>
    <w:rsid w:val="00A6201B"/>
    <w:rsid w:val="00A62234"/>
    <w:rsid w:val="00A62453"/>
    <w:rsid w:val="00A6262E"/>
    <w:rsid w:val="00A62785"/>
    <w:rsid w:val="00A627C6"/>
    <w:rsid w:val="00A62914"/>
    <w:rsid w:val="00A63043"/>
    <w:rsid w:val="00A630DC"/>
    <w:rsid w:val="00A634B4"/>
    <w:rsid w:val="00A640DA"/>
    <w:rsid w:val="00A6429F"/>
    <w:rsid w:val="00A646D2"/>
    <w:rsid w:val="00A64A4D"/>
    <w:rsid w:val="00A64C17"/>
    <w:rsid w:val="00A64CD0"/>
    <w:rsid w:val="00A64FAB"/>
    <w:rsid w:val="00A6517C"/>
    <w:rsid w:val="00A653D4"/>
    <w:rsid w:val="00A6540E"/>
    <w:rsid w:val="00A65B9E"/>
    <w:rsid w:val="00A66229"/>
    <w:rsid w:val="00A663E8"/>
    <w:rsid w:val="00A66529"/>
    <w:rsid w:val="00A6663A"/>
    <w:rsid w:val="00A66AA8"/>
    <w:rsid w:val="00A66AE1"/>
    <w:rsid w:val="00A66AF8"/>
    <w:rsid w:val="00A66B30"/>
    <w:rsid w:val="00A66BF7"/>
    <w:rsid w:val="00A66CDD"/>
    <w:rsid w:val="00A67466"/>
    <w:rsid w:val="00A67681"/>
    <w:rsid w:val="00A67F6A"/>
    <w:rsid w:val="00A7092A"/>
    <w:rsid w:val="00A70C96"/>
    <w:rsid w:val="00A70CCE"/>
    <w:rsid w:val="00A70E16"/>
    <w:rsid w:val="00A70F26"/>
    <w:rsid w:val="00A7136E"/>
    <w:rsid w:val="00A71645"/>
    <w:rsid w:val="00A716F7"/>
    <w:rsid w:val="00A717A4"/>
    <w:rsid w:val="00A71A37"/>
    <w:rsid w:val="00A71C5A"/>
    <w:rsid w:val="00A71D07"/>
    <w:rsid w:val="00A71D93"/>
    <w:rsid w:val="00A71E2B"/>
    <w:rsid w:val="00A722CB"/>
    <w:rsid w:val="00A722FB"/>
    <w:rsid w:val="00A72390"/>
    <w:rsid w:val="00A7246C"/>
    <w:rsid w:val="00A724DA"/>
    <w:rsid w:val="00A724DD"/>
    <w:rsid w:val="00A72936"/>
    <w:rsid w:val="00A7311A"/>
    <w:rsid w:val="00A7325C"/>
    <w:rsid w:val="00A7338C"/>
    <w:rsid w:val="00A7346D"/>
    <w:rsid w:val="00A739E7"/>
    <w:rsid w:val="00A73B20"/>
    <w:rsid w:val="00A73C8D"/>
    <w:rsid w:val="00A73E0B"/>
    <w:rsid w:val="00A745B7"/>
    <w:rsid w:val="00A745DB"/>
    <w:rsid w:val="00A748FC"/>
    <w:rsid w:val="00A74CC5"/>
    <w:rsid w:val="00A74CC6"/>
    <w:rsid w:val="00A74CEF"/>
    <w:rsid w:val="00A74F42"/>
    <w:rsid w:val="00A75056"/>
    <w:rsid w:val="00A75688"/>
    <w:rsid w:val="00A75966"/>
    <w:rsid w:val="00A75967"/>
    <w:rsid w:val="00A75DA9"/>
    <w:rsid w:val="00A75E0D"/>
    <w:rsid w:val="00A75EDE"/>
    <w:rsid w:val="00A7617C"/>
    <w:rsid w:val="00A76311"/>
    <w:rsid w:val="00A76589"/>
    <w:rsid w:val="00A767B6"/>
    <w:rsid w:val="00A76BB3"/>
    <w:rsid w:val="00A76C68"/>
    <w:rsid w:val="00A76D96"/>
    <w:rsid w:val="00A76DBD"/>
    <w:rsid w:val="00A76F3E"/>
    <w:rsid w:val="00A77290"/>
    <w:rsid w:val="00A77461"/>
    <w:rsid w:val="00A774A8"/>
    <w:rsid w:val="00A77637"/>
    <w:rsid w:val="00A77709"/>
    <w:rsid w:val="00A77715"/>
    <w:rsid w:val="00A7787F"/>
    <w:rsid w:val="00A77CCC"/>
    <w:rsid w:val="00A77CE4"/>
    <w:rsid w:val="00A77F3B"/>
    <w:rsid w:val="00A80007"/>
    <w:rsid w:val="00A806B2"/>
    <w:rsid w:val="00A806ED"/>
    <w:rsid w:val="00A80938"/>
    <w:rsid w:val="00A80F7A"/>
    <w:rsid w:val="00A81245"/>
    <w:rsid w:val="00A81267"/>
    <w:rsid w:val="00A8142B"/>
    <w:rsid w:val="00A817A2"/>
    <w:rsid w:val="00A81C04"/>
    <w:rsid w:val="00A81CE7"/>
    <w:rsid w:val="00A81E50"/>
    <w:rsid w:val="00A81F2D"/>
    <w:rsid w:val="00A820C6"/>
    <w:rsid w:val="00A82A67"/>
    <w:rsid w:val="00A82ACE"/>
    <w:rsid w:val="00A82C4A"/>
    <w:rsid w:val="00A82CE5"/>
    <w:rsid w:val="00A83097"/>
    <w:rsid w:val="00A830D2"/>
    <w:rsid w:val="00A832A7"/>
    <w:rsid w:val="00A83971"/>
    <w:rsid w:val="00A83C3B"/>
    <w:rsid w:val="00A83E97"/>
    <w:rsid w:val="00A841DB"/>
    <w:rsid w:val="00A8443D"/>
    <w:rsid w:val="00A8453F"/>
    <w:rsid w:val="00A84963"/>
    <w:rsid w:val="00A84C88"/>
    <w:rsid w:val="00A84DE6"/>
    <w:rsid w:val="00A85212"/>
    <w:rsid w:val="00A8525A"/>
    <w:rsid w:val="00A853C9"/>
    <w:rsid w:val="00A85729"/>
    <w:rsid w:val="00A85826"/>
    <w:rsid w:val="00A85C67"/>
    <w:rsid w:val="00A86083"/>
    <w:rsid w:val="00A861C6"/>
    <w:rsid w:val="00A86439"/>
    <w:rsid w:val="00A865C1"/>
    <w:rsid w:val="00A8667C"/>
    <w:rsid w:val="00A86AE9"/>
    <w:rsid w:val="00A87638"/>
    <w:rsid w:val="00A87668"/>
    <w:rsid w:val="00A87982"/>
    <w:rsid w:val="00A901B6"/>
    <w:rsid w:val="00A902A9"/>
    <w:rsid w:val="00A90702"/>
    <w:rsid w:val="00A90A45"/>
    <w:rsid w:val="00A90AF9"/>
    <w:rsid w:val="00A90CDE"/>
    <w:rsid w:val="00A90E47"/>
    <w:rsid w:val="00A91372"/>
    <w:rsid w:val="00A91A19"/>
    <w:rsid w:val="00A91A20"/>
    <w:rsid w:val="00A91B4E"/>
    <w:rsid w:val="00A91BFB"/>
    <w:rsid w:val="00A92471"/>
    <w:rsid w:val="00A925B7"/>
    <w:rsid w:val="00A92649"/>
    <w:rsid w:val="00A927EF"/>
    <w:rsid w:val="00A9284A"/>
    <w:rsid w:val="00A92D4D"/>
    <w:rsid w:val="00A93533"/>
    <w:rsid w:val="00A935F1"/>
    <w:rsid w:val="00A93664"/>
    <w:rsid w:val="00A9376C"/>
    <w:rsid w:val="00A93771"/>
    <w:rsid w:val="00A9391B"/>
    <w:rsid w:val="00A93E4E"/>
    <w:rsid w:val="00A93F9A"/>
    <w:rsid w:val="00A94145"/>
    <w:rsid w:val="00A9443D"/>
    <w:rsid w:val="00A948B1"/>
    <w:rsid w:val="00A94918"/>
    <w:rsid w:val="00A94CB3"/>
    <w:rsid w:val="00A95437"/>
    <w:rsid w:val="00A95671"/>
    <w:rsid w:val="00A9571C"/>
    <w:rsid w:val="00A96105"/>
    <w:rsid w:val="00A96184"/>
    <w:rsid w:val="00A961EF"/>
    <w:rsid w:val="00A962D0"/>
    <w:rsid w:val="00A96323"/>
    <w:rsid w:val="00A963BB"/>
    <w:rsid w:val="00A966E9"/>
    <w:rsid w:val="00A9686B"/>
    <w:rsid w:val="00A96937"/>
    <w:rsid w:val="00A96C14"/>
    <w:rsid w:val="00A96D1B"/>
    <w:rsid w:val="00A96D88"/>
    <w:rsid w:val="00A96E3C"/>
    <w:rsid w:val="00A96F1E"/>
    <w:rsid w:val="00A96FF4"/>
    <w:rsid w:val="00A971CA"/>
    <w:rsid w:val="00A97514"/>
    <w:rsid w:val="00A975D0"/>
    <w:rsid w:val="00A97848"/>
    <w:rsid w:val="00AA0AAC"/>
    <w:rsid w:val="00AA0EE2"/>
    <w:rsid w:val="00AA1241"/>
    <w:rsid w:val="00AA1513"/>
    <w:rsid w:val="00AA1869"/>
    <w:rsid w:val="00AA1BB7"/>
    <w:rsid w:val="00AA24AF"/>
    <w:rsid w:val="00AA255E"/>
    <w:rsid w:val="00AA25B4"/>
    <w:rsid w:val="00AA2D6C"/>
    <w:rsid w:val="00AA2E2E"/>
    <w:rsid w:val="00AA31F4"/>
    <w:rsid w:val="00AA371B"/>
    <w:rsid w:val="00AA3CEC"/>
    <w:rsid w:val="00AA3F7F"/>
    <w:rsid w:val="00AA3F88"/>
    <w:rsid w:val="00AA45CF"/>
    <w:rsid w:val="00AA4706"/>
    <w:rsid w:val="00AA475E"/>
    <w:rsid w:val="00AA4B70"/>
    <w:rsid w:val="00AA52F3"/>
    <w:rsid w:val="00AA53ED"/>
    <w:rsid w:val="00AA5496"/>
    <w:rsid w:val="00AA5581"/>
    <w:rsid w:val="00AA5BBB"/>
    <w:rsid w:val="00AA5BC5"/>
    <w:rsid w:val="00AA626B"/>
    <w:rsid w:val="00AA637E"/>
    <w:rsid w:val="00AA64FF"/>
    <w:rsid w:val="00AA6D0A"/>
    <w:rsid w:val="00AA708D"/>
    <w:rsid w:val="00AA7203"/>
    <w:rsid w:val="00AA7229"/>
    <w:rsid w:val="00AA73AA"/>
    <w:rsid w:val="00AA7467"/>
    <w:rsid w:val="00AA74CA"/>
    <w:rsid w:val="00AA75F7"/>
    <w:rsid w:val="00AA78AE"/>
    <w:rsid w:val="00AA797D"/>
    <w:rsid w:val="00AA798D"/>
    <w:rsid w:val="00AA7BA3"/>
    <w:rsid w:val="00AA7D3D"/>
    <w:rsid w:val="00AA7DE6"/>
    <w:rsid w:val="00AA7EFF"/>
    <w:rsid w:val="00AB0024"/>
    <w:rsid w:val="00AB025F"/>
    <w:rsid w:val="00AB0609"/>
    <w:rsid w:val="00AB0741"/>
    <w:rsid w:val="00AB0CF9"/>
    <w:rsid w:val="00AB1215"/>
    <w:rsid w:val="00AB1554"/>
    <w:rsid w:val="00AB1676"/>
    <w:rsid w:val="00AB175F"/>
    <w:rsid w:val="00AB1774"/>
    <w:rsid w:val="00AB197C"/>
    <w:rsid w:val="00AB1C17"/>
    <w:rsid w:val="00AB1F0F"/>
    <w:rsid w:val="00AB2236"/>
    <w:rsid w:val="00AB22E7"/>
    <w:rsid w:val="00AB2C30"/>
    <w:rsid w:val="00AB338D"/>
    <w:rsid w:val="00AB38F2"/>
    <w:rsid w:val="00AB3A30"/>
    <w:rsid w:val="00AB3A65"/>
    <w:rsid w:val="00AB3B64"/>
    <w:rsid w:val="00AB3C09"/>
    <w:rsid w:val="00AB3F53"/>
    <w:rsid w:val="00AB4092"/>
    <w:rsid w:val="00AB40C6"/>
    <w:rsid w:val="00AB4161"/>
    <w:rsid w:val="00AB4AE0"/>
    <w:rsid w:val="00AB4E54"/>
    <w:rsid w:val="00AB5282"/>
    <w:rsid w:val="00AB55E0"/>
    <w:rsid w:val="00AB5616"/>
    <w:rsid w:val="00AB5736"/>
    <w:rsid w:val="00AB5BDA"/>
    <w:rsid w:val="00AB5CFB"/>
    <w:rsid w:val="00AB5DDD"/>
    <w:rsid w:val="00AB607B"/>
    <w:rsid w:val="00AB636F"/>
    <w:rsid w:val="00AB64EF"/>
    <w:rsid w:val="00AB6731"/>
    <w:rsid w:val="00AB680A"/>
    <w:rsid w:val="00AB69F0"/>
    <w:rsid w:val="00AB6BC4"/>
    <w:rsid w:val="00AB7106"/>
    <w:rsid w:val="00AB76FF"/>
    <w:rsid w:val="00AB7F01"/>
    <w:rsid w:val="00AC0056"/>
    <w:rsid w:val="00AC0278"/>
    <w:rsid w:val="00AC0317"/>
    <w:rsid w:val="00AC0DA2"/>
    <w:rsid w:val="00AC14D7"/>
    <w:rsid w:val="00AC1EED"/>
    <w:rsid w:val="00AC20C0"/>
    <w:rsid w:val="00AC2135"/>
    <w:rsid w:val="00AC2378"/>
    <w:rsid w:val="00AC251C"/>
    <w:rsid w:val="00AC25E1"/>
    <w:rsid w:val="00AC2670"/>
    <w:rsid w:val="00AC26B4"/>
    <w:rsid w:val="00AC27C8"/>
    <w:rsid w:val="00AC283F"/>
    <w:rsid w:val="00AC29C2"/>
    <w:rsid w:val="00AC2DB0"/>
    <w:rsid w:val="00AC2F27"/>
    <w:rsid w:val="00AC325A"/>
    <w:rsid w:val="00AC3774"/>
    <w:rsid w:val="00AC39BB"/>
    <w:rsid w:val="00AC3B70"/>
    <w:rsid w:val="00AC3D77"/>
    <w:rsid w:val="00AC3FCF"/>
    <w:rsid w:val="00AC41D1"/>
    <w:rsid w:val="00AC4238"/>
    <w:rsid w:val="00AC4646"/>
    <w:rsid w:val="00AC48E2"/>
    <w:rsid w:val="00AC4951"/>
    <w:rsid w:val="00AC4974"/>
    <w:rsid w:val="00AC4A37"/>
    <w:rsid w:val="00AC5120"/>
    <w:rsid w:val="00AC5144"/>
    <w:rsid w:val="00AC54FB"/>
    <w:rsid w:val="00AC5845"/>
    <w:rsid w:val="00AC5927"/>
    <w:rsid w:val="00AC5A3F"/>
    <w:rsid w:val="00AC5A4F"/>
    <w:rsid w:val="00AC5B4E"/>
    <w:rsid w:val="00AC5F4D"/>
    <w:rsid w:val="00AC62E5"/>
    <w:rsid w:val="00AC6321"/>
    <w:rsid w:val="00AC69B1"/>
    <w:rsid w:val="00AC6A58"/>
    <w:rsid w:val="00AC701A"/>
    <w:rsid w:val="00AC718E"/>
    <w:rsid w:val="00AC71E8"/>
    <w:rsid w:val="00AC76AD"/>
    <w:rsid w:val="00AC7791"/>
    <w:rsid w:val="00AC7C82"/>
    <w:rsid w:val="00AC7CDE"/>
    <w:rsid w:val="00AC7E14"/>
    <w:rsid w:val="00AC7F48"/>
    <w:rsid w:val="00AD00AD"/>
    <w:rsid w:val="00AD0160"/>
    <w:rsid w:val="00AD034F"/>
    <w:rsid w:val="00AD092D"/>
    <w:rsid w:val="00AD0985"/>
    <w:rsid w:val="00AD0F28"/>
    <w:rsid w:val="00AD12AF"/>
    <w:rsid w:val="00AD1404"/>
    <w:rsid w:val="00AD18A5"/>
    <w:rsid w:val="00AD1B20"/>
    <w:rsid w:val="00AD1C48"/>
    <w:rsid w:val="00AD1CF3"/>
    <w:rsid w:val="00AD22F2"/>
    <w:rsid w:val="00AD25E3"/>
    <w:rsid w:val="00AD2802"/>
    <w:rsid w:val="00AD28AC"/>
    <w:rsid w:val="00AD2E80"/>
    <w:rsid w:val="00AD32E1"/>
    <w:rsid w:val="00AD34EB"/>
    <w:rsid w:val="00AD3B60"/>
    <w:rsid w:val="00AD3CE6"/>
    <w:rsid w:val="00AD3E64"/>
    <w:rsid w:val="00AD3E9E"/>
    <w:rsid w:val="00AD43E1"/>
    <w:rsid w:val="00AD440C"/>
    <w:rsid w:val="00AD4427"/>
    <w:rsid w:val="00AD486C"/>
    <w:rsid w:val="00AD4ABE"/>
    <w:rsid w:val="00AD4AF9"/>
    <w:rsid w:val="00AD4DE8"/>
    <w:rsid w:val="00AD4E93"/>
    <w:rsid w:val="00AD55CD"/>
    <w:rsid w:val="00AD5CE2"/>
    <w:rsid w:val="00AD5D90"/>
    <w:rsid w:val="00AD5F58"/>
    <w:rsid w:val="00AD6065"/>
    <w:rsid w:val="00AD6499"/>
    <w:rsid w:val="00AD660A"/>
    <w:rsid w:val="00AD689D"/>
    <w:rsid w:val="00AD6B10"/>
    <w:rsid w:val="00AD6DA4"/>
    <w:rsid w:val="00AD7474"/>
    <w:rsid w:val="00AD78EF"/>
    <w:rsid w:val="00AD7A8B"/>
    <w:rsid w:val="00AE01C6"/>
    <w:rsid w:val="00AE0435"/>
    <w:rsid w:val="00AE0566"/>
    <w:rsid w:val="00AE057B"/>
    <w:rsid w:val="00AE0614"/>
    <w:rsid w:val="00AE081B"/>
    <w:rsid w:val="00AE084E"/>
    <w:rsid w:val="00AE0ADD"/>
    <w:rsid w:val="00AE0BEC"/>
    <w:rsid w:val="00AE0D75"/>
    <w:rsid w:val="00AE0EB5"/>
    <w:rsid w:val="00AE1066"/>
    <w:rsid w:val="00AE1391"/>
    <w:rsid w:val="00AE18D0"/>
    <w:rsid w:val="00AE19E7"/>
    <w:rsid w:val="00AE1ACE"/>
    <w:rsid w:val="00AE1C66"/>
    <w:rsid w:val="00AE2102"/>
    <w:rsid w:val="00AE2233"/>
    <w:rsid w:val="00AE2BBE"/>
    <w:rsid w:val="00AE2F31"/>
    <w:rsid w:val="00AE329C"/>
    <w:rsid w:val="00AE3344"/>
    <w:rsid w:val="00AE3632"/>
    <w:rsid w:val="00AE391E"/>
    <w:rsid w:val="00AE3B8E"/>
    <w:rsid w:val="00AE3D81"/>
    <w:rsid w:val="00AE3F45"/>
    <w:rsid w:val="00AE45A4"/>
    <w:rsid w:val="00AE4AAA"/>
    <w:rsid w:val="00AE4AB2"/>
    <w:rsid w:val="00AE4D47"/>
    <w:rsid w:val="00AE4E2F"/>
    <w:rsid w:val="00AE52E3"/>
    <w:rsid w:val="00AE551C"/>
    <w:rsid w:val="00AE5899"/>
    <w:rsid w:val="00AE5E03"/>
    <w:rsid w:val="00AE5E0B"/>
    <w:rsid w:val="00AE5E44"/>
    <w:rsid w:val="00AE62C5"/>
    <w:rsid w:val="00AE68A8"/>
    <w:rsid w:val="00AE73A4"/>
    <w:rsid w:val="00AE7619"/>
    <w:rsid w:val="00AE79FA"/>
    <w:rsid w:val="00AE7A45"/>
    <w:rsid w:val="00AE7CE0"/>
    <w:rsid w:val="00AF001F"/>
    <w:rsid w:val="00AF00DD"/>
    <w:rsid w:val="00AF02CF"/>
    <w:rsid w:val="00AF02E1"/>
    <w:rsid w:val="00AF0443"/>
    <w:rsid w:val="00AF04DE"/>
    <w:rsid w:val="00AF0540"/>
    <w:rsid w:val="00AF0599"/>
    <w:rsid w:val="00AF0AED"/>
    <w:rsid w:val="00AF0C28"/>
    <w:rsid w:val="00AF0CEC"/>
    <w:rsid w:val="00AF0DD1"/>
    <w:rsid w:val="00AF0E97"/>
    <w:rsid w:val="00AF12FB"/>
    <w:rsid w:val="00AF13DF"/>
    <w:rsid w:val="00AF1650"/>
    <w:rsid w:val="00AF16D4"/>
    <w:rsid w:val="00AF17A3"/>
    <w:rsid w:val="00AF1845"/>
    <w:rsid w:val="00AF1A89"/>
    <w:rsid w:val="00AF1D6C"/>
    <w:rsid w:val="00AF1E23"/>
    <w:rsid w:val="00AF1FA5"/>
    <w:rsid w:val="00AF21A1"/>
    <w:rsid w:val="00AF2558"/>
    <w:rsid w:val="00AF2604"/>
    <w:rsid w:val="00AF273E"/>
    <w:rsid w:val="00AF281C"/>
    <w:rsid w:val="00AF3096"/>
    <w:rsid w:val="00AF379D"/>
    <w:rsid w:val="00AF3BE6"/>
    <w:rsid w:val="00AF3D95"/>
    <w:rsid w:val="00AF3E6A"/>
    <w:rsid w:val="00AF4415"/>
    <w:rsid w:val="00AF4419"/>
    <w:rsid w:val="00AF468A"/>
    <w:rsid w:val="00AF4B43"/>
    <w:rsid w:val="00AF4BAF"/>
    <w:rsid w:val="00AF4EA7"/>
    <w:rsid w:val="00AF4F59"/>
    <w:rsid w:val="00AF5433"/>
    <w:rsid w:val="00AF5690"/>
    <w:rsid w:val="00AF5705"/>
    <w:rsid w:val="00AF59A1"/>
    <w:rsid w:val="00AF5B85"/>
    <w:rsid w:val="00AF5C54"/>
    <w:rsid w:val="00AF5DCA"/>
    <w:rsid w:val="00AF5F00"/>
    <w:rsid w:val="00AF6363"/>
    <w:rsid w:val="00AF63B7"/>
    <w:rsid w:val="00AF649F"/>
    <w:rsid w:val="00AF65EC"/>
    <w:rsid w:val="00AF69EB"/>
    <w:rsid w:val="00AF6CB4"/>
    <w:rsid w:val="00AF70AB"/>
    <w:rsid w:val="00AF7B5D"/>
    <w:rsid w:val="00AF7DC1"/>
    <w:rsid w:val="00B00294"/>
    <w:rsid w:val="00B00668"/>
    <w:rsid w:val="00B00835"/>
    <w:rsid w:val="00B00BE1"/>
    <w:rsid w:val="00B00FBD"/>
    <w:rsid w:val="00B014B9"/>
    <w:rsid w:val="00B018C9"/>
    <w:rsid w:val="00B01945"/>
    <w:rsid w:val="00B01DA1"/>
    <w:rsid w:val="00B0212D"/>
    <w:rsid w:val="00B023CE"/>
    <w:rsid w:val="00B02535"/>
    <w:rsid w:val="00B02E37"/>
    <w:rsid w:val="00B031C7"/>
    <w:rsid w:val="00B03370"/>
    <w:rsid w:val="00B036BE"/>
    <w:rsid w:val="00B03855"/>
    <w:rsid w:val="00B03D33"/>
    <w:rsid w:val="00B040B2"/>
    <w:rsid w:val="00B04630"/>
    <w:rsid w:val="00B04690"/>
    <w:rsid w:val="00B04A9F"/>
    <w:rsid w:val="00B04D57"/>
    <w:rsid w:val="00B04FAE"/>
    <w:rsid w:val="00B0507A"/>
    <w:rsid w:val="00B05143"/>
    <w:rsid w:val="00B05420"/>
    <w:rsid w:val="00B055FE"/>
    <w:rsid w:val="00B05996"/>
    <w:rsid w:val="00B06594"/>
    <w:rsid w:val="00B06638"/>
    <w:rsid w:val="00B06684"/>
    <w:rsid w:val="00B069AD"/>
    <w:rsid w:val="00B06BB1"/>
    <w:rsid w:val="00B07061"/>
    <w:rsid w:val="00B07248"/>
    <w:rsid w:val="00B072DC"/>
    <w:rsid w:val="00B076D4"/>
    <w:rsid w:val="00B07A48"/>
    <w:rsid w:val="00B07BE1"/>
    <w:rsid w:val="00B07CB4"/>
    <w:rsid w:val="00B07DEA"/>
    <w:rsid w:val="00B07F0F"/>
    <w:rsid w:val="00B07FBC"/>
    <w:rsid w:val="00B100E9"/>
    <w:rsid w:val="00B101D1"/>
    <w:rsid w:val="00B108D6"/>
    <w:rsid w:val="00B109C2"/>
    <w:rsid w:val="00B11107"/>
    <w:rsid w:val="00B111E3"/>
    <w:rsid w:val="00B11319"/>
    <w:rsid w:val="00B1147B"/>
    <w:rsid w:val="00B116A3"/>
    <w:rsid w:val="00B11CFD"/>
    <w:rsid w:val="00B11F04"/>
    <w:rsid w:val="00B125F5"/>
    <w:rsid w:val="00B12DBE"/>
    <w:rsid w:val="00B1303E"/>
    <w:rsid w:val="00B13102"/>
    <w:rsid w:val="00B13990"/>
    <w:rsid w:val="00B13C50"/>
    <w:rsid w:val="00B13D06"/>
    <w:rsid w:val="00B13F8C"/>
    <w:rsid w:val="00B1457D"/>
    <w:rsid w:val="00B14583"/>
    <w:rsid w:val="00B14CDD"/>
    <w:rsid w:val="00B14E75"/>
    <w:rsid w:val="00B14F25"/>
    <w:rsid w:val="00B15377"/>
    <w:rsid w:val="00B153AB"/>
    <w:rsid w:val="00B158A3"/>
    <w:rsid w:val="00B162BF"/>
    <w:rsid w:val="00B162CC"/>
    <w:rsid w:val="00B16E16"/>
    <w:rsid w:val="00B16E6C"/>
    <w:rsid w:val="00B1735C"/>
    <w:rsid w:val="00B1736A"/>
    <w:rsid w:val="00B173FC"/>
    <w:rsid w:val="00B17907"/>
    <w:rsid w:val="00B17922"/>
    <w:rsid w:val="00B1799B"/>
    <w:rsid w:val="00B17FE3"/>
    <w:rsid w:val="00B2004D"/>
    <w:rsid w:val="00B2029B"/>
    <w:rsid w:val="00B20AE1"/>
    <w:rsid w:val="00B20AF1"/>
    <w:rsid w:val="00B20BBC"/>
    <w:rsid w:val="00B20DA6"/>
    <w:rsid w:val="00B20EB4"/>
    <w:rsid w:val="00B21182"/>
    <w:rsid w:val="00B211CC"/>
    <w:rsid w:val="00B21249"/>
    <w:rsid w:val="00B21441"/>
    <w:rsid w:val="00B21ACF"/>
    <w:rsid w:val="00B21B75"/>
    <w:rsid w:val="00B21DA2"/>
    <w:rsid w:val="00B21DB2"/>
    <w:rsid w:val="00B21ED7"/>
    <w:rsid w:val="00B21F51"/>
    <w:rsid w:val="00B21FA1"/>
    <w:rsid w:val="00B22067"/>
    <w:rsid w:val="00B220AE"/>
    <w:rsid w:val="00B22342"/>
    <w:rsid w:val="00B22454"/>
    <w:rsid w:val="00B22869"/>
    <w:rsid w:val="00B229EC"/>
    <w:rsid w:val="00B2329E"/>
    <w:rsid w:val="00B233FB"/>
    <w:rsid w:val="00B23924"/>
    <w:rsid w:val="00B23C38"/>
    <w:rsid w:val="00B23D60"/>
    <w:rsid w:val="00B23E75"/>
    <w:rsid w:val="00B23F68"/>
    <w:rsid w:val="00B23FB2"/>
    <w:rsid w:val="00B24051"/>
    <w:rsid w:val="00B240A2"/>
    <w:rsid w:val="00B24311"/>
    <w:rsid w:val="00B24350"/>
    <w:rsid w:val="00B247C2"/>
    <w:rsid w:val="00B24A10"/>
    <w:rsid w:val="00B251A5"/>
    <w:rsid w:val="00B25217"/>
    <w:rsid w:val="00B25CF6"/>
    <w:rsid w:val="00B26238"/>
    <w:rsid w:val="00B26401"/>
    <w:rsid w:val="00B268F7"/>
    <w:rsid w:val="00B26F62"/>
    <w:rsid w:val="00B2738B"/>
    <w:rsid w:val="00B2760A"/>
    <w:rsid w:val="00B2792C"/>
    <w:rsid w:val="00B27A90"/>
    <w:rsid w:val="00B27B73"/>
    <w:rsid w:val="00B27DCD"/>
    <w:rsid w:val="00B306CA"/>
    <w:rsid w:val="00B30773"/>
    <w:rsid w:val="00B307CF"/>
    <w:rsid w:val="00B308F0"/>
    <w:rsid w:val="00B30BF1"/>
    <w:rsid w:val="00B3135C"/>
    <w:rsid w:val="00B31372"/>
    <w:rsid w:val="00B31579"/>
    <w:rsid w:val="00B31945"/>
    <w:rsid w:val="00B31A9C"/>
    <w:rsid w:val="00B31AD6"/>
    <w:rsid w:val="00B31B27"/>
    <w:rsid w:val="00B31D96"/>
    <w:rsid w:val="00B31FCB"/>
    <w:rsid w:val="00B321BC"/>
    <w:rsid w:val="00B3239D"/>
    <w:rsid w:val="00B32553"/>
    <w:rsid w:val="00B32592"/>
    <w:rsid w:val="00B3269A"/>
    <w:rsid w:val="00B326EC"/>
    <w:rsid w:val="00B327D0"/>
    <w:rsid w:val="00B327EE"/>
    <w:rsid w:val="00B32A0F"/>
    <w:rsid w:val="00B32E95"/>
    <w:rsid w:val="00B33199"/>
    <w:rsid w:val="00B333BC"/>
    <w:rsid w:val="00B334D1"/>
    <w:rsid w:val="00B334FE"/>
    <w:rsid w:val="00B33580"/>
    <w:rsid w:val="00B336FB"/>
    <w:rsid w:val="00B33C13"/>
    <w:rsid w:val="00B33C25"/>
    <w:rsid w:val="00B33E7D"/>
    <w:rsid w:val="00B33F4F"/>
    <w:rsid w:val="00B34033"/>
    <w:rsid w:val="00B344CD"/>
    <w:rsid w:val="00B34636"/>
    <w:rsid w:val="00B34B6C"/>
    <w:rsid w:val="00B352E1"/>
    <w:rsid w:val="00B3536D"/>
    <w:rsid w:val="00B35A70"/>
    <w:rsid w:val="00B35A7A"/>
    <w:rsid w:val="00B35AD2"/>
    <w:rsid w:val="00B35B79"/>
    <w:rsid w:val="00B35C34"/>
    <w:rsid w:val="00B35E31"/>
    <w:rsid w:val="00B361F6"/>
    <w:rsid w:val="00B3634E"/>
    <w:rsid w:val="00B36422"/>
    <w:rsid w:val="00B36424"/>
    <w:rsid w:val="00B36568"/>
    <w:rsid w:val="00B3684C"/>
    <w:rsid w:val="00B36EEC"/>
    <w:rsid w:val="00B370E2"/>
    <w:rsid w:val="00B3718E"/>
    <w:rsid w:val="00B371E2"/>
    <w:rsid w:val="00B376A6"/>
    <w:rsid w:val="00B3797F"/>
    <w:rsid w:val="00B40085"/>
    <w:rsid w:val="00B401F3"/>
    <w:rsid w:val="00B40386"/>
    <w:rsid w:val="00B403B3"/>
    <w:rsid w:val="00B406AB"/>
    <w:rsid w:val="00B406E7"/>
    <w:rsid w:val="00B40F41"/>
    <w:rsid w:val="00B40F4C"/>
    <w:rsid w:val="00B41022"/>
    <w:rsid w:val="00B41130"/>
    <w:rsid w:val="00B411DF"/>
    <w:rsid w:val="00B41286"/>
    <w:rsid w:val="00B412E2"/>
    <w:rsid w:val="00B4171E"/>
    <w:rsid w:val="00B417D3"/>
    <w:rsid w:val="00B4183D"/>
    <w:rsid w:val="00B4185F"/>
    <w:rsid w:val="00B41A70"/>
    <w:rsid w:val="00B41C83"/>
    <w:rsid w:val="00B4205E"/>
    <w:rsid w:val="00B421DB"/>
    <w:rsid w:val="00B42718"/>
    <w:rsid w:val="00B42E92"/>
    <w:rsid w:val="00B42F1D"/>
    <w:rsid w:val="00B43171"/>
    <w:rsid w:val="00B4319C"/>
    <w:rsid w:val="00B43244"/>
    <w:rsid w:val="00B432B3"/>
    <w:rsid w:val="00B43575"/>
    <w:rsid w:val="00B43956"/>
    <w:rsid w:val="00B43BEB"/>
    <w:rsid w:val="00B43F90"/>
    <w:rsid w:val="00B43FD8"/>
    <w:rsid w:val="00B4478A"/>
    <w:rsid w:val="00B44AB4"/>
    <w:rsid w:val="00B44B0D"/>
    <w:rsid w:val="00B44C0B"/>
    <w:rsid w:val="00B44C19"/>
    <w:rsid w:val="00B44D46"/>
    <w:rsid w:val="00B44E0D"/>
    <w:rsid w:val="00B451B7"/>
    <w:rsid w:val="00B452F7"/>
    <w:rsid w:val="00B45931"/>
    <w:rsid w:val="00B45A76"/>
    <w:rsid w:val="00B45CCE"/>
    <w:rsid w:val="00B4689A"/>
    <w:rsid w:val="00B46908"/>
    <w:rsid w:val="00B46918"/>
    <w:rsid w:val="00B46A18"/>
    <w:rsid w:val="00B46AAC"/>
    <w:rsid w:val="00B46ECC"/>
    <w:rsid w:val="00B46F8D"/>
    <w:rsid w:val="00B47020"/>
    <w:rsid w:val="00B47199"/>
    <w:rsid w:val="00B47291"/>
    <w:rsid w:val="00B473B9"/>
    <w:rsid w:val="00B4749E"/>
    <w:rsid w:val="00B47649"/>
    <w:rsid w:val="00B47674"/>
    <w:rsid w:val="00B47767"/>
    <w:rsid w:val="00B47C5C"/>
    <w:rsid w:val="00B47E1D"/>
    <w:rsid w:val="00B505CF"/>
    <w:rsid w:val="00B50BF4"/>
    <w:rsid w:val="00B50F4E"/>
    <w:rsid w:val="00B510BC"/>
    <w:rsid w:val="00B51221"/>
    <w:rsid w:val="00B513F1"/>
    <w:rsid w:val="00B516C7"/>
    <w:rsid w:val="00B517F5"/>
    <w:rsid w:val="00B518A4"/>
    <w:rsid w:val="00B51CC9"/>
    <w:rsid w:val="00B51D13"/>
    <w:rsid w:val="00B51EBE"/>
    <w:rsid w:val="00B5233E"/>
    <w:rsid w:val="00B52388"/>
    <w:rsid w:val="00B52690"/>
    <w:rsid w:val="00B5290C"/>
    <w:rsid w:val="00B52AA7"/>
    <w:rsid w:val="00B52DB9"/>
    <w:rsid w:val="00B52FC2"/>
    <w:rsid w:val="00B52FF5"/>
    <w:rsid w:val="00B53045"/>
    <w:rsid w:val="00B534DA"/>
    <w:rsid w:val="00B53751"/>
    <w:rsid w:val="00B537C7"/>
    <w:rsid w:val="00B539F2"/>
    <w:rsid w:val="00B53D46"/>
    <w:rsid w:val="00B54200"/>
    <w:rsid w:val="00B543F9"/>
    <w:rsid w:val="00B54B4F"/>
    <w:rsid w:val="00B54B89"/>
    <w:rsid w:val="00B54C1A"/>
    <w:rsid w:val="00B550FC"/>
    <w:rsid w:val="00B5521B"/>
    <w:rsid w:val="00B55951"/>
    <w:rsid w:val="00B559F1"/>
    <w:rsid w:val="00B55A0D"/>
    <w:rsid w:val="00B55C2C"/>
    <w:rsid w:val="00B56400"/>
    <w:rsid w:val="00B564A9"/>
    <w:rsid w:val="00B56AB1"/>
    <w:rsid w:val="00B56D97"/>
    <w:rsid w:val="00B5709A"/>
    <w:rsid w:val="00B570A8"/>
    <w:rsid w:val="00B57467"/>
    <w:rsid w:val="00B576A9"/>
    <w:rsid w:val="00B5771E"/>
    <w:rsid w:val="00B57AA7"/>
    <w:rsid w:val="00B57FB6"/>
    <w:rsid w:val="00B60046"/>
    <w:rsid w:val="00B600B7"/>
    <w:rsid w:val="00B60236"/>
    <w:rsid w:val="00B60305"/>
    <w:rsid w:val="00B60390"/>
    <w:rsid w:val="00B604D6"/>
    <w:rsid w:val="00B6056C"/>
    <w:rsid w:val="00B6064D"/>
    <w:rsid w:val="00B606CC"/>
    <w:rsid w:val="00B60DFC"/>
    <w:rsid w:val="00B60E59"/>
    <w:rsid w:val="00B60F8E"/>
    <w:rsid w:val="00B615BB"/>
    <w:rsid w:val="00B61883"/>
    <w:rsid w:val="00B61ABF"/>
    <w:rsid w:val="00B61C73"/>
    <w:rsid w:val="00B61CCD"/>
    <w:rsid w:val="00B62143"/>
    <w:rsid w:val="00B62394"/>
    <w:rsid w:val="00B623E4"/>
    <w:rsid w:val="00B62753"/>
    <w:rsid w:val="00B62953"/>
    <w:rsid w:val="00B629AF"/>
    <w:rsid w:val="00B62CF9"/>
    <w:rsid w:val="00B62ED5"/>
    <w:rsid w:val="00B63018"/>
    <w:rsid w:val="00B63937"/>
    <w:rsid w:val="00B63A9F"/>
    <w:rsid w:val="00B63C6C"/>
    <w:rsid w:val="00B641E4"/>
    <w:rsid w:val="00B64341"/>
    <w:rsid w:val="00B648DF"/>
    <w:rsid w:val="00B649E9"/>
    <w:rsid w:val="00B64A99"/>
    <w:rsid w:val="00B64AB3"/>
    <w:rsid w:val="00B64B2F"/>
    <w:rsid w:val="00B652CF"/>
    <w:rsid w:val="00B65AF7"/>
    <w:rsid w:val="00B65E97"/>
    <w:rsid w:val="00B6643A"/>
    <w:rsid w:val="00B66742"/>
    <w:rsid w:val="00B66912"/>
    <w:rsid w:val="00B66C8F"/>
    <w:rsid w:val="00B66CB7"/>
    <w:rsid w:val="00B66E61"/>
    <w:rsid w:val="00B66ED4"/>
    <w:rsid w:val="00B67316"/>
    <w:rsid w:val="00B67911"/>
    <w:rsid w:val="00B67925"/>
    <w:rsid w:val="00B679D4"/>
    <w:rsid w:val="00B67BD7"/>
    <w:rsid w:val="00B67BE5"/>
    <w:rsid w:val="00B67C45"/>
    <w:rsid w:val="00B701FB"/>
    <w:rsid w:val="00B70730"/>
    <w:rsid w:val="00B707B3"/>
    <w:rsid w:val="00B70DB2"/>
    <w:rsid w:val="00B718F3"/>
    <w:rsid w:val="00B71948"/>
    <w:rsid w:val="00B71B50"/>
    <w:rsid w:val="00B71C29"/>
    <w:rsid w:val="00B71D64"/>
    <w:rsid w:val="00B7209E"/>
    <w:rsid w:val="00B72363"/>
    <w:rsid w:val="00B7245C"/>
    <w:rsid w:val="00B726F2"/>
    <w:rsid w:val="00B72C43"/>
    <w:rsid w:val="00B72D6F"/>
    <w:rsid w:val="00B72EB6"/>
    <w:rsid w:val="00B731E3"/>
    <w:rsid w:val="00B7346C"/>
    <w:rsid w:val="00B74370"/>
    <w:rsid w:val="00B74524"/>
    <w:rsid w:val="00B745CE"/>
    <w:rsid w:val="00B74652"/>
    <w:rsid w:val="00B7484D"/>
    <w:rsid w:val="00B74979"/>
    <w:rsid w:val="00B74A94"/>
    <w:rsid w:val="00B74C64"/>
    <w:rsid w:val="00B74E45"/>
    <w:rsid w:val="00B75002"/>
    <w:rsid w:val="00B752E9"/>
    <w:rsid w:val="00B75820"/>
    <w:rsid w:val="00B75DDC"/>
    <w:rsid w:val="00B75DE0"/>
    <w:rsid w:val="00B75DE2"/>
    <w:rsid w:val="00B75E59"/>
    <w:rsid w:val="00B76099"/>
    <w:rsid w:val="00B76135"/>
    <w:rsid w:val="00B76628"/>
    <w:rsid w:val="00B76E37"/>
    <w:rsid w:val="00B76EB9"/>
    <w:rsid w:val="00B77071"/>
    <w:rsid w:val="00B770C4"/>
    <w:rsid w:val="00B7715E"/>
    <w:rsid w:val="00B771A7"/>
    <w:rsid w:val="00B77C9B"/>
    <w:rsid w:val="00B77F23"/>
    <w:rsid w:val="00B80172"/>
    <w:rsid w:val="00B80823"/>
    <w:rsid w:val="00B8097F"/>
    <w:rsid w:val="00B80D8D"/>
    <w:rsid w:val="00B80DE8"/>
    <w:rsid w:val="00B80F55"/>
    <w:rsid w:val="00B811C1"/>
    <w:rsid w:val="00B81426"/>
    <w:rsid w:val="00B82292"/>
    <w:rsid w:val="00B8234D"/>
    <w:rsid w:val="00B82828"/>
    <w:rsid w:val="00B830CB"/>
    <w:rsid w:val="00B834F6"/>
    <w:rsid w:val="00B83607"/>
    <w:rsid w:val="00B83A81"/>
    <w:rsid w:val="00B83B1A"/>
    <w:rsid w:val="00B83C78"/>
    <w:rsid w:val="00B83C86"/>
    <w:rsid w:val="00B83E6F"/>
    <w:rsid w:val="00B83F20"/>
    <w:rsid w:val="00B8449F"/>
    <w:rsid w:val="00B844BE"/>
    <w:rsid w:val="00B84500"/>
    <w:rsid w:val="00B8498F"/>
    <w:rsid w:val="00B84A27"/>
    <w:rsid w:val="00B84BF6"/>
    <w:rsid w:val="00B84CFB"/>
    <w:rsid w:val="00B84DBD"/>
    <w:rsid w:val="00B84F32"/>
    <w:rsid w:val="00B851D2"/>
    <w:rsid w:val="00B8522C"/>
    <w:rsid w:val="00B85422"/>
    <w:rsid w:val="00B855FF"/>
    <w:rsid w:val="00B8564C"/>
    <w:rsid w:val="00B85650"/>
    <w:rsid w:val="00B85BEA"/>
    <w:rsid w:val="00B85CF4"/>
    <w:rsid w:val="00B85DC0"/>
    <w:rsid w:val="00B860D9"/>
    <w:rsid w:val="00B8662A"/>
    <w:rsid w:val="00B86687"/>
    <w:rsid w:val="00B8669B"/>
    <w:rsid w:val="00B867F0"/>
    <w:rsid w:val="00B86972"/>
    <w:rsid w:val="00B86C12"/>
    <w:rsid w:val="00B86CA6"/>
    <w:rsid w:val="00B86FFC"/>
    <w:rsid w:val="00B8726B"/>
    <w:rsid w:val="00B87489"/>
    <w:rsid w:val="00B90398"/>
    <w:rsid w:val="00B909E1"/>
    <w:rsid w:val="00B90C74"/>
    <w:rsid w:val="00B90D83"/>
    <w:rsid w:val="00B91098"/>
    <w:rsid w:val="00B912B0"/>
    <w:rsid w:val="00B913C1"/>
    <w:rsid w:val="00B91998"/>
    <w:rsid w:val="00B91E44"/>
    <w:rsid w:val="00B91F03"/>
    <w:rsid w:val="00B92232"/>
    <w:rsid w:val="00B923B8"/>
    <w:rsid w:val="00B92AA8"/>
    <w:rsid w:val="00B92B15"/>
    <w:rsid w:val="00B92E67"/>
    <w:rsid w:val="00B930F9"/>
    <w:rsid w:val="00B931EF"/>
    <w:rsid w:val="00B93F4A"/>
    <w:rsid w:val="00B94368"/>
    <w:rsid w:val="00B94DD6"/>
    <w:rsid w:val="00B9569B"/>
    <w:rsid w:val="00B95859"/>
    <w:rsid w:val="00B95DD2"/>
    <w:rsid w:val="00B96459"/>
    <w:rsid w:val="00B9658C"/>
    <w:rsid w:val="00B967ED"/>
    <w:rsid w:val="00B975A6"/>
    <w:rsid w:val="00B97C3F"/>
    <w:rsid w:val="00B97ED5"/>
    <w:rsid w:val="00BA0477"/>
    <w:rsid w:val="00BA05F3"/>
    <w:rsid w:val="00BA061D"/>
    <w:rsid w:val="00BA06E7"/>
    <w:rsid w:val="00BA09FA"/>
    <w:rsid w:val="00BA0B24"/>
    <w:rsid w:val="00BA0BB5"/>
    <w:rsid w:val="00BA109C"/>
    <w:rsid w:val="00BA1140"/>
    <w:rsid w:val="00BA11B4"/>
    <w:rsid w:val="00BA12D2"/>
    <w:rsid w:val="00BA1361"/>
    <w:rsid w:val="00BA1FA5"/>
    <w:rsid w:val="00BA221E"/>
    <w:rsid w:val="00BA2602"/>
    <w:rsid w:val="00BA26DF"/>
    <w:rsid w:val="00BA280A"/>
    <w:rsid w:val="00BA29C8"/>
    <w:rsid w:val="00BA2A43"/>
    <w:rsid w:val="00BA2A45"/>
    <w:rsid w:val="00BA308D"/>
    <w:rsid w:val="00BA3232"/>
    <w:rsid w:val="00BA353E"/>
    <w:rsid w:val="00BA3806"/>
    <w:rsid w:val="00BA3B9A"/>
    <w:rsid w:val="00BA4117"/>
    <w:rsid w:val="00BA448B"/>
    <w:rsid w:val="00BA4502"/>
    <w:rsid w:val="00BA472B"/>
    <w:rsid w:val="00BA4893"/>
    <w:rsid w:val="00BA4907"/>
    <w:rsid w:val="00BA4996"/>
    <w:rsid w:val="00BA4A4E"/>
    <w:rsid w:val="00BA4AB8"/>
    <w:rsid w:val="00BA4F2D"/>
    <w:rsid w:val="00BA511B"/>
    <w:rsid w:val="00BA6179"/>
    <w:rsid w:val="00BA625C"/>
    <w:rsid w:val="00BA6610"/>
    <w:rsid w:val="00BA6CFB"/>
    <w:rsid w:val="00BA7849"/>
    <w:rsid w:val="00BA7CA7"/>
    <w:rsid w:val="00BA7E8B"/>
    <w:rsid w:val="00BA7F40"/>
    <w:rsid w:val="00BB021D"/>
    <w:rsid w:val="00BB0291"/>
    <w:rsid w:val="00BB0339"/>
    <w:rsid w:val="00BB034B"/>
    <w:rsid w:val="00BB03F5"/>
    <w:rsid w:val="00BB0735"/>
    <w:rsid w:val="00BB0790"/>
    <w:rsid w:val="00BB0B3F"/>
    <w:rsid w:val="00BB0FBE"/>
    <w:rsid w:val="00BB1217"/>
    <w:rsid w:val="00BB1412"/>
    <w:rsid w:val="00BB1470"/>
    <w:rsid w:val="00BB1597"/>
    <w:rsid w:val="00BB1B03"/>
    <w:rsid w:val="00BB1BAF"/>
    <w:rsid w:val="00BB1D5D"/>
    <w:rsid w:val="00BB2059"/>
    <w:rsid w:val="00BB288C"/>
    <w:rsid w:val="00BB292D"/>
    <w:rsid w:val="00BB2ABD"/>
    <w:rsid w:val="00BB2C7A"/>
    <w:rsid w:val="00BB2F63"/>
    <w:rsid w:val="00BB2F9B"/>
    <w:rsid w:val="00BB32FC"/>
    <w:rsid w:val="00BB34D3"/>
    <w:rsid w:val="00BB354A"/>
    <w:rsid w:val="00BB3829"/>
    <w:rsid w:val="00BB398C"/>
    <w:rsid w:val="00BB3B30"/>
    <w:rsid w:val="00BB3F8D"/>
    <w:rsid w:val="00BB4096"/>
    <w:rsid w:val="00BB4193"/>
    <w:rsid w:val="00BB4398"/>
    <w:rsid w:val="00BB4629"/>
    <w:rsid w:val="00BB46FD"/>
    <w:rsid w:val="00BB4D08"/>
    <w:rsid w:val="00BB4E23"/>
    <w:rsid w:val="00BB4EF5"/>
    <w:rsid w:val="00BB5243"/>
    <w:rsid w:val="00BB52CE"/>
    <w:rsid w:val="00BB5450"/>
    <w:rsid w:val="00BB553A"/>
    <w:rsid w:val="00BB5B24"/>
    <w:rsid w:val="00BB6BDC"/>
    <w:rsid w:val="00BB6C92"/>
    <w:rsid w:val="00BB6D17"/>
    <w:rsid w:val="00BB720C"/>
    <w:rsid w:val="00BB7E3F"/>
    <w:rsid w:val="00BB7E7E"/>
    <w:rsid w:val="00BB7ED0"/>
    <w:rsid w:val="00BC05C1"/>
    <w:rsid w:val="00BC061D"/>
    <w:rsid w:val="00BC0B93"/>
    <w:rsid w:val="00BC0FD8"/>
    <w:rsid w:val="00BC113A"/>
    <w:rsid w:val="00BC12C0"/>
    <w:rsid w:val="00BC16B1"/>
    <w:rsid w:val="00BC1B08"/>
    <w:rsid w:val="00BC1E1C"/>
    <w:rsid w:val="00BC21F9"/>
    <w:rsid w:val="00BC2221"/>
    <w:rsid w:val="00BC2854"/>
    <w:rsid w:val="00BC2A86"/>
    <w:rsid w:val="00BC2B53"/>
    <w:rsid w:val="00BC2C6A"/>
    <w:rsid w:val="00BC2CED"/>
    <w:rsid w:val="00BC330E"/>
    <w:rsid w:val="00BC33CE"/>
    <w:rsid w:val="00BC3787"/>
    <w:rsid w:val="00BC37B6"/>
    <w:rsid w:val="00BC38E7"/>
    <w:rsid w:val="00BC3C6B"/>
    <w:rsid w:val="00BC3D6D"/>
    <w:rsid w:val="00BC3E59"/>
    <w:rsid w:val="00BC3EAB"/>
    <w:rsid w:val="00BC41BC"/>
    <w:rsid w:val="00BC463E"/>
    <w:rsid w:val="00BC468D"/>
    <w:rsid w:val="00BC4735"/>
    <w:rsid w:val="00BC479A"/>
    <w:rsid w:val="00BC48BF"/>
    <w:rsid w:val="00BC497F"/>
    <w:rsid w:val="00BC4B72"/>
    <w:rsid w:val="00BC4BDB"/>
    <w:rsid w:val="00BC4EA8"/>
    <w:rsid w:val="00BC50E8"/>
    <w:rsid w:val="00BC51D9"/>
    <w:rsid w:val="00BC52EF"/>
    <w:rsid w:val="00BC52F6"/>
    <w:rsid w:val="00BC5477"/>
    <w:rsid w:val="00BC55BE"/>
    <w:rsid w:val="00BC567D"/>
    <w:rsid w:val="00BC58A6"/>
    <w:rsid w:val="00BC5E14"/>
    <w:rsid w:val="00BC5EDC"/>
    <w:rsid w:val="00BC606A"/>
    <w:rsid w:val="00BC6244"/>
    <w:rsid w:val="00BC62B8"/>
    <w:rsid w:val="00BC6579"/>
    <w:rsid w:val="00BC667D"/>
    <w:rsid w:val="00BC6A4D"/>
    <w:rsid w:val="00BC6C75"/>
    <w:rsid w:val="00BC6C7B"/>
    <w:rsid w:val="00BC702E"/>
    <w:rsid w:val="00BC7269"/>
    <w:rsid w:val="00BC72C1"/>
    <w:rsid w:val="00BC7659"/>
    <w:rsid w:val="00BC7709"/>
    <w:rsid w:val="00BC778E"/>
    <w:rsid w:val="00BD005B"/>
    <w:rsid w:val="00BD0B11"/>
    <w:rsid w:val="00BD0B29"/>
    <w:rsid w:val="00BD0C75"/>
    <w:rsid w:val="00BD0DDC"/>
    <w:rsid w:val="00BD0DE7"/>
    <w:rsid w:val="00BD0E53"/>
    <w:rsid w:val="00BD1712"/>
    <w:rsid w:val="00BD1874"/>
    <w:rsid w:val="00BD19D4"/>
    <w:rsid w:val="00BD19E0"/>
    <w:rsid w:val="00BD1A22"/>
    <w:rsid w:val="00BD1CE2"/>
    <w:rsid w:val="00BD1F04"/>
    <w:rsid w:val="00BD26CA"/>
    <w:rsid w:val="00BD31E0"/>
    <w:rsid w:val="00BD3611"/>
    <w:rsid w:val="00BD3785"/>
    <w:rsid w:val="00BD3AE6"/>
    <w:rsid w:val="00BD3C28"/>
    <w:rsid w:val="00BD3EAC"/>
    <w:rsid w:val="00BD404B"/>
    <w:rsid w:val="00BD4534"/>
    <w:rsid w:val="00BD4838"/>
    <w:rsid w:val="00BD4B6E"/>
    <w:rsid w:val="00BD4B72"/>
    <w:rsid w:val="00BD50A8"/>
    <w:rsid w:val="00BD5266"/>
    <w:rsid w:val="00BD5415"/>
    <w:rsid w:val="00BD55BE"/>
    <w:rsid w:val="00BD5681"/>
    <w:rsid w:val="00BD57F4"/>
    <w:rsid w:val="00BD5A4A"/>
    <w:rsid w:val="00BD609C"/>
    <w:rsid w:val="00BD61B7"/>
    <w:rsid w:val="00BD6281"/>
    <w:rsid w:val="00BD661C"/>
    <w:rsid w:val="00BD6F21"/>
    <w:rsid w:val="00BD7DC4"/>
    <w:rsid w:val="00BE025E"/>
    <w:rsid w:val="00BE02BA"/>
    <w:rsid w:val="00BE064A"/>
    <w:rsid w:val="00BE0651"/>
    <w:rsid w:val="00BE0694"/>
    <w:rsid w:val="00BE088F"/>
    <w:rsid w:val="00BE0A2B"/>
    <w:rsid w:val="00BE12D9"/>
    <w:rsid w:val="00BE164B"/>
    <w:rsid w:val="00BE180F"/>
    <w:rsid w:val="00BE196F"/>
    <w:rsid w:val="00BE1BDA"/>
    <w:rsid w:val="00BE1C12"/>
    <w:rsid w:val="00BE1EF5"/>
    <w:rsid w:val="00BE27FE"/>
    <w:rsid w:val="00BE28ED"/>
    <w:rsid w:val="00BE2C13"/>
    <w:rsid w:val="00BE2E5C"/>
    <w:rsid w:val="00BE2ED2"/>
    <w:rsid w:val="00BE2F1A"/>
    <w:rsid w:val="00BE31C7"/>
    <w:rsid w:val="00BE33C7"/>
    <w:rsid w:val="00BE368E"/>
    <w:rsid w:val="00BE3AB3"/>
    <w:rsid w:val="00BE3EDA"/>
    <w:rsid w:val="00BE42BD"/>
    <w:rsid w:val="00BE4482"/>
    <w:rsid w:val="00BE4509"/>
    <w:rsid w:val="00BE46ED"/>
    <w:rsid w:val="00BE4819"/>
    <w:rsid w:val="00BE484E"/>
    <w:rsid w:val="00BE4A99"/>
    <w:rsid w:val="00BE4CF6"/>
    <w:rsid w:val="00BE4F67"/>
    <w:rsid w:val="00BE54BE"/>
    <w:rsid w:val="00BE5A63"/>
    <w:rsid w:val="00BE5BAC"/>
    <w:rsid w:val="00BE611A"/>
    <w:rsid w:val="00BE616B"/>
    <w:rsid w:val="00BE6469"/>
    <w:rsid w:val="00BE6AF0"/>
    <w:rsid w:val="00BE6D22"/>
    <w:rsid w:val="00BE6DF2"/>
    <w:rsid w:val="00BE6F35"/>
    <w:rsid w:val="00BE7026"/>
    <w:rsid w:val="00BE706E"/>
    <w:rsid w:val="00BE745D"/>
    <w:rsid w:val="00BE76F6"/>
    <w:rsid w:val="00BE79B4"/>
    <w:rsid w:val="00BE7B5E"/>
    <w:rsid w:val="00BE7DF4"/>
    <w:rsid w:val="00BF01FC"/>
    <w:rsid w:val="00BF0341"/>
    <w:rsid w:val="00BF0521"/>
    <w:rsid w:val="00BF065D"/>
    <w:rsid w:val="00BF0897"/>
    <w:rsid w:val="00BF0DA7"/>
    <w:rsid w:val="00BF0E19"/>
    <w:rsid w:val="00BF17F7"/>
    <w:rsid w:val="00BF1825"/>
    <w:rsid w:val="00BF1826"/>
    <w:rsid w:val="00BF19E5"/>
    <w:rsid w:val="00BF19FD"/>
    <w:rsid w:val="00BF21C1"/>
    <w:rsid w:val="00BF2244"/>
    <w:rsid w:val="00BF246F"/>
    <w:rsid w:val="00BF256E"/>
    <w:rsid w:val="00BF2864"/>
    <w:rsid w:val="00BF29A9"/>
    <w:rsid w:val="00BF2E31"/>
    <w:rsid w:val="00BF2EBF"/>
    <w:rsid w:val="00BF30A0"/>
    <w:rsid w:val="00BF3876"/>
    <w:rsid w:val="00BF3935"/>
    <w:rsid w:val="00BF3BB8"/>
    <w:rsid w:val="00BF3BC6"/>
    <w:rsid w:val="00BF4670"/>
    <w:rsid w:val="00BF46DD"/>
    <w:rsid w:val="00BF4CCD"/>
    <w:rsid w:val="00BF525D"/>
    <w:rsid w:val="00BF5708"/>
    <w:rsid w:val="00BF570C"/>
    <w:rsid w:val="00BF5874"/>
    <w:rsid w:val="00BF59F2"/>
    <w:rsid w:val="00BF5D43"/>
    <w:rsid w:val="00BF5ECF"/>
    <w:rsid w:val="00BF6032"/>
    <w:rsid w:val="00BF60B6"/>
    <w:rsid w:val="00BF60C8"/>
    <w:rsid w:val="00BF6166"/>
    <w:rsid w:val="00BF6389"/>
    <w:rsid w:val="00BF645F"/>
    <w:rsid w:val="00BF6899"/>
    <w:rsid w:val="00BF6AEB"/>
    <w:rsid w:val="00BF6C92"/>
    <w:rsid w:val="00BF6D83"/>
    <w:rsid w:val="00BF6F20"/>
    <w:rsid w:val="00BF6F93"/>
    <w:rsid w:val="00BF706E"/>
    <w:rsid w:val="00BF7357"/>
    <w:rsid w:val="00BF7562"/>
    <w:rsid w:val="00BF7BDA"/>
    <w:rsid w:val="00BF7C75"/>
    <w:rsid w:val="00BF7CF5"/>
    <w:rsid w:val="00BF7ED3"/>
    <w:rsid w:val="00C005C9"/>
    <w:rsid w:val="00C00867"/>
    <w:rsid w:val="00C00940"/>
    <w:rsid w:val="00C0112E"/>
    <w:rsid w:val="00C012ED"/>
    <w:rsid w:val="00C013E1"/>
    <w:rsid w:val="00C0141D"/>
    <w:rsid w:val="00C014E3"/>
    <w:rsid w:val="00C01679"/>
    <w:rsid w:val="00C0197F"/>
    <w:rsid w:val="00C01C81"/>
    <w:rsid w:val="00C01EAE"/>
    <w:rsid w:val="00C01F59"/>
    <w:rsid w:val="00C02072"/>
    <w:rsid w:val="00C024DF"/>
    <w:rsid w:val="00C029F6"/>
    <w:rsid w:val="00C02E3D"/>
    <w:rsid w:val="00C02EAA"/>
    <w:rsid w:val="00C031CC"/>
    <w:rsid w:val="00C0322A"/>
    <w:rsid w:val="00C03512"/>
    <w:rsid w:val="00C037AD"/>
    <w:rsid w:val="00C03A00"/>
    <w:rsid w:val="00C03AC9"/>
    <w:rsid w:val="00C03ECD"/>
    <w:rsid w:val="00C0436E"/>
    <w:rsid w:val="00C04A59"/>
    <w:rsid w:val="00C04BDE"/>
    <w:rsid w:val="00C04CA2"/>
    <w:rsid w:val="00C04F78"/>
    <w:rsid w:val="00C05268"/>
    <w:rsid w:val="00C05330"/>
    <w:rsid w:val="00C05CB7"/>
    <w:rsid w:val="00C05CD0"/>
    <w:rsid w:val="00C0625B"/>
    <w:rsid w:val="00C0628C"/>
    <w:rsid w:val="00C062B2"/>
    <w:rsid w:val="00C06440"/>
    <w:rsid w:val="00C0670D"/>
    <w:rsid w:val="00C072E4"/>
    <w:rsid w:val="00C07368"/>
    <w:rsid w:val="00C073DE"/>
    <w:rsid w:val="00C078B2"/>
    <w:rsid w:val="00C07959"/>
    <w:rsid w:val="00C079C4"/>
    <w:rsid w:val="00C1001F"/>
    <w:rsid w:val="00C10028"/>
    <w:rsid w:val="00C10472"/>
    <w:rsid w:val="00C106C3"/>
    <w:rsid w:val="00C10A78"/>
    <w:rsid w:val="00C10B02"/>
    <w:rsid w:val="00C10E01"/>
    <w:rsid w:val="00C112C4"/>
    <w:rsid w:val="00C11320"/>
    <w:rsid w:val="00C115DC"/>
    <w:rsid w:val="00C11969"/>
    <w:rsid w:val="00C11A37"/>
    <w:rsid w:val="00C11BD0"/>
    <w:rsid w:val="00C11E6E"/>
    <w:rsid w:val="00C12268"/>
    <w:rsid w:val="00C125D1"/>
    <w:rsid w:val="00C12B96"/>
    <w:rsid w:val="00C13189"/>
    <w:rsid w:val="00C135EC"/>
    <w:rsid w:val="00C1367D"/>
    <w:rsid w:val="00C138B5"/>
    <w:rsid w:val="00C141EE"/>
    <w:rsid w:val="00C147A4"/>
    <w:rsid w:val="00C1483E"/>
    <w:rsid w:val="00C14B91"/>
    <w:rsid w:val="00C14C6F"/>
    <w:rsid w:val="00C14D74"/>
    <w:rsid w:val="00C14F22"/>
    <w:rsid w:val="00C150CA"/>
    <w:rsid w:val="00C15367"/>
    <w:rsid w:val="00C15693"/>
    <w:rsid w:val="00C156F9"/>
    <w:rsid w:val="00C1590E"/>
    <w:rsid w:val="00C15EBE"/>
    <w:rsid w:val="00C16014"/>
    <w:rsid w:val="00C162B4"/>
    <w:rsid w:val="00C16320"/>
    <w:rsid w:val="00C163B1"/>
    <w:rsid w:val="00C163C9"/>
    <w:rsid w:val="00C164B0"/>
    <w:rsid w:val="00C16B6B"/>
    <w:rsid w:val="00C16E55"/>
    <w:rsid w:val="00C16F78"/>
    <w:rsid w:val="00C16FD5"/>
    <w:rsid w:val="00C174AA"/>
    <w:rsid w:val="00C17829"/>
    <w:rsid w:val="00C17A64"/>
    <w:rsid w:val="00C17EDD"/>
    <w:rsid w:val="00C17FBB"/>
    <w:rsid w:val="00C17FEB"/>
    <w:rsid w:val="00C201DB"/>
    <w:rsid w:val="00C20370"/>
    <w:rsid w:val="00C20455"/>
    <w:rsid w:val="00C206CC"/>
    <w:rsid w:val="00C206E4"/>
    <w:rsid w:val="00C20D69"/>
    <w:rsid w:val="00C20E67"/>
    <w:rsid w:val="00C20F1E"/>
    <w:rsid w:val="00C217C3"/>
    <w:rsid w:val="00C21844"/>
    <w:rsid w:val="00C21C61"/>
    <w:rsid w:val="00C21D10"/>
    <w:rsid w:val="00C21D49"/>
    <w:rsid w:val="00C21DA4"/>
    <w:rsid w:val="00C21E0F"/>
    <w:rsid w:val="00C21F81"/>
    <w:rsid w:val="00C229AE"/>
    <w:rsid w:val="00C22A64"/>
    <w:rsid w:val="00C22A79"/>
    <w:rsid w:val="00C22B41"/>
    <w:rsid w:val="00C22DD9"/>
    <w:rsid w:val="00C23098"/>
    <w:rsid w:val="00C2325D"/>
    <w:rsid w:val="00C23618"/>
    <w:rsid w:val="00C236E1"/>
    <w:rsid w:val="00C240DE"/>
    <w:rsid w:val="00C2413D"/>
    <w:rsid w:val="00C241FC"/>
    <w:rsid w:val="00C247CE"/>
    <w:rsid w:val="00C248B5"/>
    <w:rsid w:val="00C24DEA"/>
    <w:rsid w:val="00C24EA7"/>
    <w:rsid w:val="00C25A68"/>
    <w:rsid w:val="00C25D47"/>
    <w:rsid w:val="00C25F04"/>
    <w:rsid w:val="00C25F98"/>
    <w:rsid w:val="00C26046"/>
    <w:rsid w:val="00C262CB"/>
    <w:rsid w:val="00C26529"/>
    <w:rsid w:val="00C268AE"/>
    <w:rsid w:val="00C26D35"/>
    <w:rsid w:val="00C27523"/>
    <w:rsid w:val="00C276AB"/>
    <w:rsid w:val="00C276D4"/>
    <w:rsid w:val="00C27D31"/>
    <w:rsid w:val="00C30249"/>
    <w:rsid w:val="00C305B2"/>
    <w:rsid w:val="00C3067B"/>
    <w:rsid w:val="00C30DE3"/>
    <w:rsid w:val="00C30EE4"/>
    <w:rsid w:val="00C30FBA"/>
    <w:rsid w:val="00C31201"/>
    <w:rsid w:val="00C315D3"/>
    <w:rsid w:val="00C31A00"/>
    <w:rsid w:val="00C31B33"/>
    <w:rsid w:val="00C32146"/>
    <w:rsid w:val="00C321AF"/>
    <w:rsid w:val="00C3229F"/>
    <w:rsid w:val="00C322AA"/>
    <w:rsid w:val="00C32384"/>
    <w:rsid w:val="00C3252C"/>
    <w:rsid w:val="00C325E9"/>
    <w:rsid w:val="00C32B9D"/>
    <w:rsid w:val="00C33067"/>
    <w:rsid w:val="00C33428"/>
    <w:rsid w:val="00C336AE"/>
    <w:rsid w:val="00C33933"/>
    <w:rsid w:val="00C33B4E"/>
    <w:rsid w:val="00C33C40"/>
    <w:rsid w:val="00C33D13"/>
    <w:rsid w:val="00C34248"/>
    <w:rsid w:val="00C3431C"/>
    <w:rsid w:val="00C344A5"/>
    <w:rsid w:val="00C346FD"/>
    <w:rsid w:val="00C34740"/>
    <w:rsid w:val="00C3483C"/>
    <w:rsid w:val="00C348C4"/>
    <w:rsid w:val="00C34AE8"/>
    <w:rsid w:val="00C34B44"/>
    <w:rsid w:val="00C34C00"/>
    <w:rsid w:val="00C34D5D"/>
    <w:rsid w:val="00C34DAD"/>
    <w:rsid w:val="00C3508C"/>
    <w:rsid w:val="00C354DB"/>
    <w:rsid w:val="00C3599C"/>
    <w:rsid w:val="00C35C77"/>
    <w:rsid w:val="00C360C5"/>
    <w:rsid w:val="00C362EF"/>
    <w:rsid w:val="00C3635C"/>
    <w:rsid w:val="00C36461"/>
    <w:rsid w:val="00C367C7"/>
    <w:rsid w:val="00C3694F"/>
    <w:rsid w:val="00C3696F"/>
    <w:rsid w:val="00C369EB"/>
    <w:rsid w:val="00C36BDB"/>
    <w:rsid w:val="00C36F90"/>
    <w:rsid w:val="00C372DF"/>
    <w:rsid w:val="00C3742F"/>
    <w:rsid w:val="00C374C7"/>
    <w:rsid w:val="00C374F5"/>
    <w:rsid w:val="00C375FA"/>
    <w:rsid w:val="00C3773C"/>
    <w:rsid w:val="00C40169"/>
    <w:rsid w:val="00C405D3"/>
    <w:rsid w:val="00C4068F"/>
    <w:rsid w:val="00C40AE7"/>
    <w:rsid w:val="00C40D6A"/>
    <w:rsid w:val="00C40E28"/>
    <w:rsid w:val="00C41000"/>
    <w:rsid w:val="00C4137F"/>
    <w:rsid w:val="00C4187E"/>
    <w:rsid w:val="00C41A42"/>
    <w:rsid w:val="00C41B14"/>
    <w:rsid w:val="00C41E5C"/>
    <w:rsid w:val="00C42753"/>
    <w:rsid w:val="00C42BA4"/>
    <w:rsid w:val="00C42CBA"/>
    <w:rsid w:val="00C432CF"/>
    <w:rsid w:val="00C43335"/>
    <w:rsid w:val="00C434C3"/>
    <w:rsid w:val="00C43DC1"/>
    <w:rsid w:val="00C43DFC"/>
    <w:rsid w:val="00C43EB8"/>
    <w:rsid w:val="00C43F43"/>
    <w:rsid w:val="00C445B9"/>
    <w:rsid w:val="00C44CDA"/>
    <w:rsid w:val="00C44D6C"/>
    <w:rsid w:val="00C44E8C"/>
    <w:rsid w:val="00C450BF"/>
    <w:rsid w:val="00C451F0"/>
    <w:rsid w:val="00C45431"/>
    <w:rsid w:val="00C45718"/>
    <w:rsid w:val="00C45814"/>
    <w:rsid w:val="00C45A4C"/>
    <w:rsid w:val="00C45B61"/>
    <w:rsid w:val="00C45C72"/>
    <w:rsid w:val="00C46069"/>
    <w:rsid w:val="00C4665B"/>
    <w:rsid w:val="00C468D9"/>
    <w:rsid w:val="00C46AC9"/>
    <w:rsid w:val="00C46F45"/>
    <w:rsid w:val="00C46F63"/>
    <w:rsid w:val="00C46FDF"/>
    <w:rsid w:val="00C47155"/>
    <w:rsid w:val="00C47258"/>
    <w:rsid w:val="00C472EA"/>
    <w:rsid w:val="00C47A59"/>
    <w:rsid w:val="00C47FF6"/>
    <w:rsid w:val="00C501A3"/>
    <w:rsid w:val="00C501A9"/>
    <w:rsid w:val="00C50315"/>
    <w:rsid w:val="00C5031E"/>
    <w:rsid w:val="00C50412"/>
    <w:rsid w:val="00C50455"/>
    <w:rsid w:val="00C50485"/>
    <w:rsid w:val="00C50574"/>
    <w:rsid w:val="00C505A3"/>
    <w:rsid w:val="00C50AE3"/>
    <w:rsid w:val="00C50BFB"/>
    <w:rsid w:val="00C50E5D"/>
    <w:rsid w:val="00C50EF8"/>
    <w:rsid w:val="00C51183"/>
    <w:rsid w:val="00C5158D"/>
    <w:rsid w:val="00C515C6"/>
    <w:rsid w:val="00C516E7"/>
    <w:rsid w:val="00C5198B"/>
    <w:rsid w:val="00C51C53"/>
    <w:rsid w:val="00C51F33"/>
    <w:rsid w:val="00C52423"/>
    <w:rsid w:val="00C52AE2"/>
    <w:rsid w:val="00C52B50"/>
    <w:rsid w:val="00C52BB1"/>
    <w:rsid w:val="00C5307A"/>
    <w:rsid w:val="00C530B8"/>
    <w:rsid w:val="00C5337C"/>
    <w:rsid w:val="00C5371E"/>
    <w:rsid w:val="00C53865"/>
    <w:rsid w:val="00C53E48"/>
    <w:rsid w:val="00C54554"/>
    <w:rsid w:val="00C546C3"/>
    <w:rsid w:val="00C54E23"/>
    <w:rsid w:val="00C54FF0"/>
    <w:rsid w:val="00C5518A"/>
    <w:rsid w:val="00C5544A"/>
    <w:rsid w:val="00C5546A"/>
    <w:rsid w:val="00C5550D"/>
    <w:rsid w:val="00C55926"/>
    <w:rsid w:val="00C55F98"/>
    <w:rsid w:val="00C55FB2"/>
    <w:rsid w:val="00C5608F"/>
    <w:rsid w:val="00C56486"/>
    <w:rsid w:val="00C56A16"/>
    <w:rsid w:val="00C56DCA"/>
    <w:rsid w:val="00C57100"/>
    <w:rsid w:val="00C57447"/>
    <w:rsid w:val="00C57494"/>
    <w:rsid w:val="00C57889"/>
    <w:rsid w:val="00C57AC7"/>
    <w:rsid w:val="00C57C35"/>
    <w:rsid w:val="00C600F1"/>
    <w:rsid w:val="00C601A1"/>
    <w:rsid w:val="00C601E1"/>
    <w:rsid w:val="00C60870"/>
    <w:rsid w:val="00C608D9"/>
    <w:rsid w:val="00C60B88"/>
    <w:rsid w:val="00C60BB7"/>
    <w:rsid w:val="00C60C59"/>
    <w:rsid w:val="00C610C8"/>
    <w:rsid w:val="00C613E0"/>
    <w:rsid w:val="00C614C3"/>
    <w:rsid w:val="00C61D85"/>
    <w:rsid w:val="00C61E54"/>
    <w:rsid w:val="00C6216A"/>
    <w:rsid w:val="00C621EA"/>
    <w:rsid w:val="00C625AA"/>
    <w:rsid w:val="00C627AE"/>
    <w:rsid w:val="00C62B7C"/>
    <w:rsid w:val="00C62F59"/>
    <w:rsid w:val="00C63350"/>
    <w:rsid w:val="00C635F3"/>
    <w:rsid w:val="00C6388D"/>
    <w:rsid w:val="00C63A41"/>
    <w:rsid w:val="00C63CAC"/>
    <w:rsid w:val="00C63D23"/>
    <w:rsid w:val="00C63DDD"/>
    <w:rsid w:val="00C63FCB"/>
    <w:rsid w:val="00C641C1"/>
    <w:rsid w:val="00C64768"/>
    <w:rsid w:val="00C649CD"/>
    <w:rsid w:val="00C64BE5"/>
    <w:rsid w:val="00C6501F"/>
    <w:rsid w:val="00C65422"/>
    <w:rsid w:val="00C65586"/>
    <w:rsid w:val="00C65CB1"/>
    <w:rsid w:val="00C65CD4"/>
    <w:rsid w:val="00C65E94"/>
    <w:rsid w:val="00C66020"/>
    <w:rsid w:val="00C66060"/>
    <w:rsid w:val="00C66148"/>
    <w:rsid w:val="00C66836"/>
    <w:rsid w:val="00C66892"/>
    <w:rsid w:val="00C66D6D"/>
    <w:rsid w:val="00C66F88"/>
    <w:rsid w:val="00C67127"/>
    <w:rsid w:val="00C67422"/>
    <w:rsid w:val="00C675EA"/>
    <w:rsid w:val="00C678E0"/>
    <w:rsid w:val="00C67B6E"/>
    <w:rsid w:val="00C67CF0"/>
    <w:rsid w:val="00C702F0"/>
    <w:rsid w:val="00C704E0"/>
    <w:rsid w:val="00C705DC"/>
    <w:rsid w:val="00C70B53"/>
    <w:rsid w:val="00C70BAE"/>
    <w:rsid w:val="00C70FA2"/>
    <w:rsid w:val="00C71229"/>
    <w:rsid w:val="00C71278"/>
    <w:rsid w:val="00C713D0"/>
    <w:rsid w:val="00C71AE6"/>
    <w:rsid w:val="00C71B9D"/>
    <w:rsid w:val="00C71DAF"/>
    <w:rsid w:val="00C71DBF"/>
    <w:rsid w:val="00C723F6"/>
    <w:rsid w:val="00C725F1"/>
    <w:rsid w:val="00C728DA"/>
    <w:rsid w:val="00C72979"/>
    <w:rsid w:val="00C729A8"/>
    <w:rsid w:val="00C72B28"/>
    <w:rsid w:val="00C72B72"/>
    <w:rsid w:val="00C72FD8"/>
    <w:rsid w:val="00C7324F"/>
    <w:rsid w:val="00C737DC"/>
    <w:rsid w:val="00C73D47"/>
    <w:rsid w:val="00C741FA"/>
    <w:rsid w:val="00C74ABF"/>
    <w:rsid w:val="00C74B1E"/>
    <w:rsid w:val="00C752D5"/>
    <w:rsid w:val="00C752EB"/>
    <w:rsid w:val="00C754FD"/>
    <w:rsid w:val="00C758A1"/>
    <w:rsid w:val="00C75AD2"/>
    <w:rsid w:val="00C75DD8"/>
    <w:rsid w:val="00C75F51"/>
    <w:rsid w:val="00C76229"/>
    <w:rsid w:val="00C76381"/>
    <w:rsid w:val="00C7638B"/>
    <w:rsid w:val="00C76410"/>
    <w:rsid w:val="00C765E3"/>
    <w:rsid w:val="00C76633"/>
    <w:rsid w:val="00C76C7B"/>
    <w:rsid w:val="00C76D9A"/>
    <w:rsid w:val="00C76E5D"/>
    <w:rsid w:val="00C77149"/>
    <w:rsid w:val="00C771C7"/>
    <w:rsid w:val="00C771E4"/>
    <w:rsid w:val="00C77349"/>
    <w:rsid w:val="00C7739C"/>
    <w:rsid w:val="00C774D2"/>
    <w:rsid w:val="00C77684"/>
    <w:rsid w:val="00C77727"/>
    <w:rsid w:val="00C77A2A"/>
    <w:rsid w:val="00C77F79"/>
    <w:rsid w:val="00C80134"/>
    <w:rsid w:val="00C8031B"/>
    <w:rsid w:val="00C8042E"/>
    <w:rsid w:val="00C804B8"/>
    <w:rsid w:val="00C80529"/>
    <w:rsid w:val="00C807E3"/>
    <w:rsid w:val="00C80BA4"/>
    <w:rsid w:val="00C81337"/>
    <w:rsid w:val="00C81388"/>
    <w:rsid w:val="00C819F9"/>
    <w:rsid w:val="00C82281"/>
    <w:rsid w:val="00C824DC"/>
    <w:rsid w:val="00C82A07"/>
    <w:rsid w:val="00C82C43"/>
    <w:rsid w:val="00C82E43"/>
    <w:rsid w:val="00C82E71"/>
    <w:rsid w:val="00C8313A"/>
    <w:rsid w:val="00C83320"/>
    <w:rsid w:val="00C8341A"/>
    <w:rsid w:val="00C83510"/>
    <w:rsid w:val="00C8358F"/>
    <w:rsid w:val="00C83760"/>
    <w:rsid w:val="00C83792"/>
    <w:rsid w:val="00C83810"/>
    <w:rsid w:val="00C8431E"/>
    <w:rsid w:val="00C843BF"/>
    <w:rsid w:val="00C8460A"/>
    <w:rsid w:val="00C84846"/>
    <w:rsid w:val="00C84B91"/>
    <w:rsid w:val="00C84DAE"/>
    <w:rsid w:val="00C850D9"/>
    <w:rsid w:val="00C854C5"/>
    <w:rsid w:val="00C85591"/>
    <w:rsid w:val="00C85903"/>
    <w:rsid w:val="00C85BEA"/>
    <w:rsid w:val="00C85F01"/>
    <w:rsid w:val="00C86074"/>
    <w:rsid w:val="00C8666D"/>
    <w:rsid w:val="00C86892"/>
    <w:rsid w:val="00C869E6"/>
    <w:rsid w:val="00C86A07"/>
    <w:rsid w:val="00C86AA2"/>
    <w:rsid w:val="00C86CC3"/>
    <w:rsid w:val="00C86EFB"/>
    <w:rsid w:val="00C87065"/>
    <w:rsid w:val="00C871BF"/>
    <w:rsid w:val="00C872D1"/>
    <w:rsid w:val="00C87706"/>
    <w:rsid w:val="00C87A8B"/>
    <w:rsid w:val="00C87AAC"/>
    <w:rsid w:val="00C87B9A"/>
    <w:rsid w:val="00C87FA7"/>
    <w:rsid w:val="00C9066E"/>
    <w:rsid w:val="00C90D3F"/>
    <w:rsid w:val="00C90D60"/>
    <w:rsid w:val="00C90D75"/>
    <w:rsid w:val="00C90DF3"/>
    <w:rsid w:val="00C90E2C"/>
    <w:rsid w:val="00C90FF1"/>
    <w:rsid w:val="00C91072"/>
    <w:rsid w:val="00C913FA"/>
    <w:rsid w:val="00C91819"/>
    <w:rsid w:val="00C91867"/>
    <w:rsid w:val="00C91B2B"/>
    <w:rsid w:val="00C91BB8"/>
    <w:rsid w:val="00C91BCE"/>
    <w:rsid w:val="00C91BE0"/>
    <w:rsid w:val="00C92792"/>
    <w:rsid w:val="00C9293C"/>
    <w:rsid w:val="00C92F73"/>
    <w:rsid w:val="00C9352E"/>
    <w:rsid w:val="00C93874"/>
    <w:rsid w:val="00C9392F"/>
    <w:rsid w:val="00C93CAD"/>
    <w:rsid w:val="00C940CA"/>
    <w:rsid w:val="00C94457"/>
    <w:rsid w:val="00C94957"/>
    <w:rsid w:val="00C94CE6"/>
    <w:rsid w:val="00C94E31"/>
    <w:rsid w:val="00C95366"/>
    <w:rsid w:val="00C95533"/>
    <w:rsid w:val="00C95A95"/>
    <w:rsid w:val="00C95DDC"/>
    <w:rsid w:val="00C95EE4"/>
    <w:rsid w:val="00C95FB4"/>
    <w:rsid w:val="00C96013"/>
    <w:rsid w:val="00C96341"/>
    <w:rsid w:val="00C967DD"/>
    <w:rsid w:val="00C968F3"/>
    <w:rsid w:val="00C96F6B"/>
    <w:rsid w:val="00C97347"/>
    <w:rsid w:val="00C9761C"/>
    <w:rsid w:val="00C976CB"/>
    <w:rsid w:val="00C97A18"/>
    <w:rsid w:val="00C97AA0"/>
    <w:rsid w:val="00CA001F"/>
    <w:rsid w:val="00CA005A"/>
    <w:rsid w:val="00CA04C3"/>
    <w:rsid w:val="00CA060F"/>
    <w:rsid w:val="00CA0770"/>
    <w:rsid w:val="00CA0DE0"/>
    <w:rsid w:val="00CA0DF2"/>
    <w:rsid w:val="00CA0E00"/>
    <w:rsid w:val="00CA1096"/>
    <w:rsid w:val="00CA1430"/>
    <w:rsid w:val="00CA152B"/>
    <w:rsid w:val="00CA1836"/>
    <w:rsid w:val="00CA1CC0"/>
    <w:rsid w:val="00CA1E16"/>
    <w:rsid w:val="00CA1F9A"/>
    <w:rsid w:val="00CA20EA"/>
    <w:rsid w:val="00CA2419"/>
    <w:rsid w:val="00CA2BCC"/>
    <w:rsid w:val="00CA2FB3"/>
    <w:rsid w:val="00CA346E"/>
    <w:rsid w:val="00CA3850"/>
    <w:rsid w:val="00CA39AC"/>
    <w:rsid w:val="00CA3C60"/>
    <w:rsid w:val="00CA3F93"/>
    <w:rsid w:val="00CA433A"/>
    <w:rsid w:val="00CA458C"/>
    <w:rsid w:val="00CA4E2A"/>
    <w:rsid w:val="00CA51C6"/>
    <w:rsid w:val="00CA5210"/>
    <w:rsid w:val="00CA53E8"/>
    <w:rsid w:val="00CA57A9"/>
    <w:rsid w:val="00CA5819"/>
    <w:rsid w:val="00CA5830"/>
    <w:rsid w:val="00CA585E"/>
    <w:rsid w:val="00CA5887"/>
    <w:rsid w:val="00CA5FA3"/>
    <w:rsid w:val="00CA6128"/>
    <w:rsid w:val="00CA6317"/>
    <w:rsid w:val="00CA63CB"/>
    <w:rsid w:val="00CA6465"/>
    <w:rsid w:val="00CA66C3"/>
    <w:rsid w:val="00CA68CF"/>
    <w:rsid w:val="00CA7608"/>
    <w:rsid w:val="00CA76D9"/>
    <w:rsid w:val="00CA7858"/>
    <w:rsid w:val="00CA789D"/>
    <w:rsid w:val="00CA7A4F"/>
    <w:rsid w:val="00CB0D50"/>
    <w:rsid w:val="00CB0F96"/>
    <w:rsid w:val="00CB1309"/>
    <w:rsid w:val="00CB15DD"/>
    <w:rsid w:val="00CB1A4E"/>
    <w:rsid w:val="00CB1B54"/>
    <w:rsid w:val="00CB22F9"/>
    <w:rsid w:val="00CB23A5"/>
    <w:rsid w:val="00CB2504"/>
    <w:rsid w:val="00CB29F4"/>
    <w:rsid w:val="00CB2B5A"/>
    <w:rsid w:val="00CB2E0B"/>
    <w:rsid w:val="00CB2F5A"/>
    <w:rsid w:val="00CB3006"/>
    <w:rsid w:val="00CB30E0"/>
    <w:rsid w:val="00CB3288"/>
    <w:rsid w:val="00CB33F2"/>
    <w:rsid w:val="00CB38E4"/>
    <w:rsid w:val="00CB39B8"/>
    <w:rsid w:val="00CB3ADE"/>
    <w:rsid w:val="00CB3B40"/>
    <w:rsid w:val="00CB3E7C"/>
    <w:rsid w:val="00CB3F30"/>
    <w:rsid w:val="00CB410A"/>
    <w:rsid w:val="00CB438E"/>
    <w:rsid w:val="00CB4419"/>
    <w:rsid w:val="00CB490C"/>
    <w:rsid w:val="00CB491B"/>
    <w:rsid w:val="00CB49BB"/>
    <w:rsid w:val="00CB4CE2"/>
    <w:rsid w:val="00CB4DA0"/>
    <w:rsid w:val="00CB4DC8"/>
    <w:rsid w:val="00CB4EB3"/>
    <w:rsid w:val="00CB5428"/>
    <w:rsid w:val="00CB5A0E"/>
    <w:rsid w:val="00CB5AAB"/>
    <w:rsid w:val="00CB5E32"/>
    <w:rsid w:val="00CB6028"/>
    <w:rsid w:val="00CB6068"/>
    <w:rsid w:val="00CB6902"/>
    <w:rsid w:val="00CB69CA"/>
    <w:rsid w:val="00CB6D63"/>
    <w:rsid w:val="00CB6ECA"/>
    <w:rsid w:val="00CB73DF"/>
    <w:rsid w:val="00CB779D"/>
    <w:rsid w:val="00CB77BE"/>
    <w:rsid w:val="00CB782A"/>
    <w:rsid w:val="00CB7A1B"/>
    <w:rsid w:val="00CB7AC5"/>
    <w:rsid w:val="00CB7AFE"/>
    <w:rsid w:val="00CB7C3D"/>
    <w:rsid w:val="00CB7EB6"/>
    <w:rsid w:val="00CC0329"/>
    <w:rsid w:val="00CC0604"/>
    <w:rsid w:val="00CC1004"/>
    <w:rsid w:val="00CC1526"/>
    <w:rsid w:val="00CC153E"/>
    <w:rsid w:val="00CC1958"/>
    <w:rsid w:val="00CC2436"/>
    <w:rsid w:val="00CC24AC"/>
    <w:rsid w:val="00CC24CE"/>
    <w:rsid w:val="00CC2873"/>
    <w:rsid w:val="00CC2AEB"/>
    <w:rsid w:val="00CC2C06"/>
    <w:rsid w:val="00CC33B5"/>
    <w:rsid w:val="00CC3B3A"/>
    <w:rsid w:val="00CC407A"/>
    <w:rsid w:val="00CC434A"/>
    <w:rsid w:val="00CC439C"/>
    <w:rsid w:val="00CC4830"/>
    <w:rsid w:val="00CC4A9C"/>
    <w:rsid w:val="00CC5659"/>
    <w:rsid w:val="00CC5986"/>
    <w:rsid w:val="00CC5A60"/>
    <w:rsid w:val="00CC5B43"/>
    <w:rsid w:val="00CC638B"/>
    <w:rsid w:val="00CC683C"/>
    <w:rsid w:val="00CC6940"/>
    <w:rsid w:val="00CC6EEA"/>
    <w:rsid w:val="00CC740E"/>
    <w:rsid w:val="00CC7A8B"/>
    <w:rsid w:val="00CC7B35"/>
    <w:rsid w:val="00CC7C29"/>
    <w:rsid w:val="00CC7FBA"/>
    <w:rsid w:val="00CD037C"/>
    <w:rsid w:val="00CD0549"/>
    <w:rsid w:val="00CD0C11"/>
    <w:rsid w:val="00CD0CB9"/>
    <w:rsid w:val="00CD0D4F"/>
    <w:rsid w:val="00CD0FAA"/>
    <w:rsid w:val="00CD10AA"/>
    <w:rsid w:val="00CD16F4"/>
    <w:rsid w:val="00CD1788"/>
    <w:rsid w:val="00CD192B"/>
    <w:rsid w:val="00CD1A2B"/>
    <w:rsid w:val="00CD1BEF"/>
    <w:rsid w:val="00CD1D85"/>
    <w:rsid w:val="00CD1E26"/>
    <w:rsid w:val="00CD1FE9"/>
    <w:rsid w:val="00CD20C2"/>
    <w:rsid w:val="00CD2171"/>
    <w:rsid w:val="00CD2790"/>
    <w:rsid w:val="00CD28EF"/>
    <w:rsid w:val="00CD2993"/>
    <w:rsid w:val="00CD29E5"/>
    <w:rsid w:val="00CD2A45"/>
    <w:rsid w:val="00CD2CFE"/>
    <w:rsid w:val="00CD2D95"/>
    <w:rsid w:val="00CD32A0"/>
    <w:rsid w:val="00CD3391"/>
    <w:rsid w:val="00CD3711"/>
    <w:rsid w:val="00CD3820"/>
    <w:rsid w:val="00CD3BAD"/>
    <w:rsid w:val="00CD3C12"/>
    <w:rsid w:val="00CD45F3"/>
    <w:rsid w:val="00CD4681"/>
    <w:rsid w:val="00CD5052"/>
    <w:rsid w:val="00CD50D6"/>
    <w:rsid w:val="00CD54F9"/>
    <w:rsid w:val="00CD55A1"/>
    <w:rsid w:val="00CD55A5"/>
    <w:rsid w:val="00CD59D5"/>
    <w:rsid w:val="00CD5AA5"/>
    <w:rsid w:val="00CD5C5B"/>
    <w:rsid w:val="00CD62B1"/>
    <w:rsid w:val="00CD6495"/>
    <w:rsid w:val="00CD66C8"/>
    <w:rsid w:val="00CD66FA"/>
    <w:rsid w:val="00CD6D8C"/>
    <w:rsid w:val="00CD7188"/>
    <w:rsid w:val="00CD77AE"/>
    <w:rsid w:val="00CD7BAF"/>
    <w:rsid w:val="00CD7DB3"/>
    <w:rsid w:val="00CE097E"/>
    <w:rsid w:val="00CE0A67"/>
    <w:rsid w:val="00CE0B81"/>
    <w:rsid w:val="00CE0D53"/>
    <w:rsid w:val="00CE0DBB"/>
    <w:rsid w:val="00CE1091"/>
    <w:rsid w:val="00CE14FB"/>
    <w:rsid w:val="00CE1567"/>
    <w:rsid w:val="00CE1CA5"/>
    <w:rsid w:val="00CE1CF8"/>
    <w:rsid w:val="00CE206A"/>
    <w:rsid w:val="00CE221F"/>
    <w:rsid w:val="00CE22C7"/>
    <w:rsid w:val="00CE22D1"/>
    <w:rsid w:val="00CE26E2"/>
    <w:rsid w:val="00CE2A7D"/>
    <w:rsid w:val="00CE2BD8"/>
    <w:rsid w:val="00CE2CEC"/>
    <w:rsid w:val="00CE2F0E"/>
    <w:rsid w:val="00CE35DE"/>
    <w:rsid w:val="00CE38E1"/>
    <w:rsid w:val="00CE38E5"/>
    <w:rsid w:val="00CE3A11"/>
    <w:rsid w:val="00CE3B97"/>
    <w:rsid w:val="00CE3EE6"/>
    <w:rsid w:val="00CE3FAE"/>
    <w:rsid w:val="00CE40F0"/>
    <w:rsid w:val="00CE4188"/>
    <w:rsid w:val="00CE4387"/>
    <w:rsid w:val="00CE460A"/>
    <w:rsid w:val="00CE4963"/>
    <w:rsid w:val="00CE4A22"/>
    <w:rsid w:val="00CE4B99"/>
    <w:rsid w:val="00CE4DBB"/>
    <w:rsid w:val="00CE4DFC"/>
    <w:rsid w:val="00CE5073"/>
    <w:rsid w:val="00CE5BB3"/>
    <w:rsid w:val="00CE5DB1"/>
    <w:rsid w:val="00CE5DD4"/>
    <w:rsid w:val="00CE5EAE"/>
    <w:rsid w:val="00CE6038"/>
    <w:rsid w:val="00CE64CD"/>
    <w:rsid w:val="00CE6524"/>
    <w:rsid w:val="00CE676E"/>
    <w:rsid w:val="00CE67AE"/>
    <w:rsid w:val="00CE6E11"/>
    <w:rsid w:val="00CE6E68"/>
    <w:rsid w:val="00CE6F16"/>
    <w:rsid w:val="00CE7483"/>
    <w:rsid w:val="00CE758C"/>
    <w:rsid w:val="00CE7737"/>
    <w:rsid w:val="00CE78C8"/>
    <w:rsid w:val="00CE7AC2"/>
    <w:rsid w:val="00CE7AEB"/>
    <w:rsid w:val="00CE7DCA"/>
    <w:rsid w:val="00CE7E6E"/>
    <w:rsid w:val="00CE7F61"/>
    <w:rsid w:val="00CF05A4"/>
    <w:rsid w:val="00CF0FC2"/>
    <w:rsid w:val="00CF1025"/>
    <w:rsid w:val="00CF1258"/>
    <w:rsid w:val="00CF1411"/>
    <w:rsid w:val="00CF1592"/>
    <w:rsid w:val="00CF1A01"/>
    <w:rsid w:val="00CF1A7D"/>
    <w:rsid w:val="00CF1CCB"/>
    <w:rsid w:val="00CF2403"/>
    <w:rsid w:val="00CF2519"/>
    <w:rsid w:val="00CF264C"/>
    <w:rsid w:val="00CF28F0"/>
    <w:rsid w:val="00CF2C7C"/>
    <w:rsid w:val="00CF2C8C"/>
    <w:rsid w:val="00CF2DF5"/>
    <w:rsid w:val="00CF31B0"/>
    <w:rsid w:val="00CF31B4"/>
    <w:rsid w:val="00CF3421"/>
    <w:rsid w:val="00CF34B5"/>
    <w:rsid w:val="00CF35D8"/>
    <w:rsid w:val="00CF3743"/>
    <w:rsid w:val="00CF3A37"/>
    <w:rsid w:val="00CF3C99"/>
    <w:rsid w:val="00CF3CA8"/>
    <w:rsid w:val="00CF4051"/>
    <w:rsid w:val="00CF4318"/>
    <w:rsid w:val="00CF4732"/>
    <w:rsid w:val="00CF4812"/>
    <w:rsid w:val="00CF4ACA"/>
    <w:rsid w:val="00CF4BCA"/>
    <w:rsid w:val="00CF5199"/>
    <w:rsid w:val="00CF575B"/>
    <w:rsid w:val="00CF599A"/>
    <w:rsid w:val="00CF5CCF"/>
    <w:rsid w:val="00CF5D61"/>
    <w:rsid w:val="00CF649A"/>
    <w:rsid w:val="00CF6810"/>
    <w:rsid w:val="00CF691B"/>
    <w:rsid w:val="00CF6B4C"/>
    <w:rsid w:val="00CF6D3E"/>
    <w:rsid w:val="00CF6D87"/>
    <w:rsid w:val="00CF72C2"/>
    <w:rsid w:val="00CF7839"/>
    <w:rsid w:val="00CF7986"/>
    <w:rsid w:val="00CF7ADB"/>
    <w:rsid w:val="00D003E6"/>
    <w:rsid w:val="00D0058C"/>
    <w:rsid w:val="00D00890"/>
    <w:rsid w:val="00D008AC"/>
    <w:rsid w:val="00D00A86"/>
    <w:rsid w:val="00D00DBC"/>
    <w:rsid w:val="00D0108A"/>
    <w:rsid w:val="00D014FC"/>
    <w:rsid w:val="00D01AF2"/>
    <w:rsid w:val="00D01DE0"/>
    <w:rsid w:val="00D02264"/>
    <w:rsid w:val="00D022C8"/>
    <w:rsid w:val="00D030BF"/>
    <w:rsid w:val="00D031BD"/>
    <w:rsid w:val="00D033B0"/>
    <w:rsid w:val="00D0356C"/>
    <w:rsid w:val="00D038A0"/>
    <w:rsid w:val="00D039C9"/>
    <w:rsid w:val="00D03BEE"/>
    <w:rsid w:val="00D03C21"/>
    <w:rsid w:val="00D03EE0"/>
    <w:rsid w:val="00D03FC4"/>
    <w:rsid w:val="00D04245"/>
    <w:rsid w:val="00D043DF"/>
    <w:rsid w:val="00D04537"/>
    <w:rsid w:val="00D048B3"/>
    <w:rsid w:val="00D05373"/>
    <w:rsid w:val="00D053C3"/>
    <w:rsid w:val="00D055F6"/>
    <w:rsid w:val="00D05922"/>
    <w:rsid w:val="00D05AFC"/>
    <w:rsid w:val="00D06074"/>
    <w:rsid w:val="00D0654A"/>
    <w:rsid w:val="00D065F5"/>
    <w:rsid w:val="00D06C30"/>
    <w:rsid w:val="00D06E8F"/>
    <w:rsid w:val="00D06F35"/>
    <w:rsid w:val="00D071DB"/>
    <w:rsid w:val="00D07DF8"/>
    <w:rsid w:val="00D07E7B"/>
    <w:rsid w:val="00D10068"/>
    <w:rsid w:val="00D10127"/>
    <w:rsid w:val="00D104F4"/>
    <w:rsid w:val="00D105B7"/>
    <w:rsid w:val="00D10828"/>
    <w:rsid w:val="00D10BE2"/>
    <w:rsid w:val="00D10FC4"/>
    <w:rsid w:val="00D111EC"/>
    <w:rsid w:val="00D11818"/>
    <w:rsid w:val="00D11AB9"/>
    <w:rsid w:val="00D11F4B"/>
    <w:rsid w:val="00D12084"/>
    <w:rsid w:val="00D122EC"/>
    <w:rsid w:val="00D124F5"/>
    <w:rsid w:val="00D12618"/>
    <w:rsid w:val="00D12665"/>
    <w:rsid w:val="00D127A5"/>
    <w:rsid w:val="00D12A29"/>
    <w:rsid w:val="00D12D5D"/>
    <w:rsid w:val="00D12D82"/>
    <w:rsid w:val="00D12E0F"/>
    <w:rsid w:val="00D138E2"/>
    <w:rsid w:val="00D13BBE"/>
    <w:rsid w:val="00D13EA2"/>
    <w:rsid w:val="00D13F13"/>
    <w:rsid w:val="00D14084"/>
    <w:rsid w:val="00D140A6"/>
    <w:rsid w:val="00D14270"/>
    <w:rsid w:val="00D14386"/>
    <w:rsid w:val="00D147F6"/>
    <w:rsid w:val="00D14C37"/>
    <w:rsid w:val="00D15363"/>
    <w:rsid w:val="00D1536F"/>
    <w:rsid w:val="00D15991"/>
    <w:rsid w:val="00D15DE2"/>
    <w:rsid w:val="00D15E64"/>
    <w:rsid w:val="00D1622B"/>
    <w:rsid w:val="00D16395"/>
    <w:rsid w:val="00D16484"/>
    <w:rsid w:val="00D16768"/>
    <w:rsid w:val="00D169DD"/>
    <w:rsid w:val="00D16C2E"/>
    <w:rsid w:val="00D16C34"/>
    <w:rsid w:val="00D170D8"/>
    <w:rsid w:val="00D17A21"/>
    <w:rsid w:val="00D17A75"/>
    <w:rsid w:val="00D20095"/>
    <w:rsid w:val="00D201BE"/>
    <w:rsid w:val="00D202EE"/>
    <w:rsid w:val="00D2076C"/>
    <w:rsid w:val="00D20C0F"/>
    <w:rsid w:val="00D20EB2"/>
    <w:rsid w:val="00D21005"/>
    <w:rsid w:val="00D21296"/>
    <w:rsid w:val="00D21322"/>
    <w:rsid w:val="00D21407"/>
    <w:rsid w:val="00D21409"/>
    <w:rsid w:val="00D217A4"/>
    <w:rsid w:val="00D21817"/>
    <w:rsid w:val="00D218E8"/>
    <w:rsid w:val="00D21A2E"/>
    <w:rsid w:val="00D21E41"/>
    <w:rsid w:val="00D22191"/>
    <w:rsid w:val="00D22435"/>
    <w:rsid w:val="00D22605"/>
    <w:rsid w:val="00D2290E"/>
    <w:rsid w:val="00D22BA9"/>
    <w:rsid w:val="00D22CCC"/>
    <w:rsid w:val="00D22DD0"/>
    <w:rsid w:val="00D23356"/>
    <w:rsid w:val="00D23722"/>
    <w:rsid w:val="00D23736"/>
    <w:rsid w:val="00D23AE1"/>
    <w:rsid w:val="00D23AE3"/>
    <w:rsid w:val="00D23DF6"/>
    <w:rsid w:val="00D23F25"/>
    <w:rsid w:val="00D23FE9"/>
    <w:rsid w:val="00D2418E"/>
    <w:rsid w:val="00D242AE"/>
    <w:rsid w:val="00D245FD"/>
    <w:rsid w:val="00D24A0E"/>
    <w:rsid w:val="00D24A1C"/>
    <w:rsid w:val="00D24AAE"/>
    <w:rsid w:val="00D24AAF"/>
    <w:rsid w:val="00D25067"/>
    <w:rsid w:val="00D250FB"/>
    <w:rsid w:val="00D2518C"/>
    <w:rsid w:val="00D254D1"/>
    <w:rsid w:val="00D25589"/>
    <w:rsid w:val="00D25B2B"/>
    <w:rsid w:val="00D25B3F"/>
    <w:rsid w:val="00D25B69"/>
    <w:rsid w:val="00D25E1A"/>
    <w:rsid w:val="00D26056"/>
    <w:rsid w:val="00D260F5"/>
    <w:rsid w:val="00D260F6"/>
    <w:rsid w:val="00D26156"/>
    <w:rsid w:val="00D26C24"/>
    <w:rsid w:val="00D26D9F"/>
    <w:rsid w:val="00D26E11"/>
    <w:rsid w:val="00D27069"/>
    <w:rsid w:val="00D27262"/>
    <w:rsid w:val="00D27317"/>
    <w:rsid w:val="00D273B0"/>
    <w:rsid w:val="00D2744A"/>
    <w:rsid w:val="00D2748E"/>
    <w:rsid w:val="00D27587"/>
    <w:rsid w:val="00D2766D"/>
    <w:rsid w:val="00D27F90"/>
    <w:rsid w:val="00D301A7"/>
    <w:rsid w:val="00D3026F"/>
    <w:rsid w:val="00D30729"/>
    <w:rsid w:val="00D30B1C"/>
    <w:rsid w:val="00D30D9C"/>
    <w:rsid w:val="00D30F0D"/>
    <w:rsid w:val="00D310A6"/>
    <w:rsid w:val="00D31179"/>
    <w:rsid w:val="00D31358"/>
    <w:rsid w:val="00D31838"/>
    <w:rsid w:val="00D31ABC"/>
    <w:rsid w:val="00D31B5D"/>
    <w:rsid w:val="00D31BF4"/>
    <w:rsid w:val="00D31CEA"/>
    <w:rsid w:val="00D31D2E"/>
    <w:rsid w:val="00D31E08"/>
    <w:rsid w:val="00D31FD8"/>
    <w:rsid w:val="00D3277B"/>
    <w:rsid w:val="00D327AC"/>
    <w:rsid w:val="00D32A7F"/>
    <w:rsid w:val="00D32A8A"/>
    <w:rsid w:val="00D32BBF"/>
    <w:rsid w:val="00D32D65"/>
    <w:rsid w:val="00D330D9"/>
    <w:rsid w:val="00D33107"/>
    <w:rsid w:val="00D333AB"/>
    <w:rsid w:val="00D33433"/>
    <w:rsid w:val="00D33877"/>
    <w:rsid w:val="00D339AF"/>
    <w:rsid w:val="00D33B2A"/>
    <w:rsid w:val="00D33E79"/>
    <w:rsid w:val="00D33F68"/>
    <w:rsid w:val="00D340F9"/>
    <w:rsid w:val="00D344A0"/>
    <w:rsid w:val="00D34779"/>
    <w:rsid w:val="00D34976"/>
    <w:rsid w:val="00D34FF0"/>
    <w:rsid w:val="00D3500A"/>
    <w:rsid w:val="00D352B5"/>
    <w:rsid w:val="00D354D1"/>
    <w:rsid w:val="00D358BA"/>
    <w:rsid w:val="00D358EB"/>
    <w:rsid w:val="00D359AE"/>
    <w:rsid w:val="00D359CD"/>
    <w:rsid w:val="00D35C20"/>
    <w:rsid w:val="00D363D7"/>
    <w:rsid w:val="00D364CC"/>
    <w:rsid w:val="00D365FA"/>
    <w:rsid w:val="00D366FE"/>
    <w:rsid w:val="00D36CC9"/>
    <w:rsid w:val="00D3734F"/>
    <w:rsid w:val="00D37355"/>
    <w:rsid w:val="00D37954"/>
    <w:rsid w:val="00D3798D"/>
    <w:rsid w:val="00D379A3"/>
    <w:rsid w:val="00D37B44"/>
    <w:rsid w:val="00D37DD4"/>
    <w:rsid w:val="00D402FB"/>
    <w:rsid w:val="00D4081F"/>
    <w:rsid w:val="00D40A03"/>
    <w:rsid w:val="00D40C93"/>
    <w:rsid w:val="00D40CAE"/>
    <w:rsid w:val="00D4128C"/>
    <w:rsid w:val="00D41431"/>
    <w:rsid w:val="00D414F2"/>
    <w:rsid w:val="00D41746"/>
    <w:rsid w:val="00D41B12"/>
    <w:rsid w:val="00D41D55"/>
    <w:rsid w:val="00D42550"/>
    <w:rsid w:val="00D426D9"/>
    <w:rsid w:val="00D42A06"/>
    <w:rsid w:val="00D42BFB"/>
    <w:rsid w:val="00D42C9E"/>
    <w:rsid w:val="00D430F2"/>
    <w:rsid w:val="00D433E2"/>
    <w:rsid w:val="00D43679"/>
    <w:rsid w:val="00D43A65"/>
    <w:rsid w:val="00D43F87"/>
    <w:rsid w:val="00D44012"/>
    <w:rsid w:val="00D44316"/>
    <w:rsid w:val="00D44374"/>
    <w:rsid w:val="00D449CD"/>
    <w:rsid w:val="00D44B85"/>
    <w:rsid w:val="00D44C5B"/>
    <w:rsid w:val="00D44DF0"/>
    <w:rsid w:val="00D44E3A"/>
    <w:rsid w:val="00D44EA4"/>
    <w:rsid w:val="00D44FA7"/>
    <w:rsid w:val="00D44FD8"/>
    <w:rsid w:val="00D45212"/>
    <w:rsid w:val="00D45390"/>
    <w:rsid w:val="00D454A6"/>
    <w:rsid w:val="00D458F6"/>
    <w:rsid w:val="00D45946"/>
    <w:rsid w:val="00D45947"/>
    <w:rsid w:val="00D45AA6"/>
    <w:rsid w:val="00D460D1"/>
    <w:rsid w:val="00D4611B"/>
    <w:rsid w:val="00D461CA"/>
    <w:rsid w:val="00D461F2"/>
    <w:rsid w:val="00D4634F"/>
    <w:rsid w:val="00D463F9"/>
    <w:rsid w:val="00D46484"/>
    <w:rsid w:val="00D465AB"/>
    <w:rsid w:val="00D46AE1"/>
    <w:rsid w:val="00D46B1D"/>
    <w:rsid w:val="00D46F13"/>
    <w:rsid w:val="00D47328"/>
    <w:rsid w:val="00D4770C"/>
    <w:rsid w:val="00D47794"/>
    <w:rsid w:val="00D477E4"/>
    <w:rsid w:val="00D47889"/>
    <w:rsid w:val="00D47B5F"/>
    <w:rsid w:val="00D47CC4"/>
    <w:rsid w:val="00D47EC8"/>
    <w:rsid w:val="00D50147"/>
    <w:rsid w:val="00D5015A"/>
    <w:rsid w:val="00D5029D"/>
    <w:rsid w:val="00D50314"/>
    <w:rsid w:val="00D5046D"/>
    <w:rsid w:val="00D506B1"/>
    <w:rsid w:val="00D50789"/>
    <w:rsid w:val="00D511B5"/>
    <w:rsid w:val="00D51201"/>
    <w:rsid w:val="00D512F2"/>
    <w:rsid w:val="00D51676"/>
    <w:rsid w:val="00D518E9"/>
    <w:rsid w:val="00D51B5F"/>
    <w:rsid w:val="00D51C03"/>
    <w:rsid w:val="00D51D59"/>
    <w:rsid w:val="00D51EEF"/>
    <w:rsid w:val="00D51F4D"/>
    <w:rsid w:val="00D52044"/>
    <w:rsid w:val="00D520BB"/>
    <w:rsid w:val="00D52279"/>
    <w:rsid w:val="00D52341"/>
    <w:rsid w:val="00D52360"/>
    <w:rsid w:val="00D525BA"/>
    <w:rsid w:val="00D525F1"/>
    <w:rsid w:val="00D52711"/>
    <w:rsid w:val="00D528E5"/>
    <w:rsid w:val="00D52A4C"/>
    <w:rsid w:val="00D52A88"/>
    <w:rsid w:val="00D52BC7"/>
    <w:rsid w:val="00D52E47"/>
    <w:rsid w:val="00D53060"/>
    <w:rsid w:val="00D5318C"/>
    <w:rsid w:val="00D53270"/>
    <w:rsid w:val="00D53340"/>
    <w:rsid w:val="00D534BD"/>
    <w:rsid w:val="00D536C2"/>
    <w:rsid w:val="00D536CE"/>
    <w:rsid w:val="00D5374E"/>
    <w:rsid w:val="00D53901"/>
    <w:rsid w:val="00D53DC0"/>
    <w:rsid w:val="00D53E2D"/>
    <w:rsid w:val="00D53E48"/>
    <w:rsid w:val="00D54005"/>
    <w:rsid w:val="00D54453"/>
    <w:rsid w:val="00D5491C"/>
    <w:rsid w:val="00D549DF"/>
    <w:rsid w:val="00D54ACB"/>
    <w:rsid w:val="00D54B62"/>
    <w:rsid w:val="00D54B67"/>
    <w:rsid w:val="00D54CF1"/>
    <w:rsid w:val="00D550E2"/>
    <w:rsid w:val="00D55121"/>
    <w:rsid w:val="00D5532B"/>
    <w:rsid w:val="00D55492"/>
    <w:rsid w:val="00D555B2"/>
    <w:rsid w:val="00D558A5"/>
    <w:rsid w:val="00D5597E"/>
    <w:rsid w:val="00D55A51"/>
    <w:rsid w:val="00D55D3C"/>
    <w:rsid w:val="00D56287"/>
    <w:rsid w:val="00D562A8"/>
    <w:rsid w:val="00D563F3"/>
    <w:rsid w:val="00D566FC"/>
    <w:rsid w:val="00D568E6"/>
    <w:rsid w:val="00D56CA5"/>
    <w:rsid w:val="00D56CA7"/>
    <w:rsid w:val="00D57143"/>
    <w:rsid w:val="00D57359"/>
    <w:rsid w:val="00D57DA9"/>
    <w:rsid w:val="00D60184"/>
    <w:rsid w:val="00D602B7"/>
    <w:rsid w:val="00D603B0"/>
    <w:rsid w:val="00D609F9"/>
    <w:rsid w:val="00D60F97"/>
    <w:rsid w:val="00D60FE6"/>
    <w:rsid w:val="00D6130E"/>
    <w:rsid w:val="00D6134C"/>
    <w:rsid w:val="00D613BA"/>
    <w:rsid w:val="00D61A38"/>
    <w:rsid w:val="00D61B92"/>
    <w:rsid w:val="00D61C17"/>
    <w:rsid w:val="00D61F05"/>
    <w:rsid w:val="00D61F06"/>
    <w:rsid w:val="00D61F85"/>
    <w:rsid w:val="00D62B31"/>
    <w:rsid w:val="00D62EC4"/>
    <w:rsid w:val="00D631DD"/>
    <w:rsid w:val="00D632D7"/>
    <w:rsid w:val="00D633F3"/>
    <w:rsid w:val="00D63418"/>
    <w:rsid w:val="00D637A0"/>
    <w:rsid w:val="00D6393A"/>
    <w:rsid w:val="00D63BFA"/>
    <w:rsid w:val="00D63CA4"/>
    <w:rsid w:val="00D63DD2"/>
    <w:rsid w:val="00D642F0"/>
    <w:rsid w:val="00D64453"/>
    <w:rsid w:val="00D646DA"/>
    <w:rsid w:val="00D64AE1"/>
    <w:rsid w:val="00D64BE9"/>
    <w:rsid w:val="00D64C1E"/>
    <w:rsid w:val="00D64F29"/>
    <w:rsid w:val="00D651D8"/>
    <w:rsid w:val="00D6525E"/>
    <w:rsid w:val="00D65285"/>
    <w:rsid w:val="00D65435"/>
    <w:rsid w:val="00D65481"/>
    <w:rsid w:val="00D659ED"/>
    <w:rsid w:val="00D65B59"/>
    <w:rsid w:val="00D65EBA"/>
    <w:rsid w:val="00D662E2"/>
    <w:rsid w:val="00D66498"/>
    <w:rsid w:val="00D66518"/>
    <w:rsid w:val="00D66744"/>
    <w:rsid w:val="00D668BA"/>
    <w:rsid w:val="00D66C5F"/>
    <w:rsid w:val="00D67091"/>
    <w:rsid w:val="00D67153"/>
    <w:rsid w:val="00D672DE"/>
    <w:rsid w:val="00D6754B"/>
    <w:rsid w:val="00D6778F"/>
    <w:rsid w:val="00D67EC9"/>
    <w:rsid w:val="00D70305"/>
    <w:rsid w:val="00D7038C"/>
    <w:rsid w:val="00D7053A"/>
    <w:rsid w:val="00D70586"/>
    <w:rsid w:val="00D706B8"/>
    <w:rsid w:val="00D7096F"/>
    <w:rsid w:val="00D70C80"/>
    <w:rsid w:val="00D70CAB"/>
    <w:rsid w:val="00D70E5F"/>
    <w:rsid w:val="00D70FC1"/>
    <w:rsid w:val="00D711FB"/>
    <w:rsid w:val="00D7130E"/>
    <w:rsid w:val="00D713DA"/>
    <w:rsid w:val="00D7175D"/>
    <w:rsid w:val="00D717C2"/>
    <w:rsid w:val="00D71A84"/>
    <w:rsid w:val="00D71ABC"/>
    <w:rsid w:val="00D7209D"/>
    <w:rsid w:val="00D7210E"/>
    <w:rsid w:val="00D721F5"/>
    <w:rsid w:val="00D724BF"/>
    <w:rsid w:val="00D72953"/>
    <w:rsid w:val="00D734A2"/>
    <w:rsid w:val="00D738AC"/>
    <w:rsid w:val="00D73D99"/>
    <w:rsid w:val="00D73F29"/>
    <w:rsid w:val="00D73FEF"/>
    <w:rsid w:val="00D74290"/>
    <w:rsid w:val="00D7445E"/>
    <w:rsid w:val="00D748D1"/>
    <w:rsid w:val="00D75206"/>
    <w:rsid w:val="00D75299"/>
    <w:rsid w:val="00D757A3"/>
    <w:rsid w:val="00D75E40"/>
    <w:rsid w:val="00D75E48"/>
    <w:rsid w:val="00D75E76"/>
    <w:rsid w:val="00D75E9E"/>
    <w:rsid w:val="00D76117"/>
    <w:rsid w:val="00D761FC"/>
    <w:rsid w:val="00D7627A"/>
    <w:rsid w:val="00D76329"/>
    <w:rsid w:val="00D764C0"/>
    <w:rsid w:val="00D7667D"/>
    <w:rsid w:val="00D7676F"/>
    <w:rsid w:val="00D76B1E"/>
    <w:rsid w:val="00D76BD6"/>
    <w:rsid w:val="00D76CAD"/>
    <w:rsid w:val="00D76D3E"/>
    <w:rsid w:val="00D76E3D"/>
    <w:rsid w:val="00D7717B"/>
    <w:rsid w:val="00D7717D"/>
    <w:rsid w:val="00D7732F"/>
    <w:rsid w:val="00D773D7"/>
    <w:rsid w:val="00D77ABC"/>
    <w:rsid w:val="00D8029F"/>
    <w:rsid w:val="00D804AC"/>
    <w:rsid w:val="00D80627"/>
    <w:rsid w:val="00D80E7E"/>
    <w:rsid w:val="00D80F5B"/>
    <w:rsid w:val="00D81088"/>
    <w:rsid w:val="00D815A5"/>
    <w:rsid w:val="00D815EC"/>
    <w:rsid w:val="00D81D6E"/>
    <w:rsid w:val="00D81D76"/>
    <w:rsid w:val="00D81E39"/>
    <w:rsid w:val="00D8246B"/>
    <w:rsid w:val="00D82524"/>
    <w:rsid w:val="00D82E99"/>
    <w:rsid w:val="00D82F85"/>
    <w:rsid w:val="00D830D7"/>
    <w:rsid w:val="00D833FD"/>
    <w:rsid w:val="00D8360A"/>
    <w:rsid w:val="00D8365A"/>
    <w:rsid w:val="00D83C37"/>
    <w:rsid w:val="00D83F5B"/>
    <w:rsid w:val="00D84435"/>
    <w:rsid w:val="00D84598"/>
    <w:rsid w:val="00D84619"/>
    <w:rsid w:val="00D84CAF"/>
    <w:rsid w:val="00D84FE5"/>
    <w:rsid w:val="00D85506"/>
    <w:rsid w:val="00D8556E"/>
    <w:rsid w:val="00D8569B"/>
    <w:rsid w:val="00D85711"/>
    <w:rsid w:val="00D85790"/>
    <w:rsid w:val="00D85900"/>
    <w:rsid w:val="00D85904"/>
    <w:rsid w:val="00D85DD4"/>
    <w:rsid w:val="00D86325"/>
    <w:rsid w:val="00D8632E"/>
    <w:rsid w:val="00D86445"/>
    <w:rsid w:val="00D86609"/>
    <w:rsid w:val="00D86649"/>
    <w:rsid w:val="00D867AC"/>
    <w:rsid w:val="00D86CB2"/>
    <w:rsid w:val="00D86D6D"/>
    <w:rsid w:val="00D87351"/>
    <w:rsid w:val="00D87841"/>
    <w:rsid w:val="00D87F1C"/>
    <w:rsid w:val="00D9006C"/>
    <w:rsid w:val="00D90503"/>
    <w:rsid w:val="00D9058B"/>
    <w:rsid w:val="00D9095B"/>
    <w:rsid w:val="00D90A33"/>
    <w:rsid w:val="00D90E93"/>
    <w:rsid w:val="00D90EA0"/>
    <w:rsid w:val="00D90F6D"/>
    <w:rsid w:val="00D91047"/>
    <w:rsid w:val="00D91297"/>
    <w:rsid w:val="00D9146B"/>
    <w:rsid w:val="00D91667"/>
    <w:rsid w:val="00D91723"/>
    <w:rsid w:val="00D9173D"/>
    <w:rsid w:val="00D918F7"/>
    <w:rsid w:val="00D91B6C"/>
    <w:rsid w:val="00D92049"/>
    <w:rsid w:val="00D92084"/>
    <w:rsid w:val="00D921FE"/>
    <w:rsid w:val="00D924F4"/>
    <w:rsid w:val="00D9263C"/>
    <w:rsid w:val="00D92A2E"/>
    <w:rsid w:val="00D92A5E"/>
    <w:rsid w:val="00D92BAF"/>
    <w:rsid w:val="00D9342D"/>
    <w:rsid w:val="00D934A9"/>
    <w:rsid w:val="00D935BA"/>
    <w:rsid w:val="00D936E3"/>
    <w:rsid w:val="00D93848"/>
    <w:rsid w:val="00D939C2"/>
    <w:rsid w:val="00D94409"/>
    <w:rsid w:val="00D94641"/>
    <w:rsid w:val="00D94724"/>
    <w:rsid w:val="00D94A6E"/>
    <w:rsid w:val="00D9507B"/>
    <w:rsid w:val="00D95262"/>
    <w:rsid w:val="00D9567A"/>
    <w:rsid w:val="00D958DE"/>
    <w:rsid w:val="00D95A5D"/>
    <w:rsid w:val="00D95B60"/>
    <w:rsid w:val="00D95E3D"/>
    <w:rsid w:val="00D95F95"/>
    <w:rsid w:val="00D9657A"/>
    <w:rsid w:val="00D96B74"/>
    <w:rsid w:val="00D96BF3"/>
    <w:rsid w:val="00D96D39"/>
    <w:rsid w:val="00D96EC7"/>
    <w:rsid w:val="00D97019"/>
    <w:rsid w:val="00D970F1"/>
    <w:rsid w:val="00D97459"/>
    <w:rsid w:val="00D9756E"/>
    <w:rsid w:val="00D97730"/>
    <w:rsid w:val="00D97769"/>
    <w:rsid w:val="00D97A44"/>
    <w:rsid w:val="00D97ADE"/>
    <w:rsid w:val="00D97BEF"/>
    <w:rsid w:val="00D97C22"/>
    <w:rsid w:val="00D97C2E"/>
    <w:rsid w:val="00D97DA6"/>
    <w:rsid w:val="00DA001A"/>
    <w:rsid w:val="00DA019A"/>
    <w:rsid w:val="00DA05D1"/>
    <w:rsid w:val="00DA088E"/>
    <w:rsid w:val="00DA090A"/>
    <w:rsid w:val="00DA0B1D"/>
    <w:rsid w:val="00DA13A1"/>
    <w:rsid w:val="00DA153E"/>
    <w:rsid w:val="00DA1845"/>
    <w:rsid w:val="00DA19BF"/>
    <w:rsid w:val="00DA1A2C"/>
    <w:rsid w:val="00DA1B0A"/>
    <w:rsid w:val="00DA1BFC"/>
    <w:rsid w:val="00DA1C95"/>
    <w:rsid w:val="00DA29A3"/>
    <w:rsid w:val="00DA2C37"/>
    <w:rsid w:val="00DA2C66"/>
    <w:rsid w:val="00DA2CA4"/>
    <w:rsid w:val="00DA2DD8"/>
    <w:rsid w:val="00DA2F1D"/>
    <w:rsid w:val="00DA2F2D"/>
    <w:rsid w:val="00DA3081"/>
    <w:rsid w:val="00DA3176"/>
    <w:rsid w:val="00DA320B"/>
    <w:rsid w:val="00DA3725"/>
    <w:rsid w:val="00DA3891"/>
    <w:rsid w:val="00DA3A5B"/>
    <w:rsid w:val="00DA3C5A"/>
    <w:rsid w:val="00DA3D4C"/>
    <w:rsid w:val="00DA3D4F"/>
    <w:rsid w:val="00DA3FF6"/>
    <w:rsid w:val="00DA404E"/>
    <w:rsid w:val="00DA40C0"/>
    <w:rsid w:val="00DA52EE"/>
    <w:rsid w:val="00DA5898"/>
    <w:rsid w:val="00DA5A2C"/>
    <w:rsid w:val="00DA5A7F"/>
    <w:rsid w:val="00DA68BE"/>
    <w:rsid w:val="00DA699F"/>
    <w:rsid w:val="00DA6A40"/>
    <w:rsid w:val="00DA6B75"/>
    <w:rsid w:val="00DA6E7C"/>
    <w:rsid w:val="00DA6F0F"/>
    <w:rsid w:val="00DA70D0"/>
    <w:rsid w:val="00DA75B0"/>
    <w:rsid w:val="00DA7748"/>
    <w:rsid w:val="00DA7B01"/>
    <w:rsid w:val="00DA7C32"/>
    <w:rsid w:val="00DA7E6E"/>
    <w:rsid w:val="00DA7F88"/>
    <w:rsid w:val="00DB0327"/>
    <w:rsid w:val="00DB040C"/>
    <w:rsid w:val="00DB054A"/>
    <w:rsid w:val="00DB064B"/>
    <w:rsid w:val="00DB06B4"/>
    <w:rsid w:val="00DB0B86"/>
    <w:rsid w:val="00DB0C62"/>
    <w:rsid w:val="00DB0DDB"/>
    <w:rsid w:val="00DB0F07"/>
    <w:rsid w:val="00DB0F27"/>
    <w:rsid w:val="00DB101D"/>
    <w:rsid w:val="00DB1026"/>
    <w:rsid w:val="00DB1498"/>
    <w:rsid w:val="00DB14A8"/>
    <w:rsid w:val="00DB19EF"/>
    <w:rsid w:val="00DB1A33"/>
    <w:rsid w:val="00DB1C28"/>
    <w:rsid w:val="00DB1CF2"/>
    <w:rsid w:val="00DB1E51"/>
    <w:rsid w:val="00DB1FF4"/>
    <w:rsid w:val="00DB2067"/>
    <w:rsid w:val="00DB2748"/>
    <w:rsid w:val="00DB2803"/>
    <w:rsid w:val="00DB2897"/>
    <w:rsid w:val="00DB3030"/>
    <w:rsid w:val="00DB334A"/>
    <w:rsid w:val="00DB3694"/>
    <w:rsid w:val="00DB36CE"/>
    <w:rsid w:val="00DB38BD"/>
    <w:rsid w:val="00DB3E27"/>
    <w:rsid w:val="00DB3F9E"/>
    <w:rsid w:val="00DB417B"/>
    <w:rsid w:val="00DB4505"/>
    <w:rsid w:val="00DB4597"/>
    <w:rsid w:val="00DB49BD"/>
    <w:rsid w:val="00DB4AD7"/>
    <w:rsid w:val="00DB4AE4"/>
    <w:rsid w:val="00DB4B36"/>
    <w:rsid w:val="00DB4DC0"/>
    <w:rsid w:val="00DB4F77"/>
    <w:rsid w:val="00DB556C"/>
    <w:rsid w:val="00DB55FA"/>
    <w:rsid w:val="00DB574C"/>
    <w:rsid w:val="00DB58A7"/>
    <w:rsid w:val="00DB5990"/>
    <w:rsid w:val="00DB5FC8"/>
    <w:rsid w:val="00DB6112"/>
    <w:rsid w:val="00DB6178"/>
    <w:rsid w:val="00DB62E2"/>
    <w:rsid w:val="00DB62E9"/>
    <w:rsid w:val="00DB6474"/>
    <w:rsid w:val="00DB6773"/>
    <w:rsid w:val="00DB6893"/>
    <w:rsid w:val="00DB6981"/>
    <w:rsid w:val="00DB6A05"/>
    <w:rsid w:val="00DB6A6A"/>
    <w:rsid w:val="00DB6C8D"/>
    <w:rsid w:val="00DB6F6F"/>
    <w:rsid w:val="00DB6FBE"/>
    <w:rsid w:val="00DB7310"/>
    <w:rsid w:val="00DB74E4"/>
    <w:rsid w:val="00DB775A"/>
    <w:rsid w:val="00DB7958"/>
    <w:rsid w:val="00DB7F08"/>
    <w:rsid w:val="00DC02BA"/>
    <w:rsid w:val="00DC047C"/>
    <w:rsid w:val="00DC04C2"/>
    <w:rsid w:val="00DC05D6"/>
    <w:rsid w:val="00DC076D"/>
    <w:rsid w:val="00DC0C2B"/>
    <w:rsid w:val="00DC0DAD"/>
    <w:rsid w:val="00DC0E28"/>
    <w:rsid w:val="00DC0E4F"/>
    <w:rsid w:val="00DC0E8B"/>
    <w:rsid w:val="00DC122F"/>
    <w:rsid w:val="00DC12FE"/>
    <w:rsid w:val="00DC1489"/>
    <w:rsid w:val="00DC1AA1"/>
    <w:rsid w:val="00DC1B7D"/>
    <w:rsid w:val="00DC1DBC"/>
    <w:rsid w:val="00DC2104"/>
    <w:rsid w:val="00DC29B1"/>
    <w:rsid w:val="00DC2BE7"/>
    <w:rsid w:val="00DC2C91"/>
    <w:rsid w:val="00DC2CF3"/>
    <w:rsid w:val="00DC2F14"/>
    <w:rsid w:val="00DC35F4"/>
    <w:rsid w:val="00DC3784"/>
    <w:rsid w:val="00DC3D2B"/>
    <w:rsid w:val="00DC3D60"/>
    <w:rsid w:val="00DC3E15"/>
    <w:rsid w:val="00DC4099"/>
    <w:rsid w:val="00DC4136"/>
    <w:rsid w:val="00DC440C"/>
    <w:rsid w:val="00DC44AC"/>
    <w:rsid w:val="00DC46B0"/>
    <w:rsid w:val="00DC4766"/>
    <w:rsid w:val="00DC49BB"/>
    <w:rsid w:val="00DC4DB8"/>
    <w:rsid w:val="00DC52FC"/>
    <w:rsid w:val="00DC567B"/>
    <w:rsid w:val="00DC5B06"/>
    <w:rsid w:val="00DC5CAD"/>
    <w:rsid w:val="00DC5D46"/>
    <w:rsid w:val="00DC6219"/>
    <w:rsid w:val="00DC624B"/>
    <w:rsid w:val="00DC6252"/>
    <w:rsid w:val="00DC641D"/>
    <w:rsid w:val="00DC6475"/>
    <w:rsid w:val="00DC6507"/>
    <w:rsid w:val="00DC6979"/>
    <w:rsid w:val="00DC6DAA"/>
    <w:rsid w:val="00DC7018"/>
    <w:rsid w:val="00DC7153"/>
    <w:rsid w:val="00DC737E"/>
    <w:rsid w:val="00DC7382"/>
    <w:rsid w:val="00DC73C8"/>
    <w:rsid w:val="00DC7505"/>
    <w:rsid w:val="00DC7526"/>
    <w:rsid w:val="00DC78FD"/>
    <w:rsid w:val="00DC7BC7"/>
    <w:rsid w:val="00DC7C15"/>
    <w:rsid w:val="00DC7CD4"/>
    <w:rsid w:val="00DC7FE9"/>
    <w:rsid w:val="00DD0705"/>
    <w:rsid w:val="00DD0C83"/>
    <w:rsid w:val="00DD0DD8"/>
    <w:rsid w:val="00DD10A0"/>
    <w:rsid w:val="00DD18BB"/>
    <w:rsid w:val="00DD1A52"/>
    <w:rsid w:val="00DD1BFD"/>
    <w:rsid w:val="00DD1EF6"/>
    <w:rsid w:val="00DD229E"/>
    <w:rsid w:val="00DD2340"/>
    <w:rsid w:val="00DD23EE"/>
    <w:rsid w:val="00DD273D"/>
    <w:rsid w:val="00DD2784"/>
    <w:rsid w:val="00DD2F4A"/>
    <w:rsid w:val="00DD332B"/>
    <w:rsid w:val="00DD338A"/>
    <w:rsid w:val="00DD33DD"/>
    <w:rsid w:val="00DD34A0"/>
    <w:rsid w:val="00DD3617"/>
    <w:rsid w:val="00DD374C"/>
    <w:rsid w:val="00DD4096"/>
    <w:rsid w:val="00DD46AD"/>
    <w:rsid w:val="00DD4775"/>
    <w:rsid w:val="00DD4FE2"/>
    <w:rsid w:val="00DD50DA"/>
    <w:rsid w:val="00DD529A"/>
    <w:rsid w:val="00DD531C"/>
    <w:rsid w:val="00DD537C"/>
    <w:rsid w:val="00DD54EB"/>
    <w:rsid w:val="00DD57CA"/>
    <w:rsid w:val="00DD5A7F"/>
    <w:rsid w:val="00DD5C10"/>
    <w:rsid w:val="00DD5F53"/>
    <w:rsid w:val="00DD6142"/>
    <w:rsid w:val="00DD6535"/>
    <w:rsid w:val="00DD6944"/>
    <w:rsid w:val="00DD6A50"/>
    <w:rsid w:val="00DD711F"/>
    <w:rsid w:val="00DD7342"/>
    <w:rsid w:val="00DD7500"/>
    <w:rsid w:val="00DD7802"/>
    <w:rsid w:val="00DD798D"/>
    <w:rsid w:val="00DD7E11"/>
    <w:rsid w:val="00DD7E6A"/>
    <w:rsid w:val="00DE00A1"/>
    <w:rsid w:val="00DE0575"/>
    <w:rsid w:val="00DE0966"/>
    <w:rsid w:val="00DE0B55"/>
    <w:rsid w:val="00DE0C07"/>
    <w:rsid w:val="00DE0EF6"/>
    <w:rsid w:val="00DE1944"/>
    <w:rsid w:val="00DE1959"/>
    <w:rsid w:val="00DE19EB"/>
    <w:rsid w:val="00DE1C14"/>
    <w:rsid w:val="00DE1DC9"/>
    <w:rsid w:val="00DE1EA9"/>
    <w:rsid w:val="00DE1EC2"/>
    <w:rsid w:val="00DE22C8"/>
    <w:rsid w:val="00DE2412"/>
    <w:rsid w:val="00DE24C9"/>
    <w:rsid w:val="00DE2D6C"/>
    <w:rsid w:val="00DE2DEF"/>
    <w:rsid w:val="00DE357B"/>
    <w:rsid w:val="00DE357E"/>
    <w:rsid w:val="00DE384C"/>
    <w:rsid w:val="00DE3D02"/>
    <w:rsid w:val="00DE4630"/>
    <w:rsid w:val="00DE470E"/>
    <w:rsid w:val="00DE4780"/>
    <w:rsid w:val="00DE4CC1"/>
    <w:rsid w:val="00DE4DE4"/>
    <w:rsid w:val="00DE5146"/>
    <w:rsid w:val="00DE5150"/>
    <w:rsid w:val="00DE55B4"/>
    <w:rsid w:val="00DE5F43"/>
    <w:rsid w:val="00DE601A"/>
    <w:rsid w:val="00DE642D"/>
    <w:rsid w:val="00DE6431"/>
    <w:rsid w:val="00DE64A2"/>
    <w:rsid w:val="00DE6534"/>
    <w:rsid w:val="00DE6655"/>
    <w:rsid w:val="00DE6708"/>
    <w:rsid w:val="00DE67A1"/>
    <w:rsid w:val="00DE6972"/>
    <w:rsid w:val="00DE6A61"/>
    <w:rsid w:val="00DE6DF6"/>
    <w:rsid w:val="00DE6E2B"/>
    <w:rsid w:val="00DE6F5C"/>
    <w:rsid w:val="00DE7743"/>
    <w:rsid w:val="00DE7829"/>
    <w:rsid w:val="00DE7EE9"/>
    <w:rsid w:val="00DE7F44"/>
    <w:rsid w:val="00DF005F"/>
    <w:rsid w:val="00DF0204"/>
    <w:rsid w:val="00DF03A3"/>
    <w:rsid w:val="00DF0757"/>
    <w:rsid w:val="00DF0AEC"/>
    <w:rsid w:val="00DF0CE1"/>
    <w:rsid w:val="00DF1318"/>
    <w:rsid w:val="00DF1892"/>
    <w:rsid w:val="00DF1CB8"/>
    <w:rsid w:val="00DF1E5F"/>
    <w:rsid w:val="00DF1EEC"/>
    <w:rsid w:val="00DF20C5"/>
    <w:rsid w:val="00DF20F3"/>
    <w:rsid w:val="00DF22AA"/>
    <w:rsid w:val="00DF2376"/>
    <w:rsid w:val="00DF27EC"/>
    <w:rsid w:val="00DF2823"/>
    <w:rsid w:val="00DF32E7"/>
    <w:rsid w:val="00DF350B"/>
    <w:rsid w:val="00DF3B73"/>
    <w:rsid w:val="00DF3EC4"/>
    <w:rsid w:val="00DF4343"/>
    <w:rsid w:val="00DF47C4"/>
    <w:rsid w:val="00DF4A7C"/>
    <w:rsid w:val="00DF4D58"/>
    <w:rsid w:val="00DF4DFE"/>
    <w:rsid w:val="00DF4FC3"/>
    <w:rsid w:val="00DF5567"/>
    <w:rsid w:val="00DF5622"/>
    <w:rsid w:val="00DF5A5D"/>
    <w:rsid w:val="00DF5CFC"/>
    <w:rsid w:val="00DF6552"/>
    <w:rsid w:val="00DF6AEB"/>
    <w:rsid w:val="00DF70CB"/>
    <w:rsid w:val="00DF75B1"/>
    <w:rsid w:val="00DF78D1"/>
    <w:rsid w:val="00DF7C68"/>
    <w:rsid w:val="00DF7EF4"/>
    <w:rsid w:val="00E00263"/>
    <w:rsid w:val="00E00755"/>
    <w:rsid w:val="00E0077A"/>
    <w:rsid w:val="00E0089B"/>
    <w:rsid w:val="00E00A66"/>
    <w:rsid w:val="00E00B5E"/>
    <w:rsid w:val="00E00BDA"/>
    <w:rsid w:val="00E00BE7"/>
    <w:rsid w:val="00E00DB2"/>
    <w:rsid w:val="00E011D3"/>
    <w:rsid w:val="00E01855"/>
    <w:rsid w:val="00E01949"/>
    <w:rsid w:val="00E01E26"/>
    <w:rsid w:val="00E01F14"/>
    <w:rsid w:val="00E02182"/>
    <w:rsid w:val="00E02485"/>
    <w:rsid w:val="00E02780"/>
    <w:rsid w:val="00E027F0"/>
    <w:rsid w:val="00E02923"/>
    <w:rsid w:val="00E02E2A"/>
    <w:rsid w:val="00E030FB"/>
    <w:rsid w:val="00E0331C"/>
    <w:rsid w:val="00E03420"/>
    <w:rsid w:val="00E039AE"/>
    <w:rsid w:val="00E03B80"/>
    <w:rsid w:val="00E03BAB"/>
    <w:rsid w:val="00E0415D"/>
    <w:rsid w:val="00E042F3"/>
    <w:rsid w:val="00E043A8"/>
    <w:rsid w:val="00E04990"/>
    <w:rsid w:val="00E049E3"/>
    <w:rsid w:val="00E04BD9"/>
    <w:rsid w:val="00E04E2C"/>
    <w:rsid w:val="00E04F3A"/>
    <w:rsid w:val="00E05390"/>
    <w:rsid w:val="00E0560D"/>
    <w:rsid w:val="00E05968"/>
    <w:rsid w:val="00E05B47"/>
    <w:rsid w:val="00E05FD7"/>
    <w:rsid w:val="00E06125"/>
    <w:rsid w:val="00E064F3"/>
    <w:rsid w:val="00E06589"/>
    <w:rsid w:val="00E06AB1"/>
    <w:rsid w:val="00E06D64"/>
    <w:rsid w:val="00E06E66"/>
    <w:rsid w:val="00E072D3"/>
    <w:rsid w:val="00E0774E"/>
    <w:rsid w:val="00E077D2"/>
    <w:rsid w:val="00E07A85"/>
    <w:rsid w:val="00E07F02"/>
    <w:rsid w:val="00E100C2"/>
    <w:rsid w:val="00E10463"/>
    <w:rsid w:val="00E10725"/>
    <w:rsid w:val="00E10A56"/>
    <w:rsid w:val="00E10C3E"/>
    <w:rsid w:val="00E10FE0"/>
    <w:rsid w:val="00E112B7"/>
    <w:rsid w:val="00E11D96"/>
    <w:rsid w:val="00E124C3"/>
    <w:rsid w:val="00E12B03"/>
    <w:rsid w:val="00E12C69"/>
    <w:rsid w:val="00E133C4"/>
    <w:rsid w:val="00E137EF"/>
    <w:rsid w:val="00E13882"/>
    <w:rsid w:val="00E13C3B"/>
    <w:rsid w:val="00E13DA6"/>
    <w:rsid w:val="00E1428D"/>
    <w:rsid w:val="00E14638"/>
    <w:rsid w:val="00E14730"/>
    <w:rsid w:val="00E147A3"/>
    <w:rsid w:val="00E147CE"/>
    <w:rsid w:val="00E14930"/>
    <w:rsid w:val="00E14AE0"/>
    <w:rsid w:val="00E14AED"/>
    <w:rsid w:val="00E14CB1"/>
    <w:rsid w:val="00E14D31"/>
    <w:rsid w:val="00E14DAF"/>
    <w:rsid w:val="00E15075"/>
    <w:rsid w:val="00E15552"/>
    <w:rsid w:val="00E15AC7"/>
    <w:rsid w:val="00E15C62"/>
    <w:rsid w:val="00E15CF9"/>
    <w:rsid w:val="00E16031"/>
    <w:rsid w:val="00E163E2"/>
    <w:rsid w:val="00E16476"/>
    <w:rsid w:val="00E168BF"/>
    <w:rsid w:val="00E168E8"/>
    <w:rsid w:val="00E16B38"/>
    <w:rsid w:val="00E16EB7"/>
    <w:rsid w:val="00E171FE"/>
    <w:rsid w:val="00E17373"/>
    <w:rsid w:val="00E17708"/>
    <w:rsid w:val="00E17821"/>
    <w:rsid w:val="00E20212"/>
    <w:rsid w:val="00E208A7"/>
    <w:rsid w:val="00E20D14"/>
    <w:rsid w:val="00E20D64"/>
    <w:rsid w:val="00E2106C"/>
    <w:rsid w:val="00E212B6"/>
    <w:rsid w:val="00E21460"/>
    <w:rsid w:val="00E21FB0"/>
    <w:rsid w:val="00E221C1"/>
    <w:rsid w:val="00E2233F"/>
    <w:rsid w:val="00E22378"/>
    <w:rsid w:val="00E2299C"/>
    <w:rsid w:val="00E22DB0"/>
    <w:rsid w:val="00E22DDC"/>
    <w:rsid w:val="00E23131"/>
    <w:rsid w:val="00E232FE"/>
    <w:rsid w:val="00E235C0"/>
    <w:rsid w:val="00E236FA"/>
    <w:rsid w:val="00E2370C"/>
    <w:rsid w:val="00E23B02"/>
    <w:rsid w:val="00E23D58"/>
    <w:rsid w:val="00E23DCE"/>
    <w:rsid w:val="00E23DD1"/>
    <w:rsid w:val="00E23FC7"/>
    <w:rsid w:val="00E24108"/>
    <w:rsid w:val="00E24174"/>
    <w:rsid w:val="00E241A1"/>
    <w:rsid w:val="00E24294"/>
    <w:rsid w:val="00E245EF"/>
    <w:rsid w:val="00E2477D"/>
    <w:rsid w:val="00E248CA"/>
    <w:rsid w:val="00E24B2B"/>
    <w:rsid w:val="00E25046"/>
    <w:rsid w:val="00E2517F"/>
    <w:rsid w:val="00E2518B"/>
    <w:rsid w:val="00E254ED"/>
    <w:rsid w:val="00E25715"/>
    <w:rsid w:val="00E25887"/>
    <w:rsid w:val="00E25933"/>
    <w:rsid w:val="00E259F1"/>
    <w:rsid w:val="00E25B2D"/>
    <w:rsid w:val="00E25BED"/>
    <w:rsid w:val="00E25CAB"/>
    <w:rsid w:val="00E25ED4"/>
    <w:rsid w:val="00E2651C"/>
    <w:rsid w:val="00E2663C"/>
    <w:rsid w:val="00E266DE"/>
    <w:rsid w:val="00E26808"/>
    <w:rsid w:val="00E268C5"/>
    <w:rsid w:val="00E26DC7"/>
    <w:rsid w:val="00E26F85"/>
    <w:rsid w:val="00E274EC"/>
    <w:rsid w:val="00E275FB"/>
    <w:rsid w:val="00E278BD"/>
    <w:rsid w:val="00E27C7C"/>
    <w:rsid w:val="00E27E4A"/>
    <w:rsid w:val="00E27E71"/>
    <w:rsid w:val="00E30097"/>
    <w:rsid w:val="00E30342"/>
    <w:rsid w:val="00E3040A"/>
    <w:rsid w:val="00E3053B"/>
    <w:rsid w:val="00E30586"/>
    <w:rsid w:val="00E306BA"/>
    <w:rsid w:val="00E30741"/>
    <w:rsid w:val="00E3079B"/>
    <w:rsid w:val="00E30895"/>
    <w:rsid w:val="00E31066"/>
    <w:rsid w:val="00E310A7"/>
    <w:rsid w:val="00E3114F"/>
    <w:rsid w:val="00E31263"/>
    <w:rsid w:val="00E317F8"/>
    <w:rsid w:val="00E31FA0"/>
    <w:rsid w:val="00E329E2"/>
    <w:rsid w:val="00E32B65"/>
    <w:rsid w:val="00E32B89"/>
    <w:rsid w:val="00E32C09"/>
    <w:rsid w:val="00E336E4"/>
    <w:rsid w:val="00E34394"/>
    <w:rsid w:val="00E3457D"/>
    <w:rsid w:val="00E34675"/>
    <w:rsid w:val="00E3473C"/>
    <w:rsid w:val="00E3508D"/>
    <w:rsid w:val="00E350C1"/>
    <w:rsid w:val="00E35132"/>
    <w:rsid w:val="00E353CF"/>
    <w:rsid w:val="00E35A26"/>
    <w:rsid w:val="00E3638A"/>
    <w:rsid w:val="00E36517"/>
    <w:rsid w:val="00E36963"/>
    <w:rsid w:val="00E36CB8"/>
    <w:rsid w:val="00E36F68"/>
    <w:rsid w:val="00E374D9"/>
    <w:rsid w:val="00E374E4"/>
    <w:rsid w:val="00E37A20"/>
    <w:rsid w:val="00E40BE7"/>
    <w:rsid w:val="00E40CBF"/>
    <w:rsid w:val="00E40D72"/>
    <w:rsid w:val="00E41032"/>
    <w:rsid w:val="00E413F5"/>
    <w:rsid w:val="00E4153E"/>
    <w:rsid w:val="00E41ADA"/>
    <w:rsid w:val="00E41B0D"/>
    <w:rsid w:val="00E42025"/>
    <w:rsid w:val="00E4277D"/>
    <w:rsid w:val="00E42882"/>
    <w:rsid w:val="00E42966"/>
    <w:rsid w:val="00E42A5C"/>
    <w:rsid w:val="00E42E72"/>
    <w:rsid w:val="00E431D2"/>
    <w:rsid w:val="00E4329C"/>
    <w:rsid w:val="00E43336"/>
    <w:rsid w:val="00E43397"/>
    <w:rsid w:val="00E435F1"/>
    <w:rsid w:val="00E43699"/>
    <w:rsid w:val="00E43799"/>
    <w:rsid w:val="00E43905"/>
    <w:rsid w:val="00E43A11"/>
    <w:rsid w:val="00E43C72"/>
    <w:rsid w:val="00E443C6"/>
    <w:rsid w:val="00E44414"/>
    <w:rsid w:val="00E44499"/>
    <w:rsid w:val="00E44657"/>
    <w:rsid w:val="00E448D3"/>
    <w:rsid w:val="00E44E12"/>
    <w:rsid w:val="00E44FEE"/>
    <w:rsid w:val="00E45515"/>
    <w:rsid w:val="00E45A62"/>
    <w:rsid w:val="00E45B56"/>
    <w:rsid w:val="00E45C61"/>
    <w:rsid w:val="00E45D7E"/>
    <w:rsid w:val="00E45FB1"/>
    <w:rsid w:val="00E467E4"/>
    <w:rsid w:val="00E46C3A"/>
    <w:rsid w:val="00E46DB7"/>
    <w:rsid w:val="00E471AC"/>
    <w:rsid w:val="00E471CB"/>
    <w:rsid w:val="00E47454"/>
    <w:rsid w:val="00E47695"/>
    <w:rsid w:val="00E476D2"/>
    <w:rsid w:val="00E47B96"/>
    <w:rsid w:val="00E47C42"/>
    <w:rsid w:val="00E47E28"/>
    <w:rsid w:val="00E47FE9"/>
    <w:rsid w:val="00E50175"/>
    <w:rsid w:val="00E508D6"/>
    <w:rsid w:val="00E50935"/>
    <w:rsid w:val="00E50DD1"/>
    <w:rsid w:val="00E50F97"/>
    <w:rsid w:val="00E511BE"/>
    <w:rsid w:val="00E51274"/>
    <w:rsid w:val="00E5131F"/>
    <w:rsid w:val="00E5159B"/>
    <w:rsid w:val="00E515F1"/>
    <w:rsid w:val="00E516C8"/>
    <w:rsid w:val="00E5193A"/>
    <w:rsid w:val="00E51D39"/>
    <w:rsid w:val="00E523B5"/>
    <w:rsid w:val="00E52761"/>
    <w:rsid w:val="00E527F8"/>
    <w:rsid w:val="00E5292E"/>
    <w:rsid w:val="00E52A1B"/>
    <w:rsid w:val="00E52E42"/>
    <w:rsid w:val="00E53053"/>
    <w:rsid w:val="00E532D5"/>
    <w:rsid w:val="00E533FB"/>
    <w:rsid w:val="00E536F3"/>
    <w:rsid w:val="00E539FE"/>
    <w:rsid w:val="00E53A08"/>
    <w:rsid w:val="00E53BF3"/>
    <w:rsid w:val="00E53DCB"/>
    <w:rsid w:val="00E542E2"/>
    <w:rsid w:val="00E5432F"/>
    <w:rsid w:val="00E54403"/>
    <w:rsid w:val="00E54837"/>
    <w:rsid w:val="00E548BC"/>
    <w:rsid w:val="00E54920"/>
    <w:rsid w:val="00E54F52"/>
    <w:rsid w:val="00E551A0"/>
    <w:rsid w:val="00E551D6"/>
    <w:rsid w:val="00E553DA"/>
    <w:rsid w:val="00E55421"/>
    <w:rsid w:val="00E554A5"/>
    <w:rsid w:val="00E55534"/>
    <w:rsid w:val="00E55731"/>
    <w:rsid w:val="00E55A16"/>
    <w:rsid w:val="00E55A41"/>
    <w:rsid w:val="00E55E1A"/>
    <w:rsid w:val="00E562EC"/>
    <w:rsid w:val="00E56512"/>
    <w:rsid w:val="00E56741"/>
    <w:rsid w:val="00E56771"/>
    <w:rsid w:val="00E56D73"/>
    <w:rsid w:val="00E57267"/>
    <w:rsid w:val="00E601B9"/>
    <w:rsid w:val="00E60551"/>
    <w:rsid w:val="00E6082B"/>
    <w:rsid w:val="00E60A82"/>
    <w:rsid w:val="00E60ACE"/>
    <w:rsid w:val="00E60B1F"/>
    <w:rsid w:val="00E60BDD"/>
    <w:rsid w:val="00E60C4D"/>
    <w:rsid w:val="00E60C53"/>
    <w:rsid w:val="00E60ED4"/>
    <w:rsid w:val="00E61373"/>
    <w:rsid w:val="00E6182E"/>
    <w:rsid w:val="00E6184F"/>
    <w:rsid w:val="00E61C59"/>
    <w:rsid w:val="00E62100"/>
    <w:rsid w:val="00E625C4"/>
    <w:rsid w:val="00E626E8"/>
    <w:rsid w:val="00E626F8"/>
    <w:rsid w:val="00E62710"/>
    <w:rsid w:val="00E6284A"/>
    <w:rsid w:val="00E62D0E"/>
    <w:rsid w:val="00E630F1"/>
    <w:rsid w:val="00E63E2E"/>
    <w:rsid w:val="00E63F7A"/>
    <w:rsid w:val="00E640D7"/>
    <w:rsid w:val="00E64203"/>
    <w:rsid w:val="00E6460C"/>
    <w:rsid w:val="00E64B5C"/>
    <w:rsid w:val="00E64C57"/>
    <w:rsid w:val="00E65146"/>
    <w:rsid w:val="00E6532B"/>
    <w:rsid w:val="00E65355"/>
    <w:rsid w:val="00E65435"/>
    <w:rsid w:val="00E6555C"/>
    <w:rsid w:val="00E65755"/>
    <w:rsid w:val="00E65888"/>
    <w:rsid w:val="00E65986"/>
    <w:rsid w:val="00E65D0D"/>
    <w:rsid w:val="00E65E94"/>
    <w:rsid w:val="00E660B2"/>
    <w:rsid w:val="00E666ED"/>
    <w:rsid w:val="00E66EF0"/>
    <w:rsid w:val="00E670EA"/>
    <w:rsid w:val="00E6710C"/>
    <w:rsid w:val="00E6718D"/>
    <w:rsid w:val="00E67279"/>
    <w:rsid w:val="00E673C9"/>
    <w:rsid w:val="00E676D3"/>
    <w:rsid w:val="00E67939"/>
    <w:rsid w:val="00E67978"/>
    <w:rsid w:val="00E67D15"/>
    <w:rsid w:val="00E67D5B"/>
    <w:rsid w:val="00E701C1"/>
    <w:rsid w:val="00E701D3"/>
    <w:rsid w:val="00E705DB"/>
    <w:rsid w:val="00E7067B"/>
    <w:rsid w:val="00E70B0C"/>
    <w:rsid w:val="00E71898"/>
    <w:rsid w:val="00E71918"/>
    <w:rsid w:val="00E71BD5"/>
    <w:rsid w:val="00E71CF8"/>
    <w:rsid w:val="00E71F37"/>
    <w:rsid w:val="00E723C2"/>
    <w:rsid w:val="00E7241E"/>
    <w:rsid w:val="00E72428"/>
    <w:rsid w:val="00E72619"/>
    <w:rsid w:val="00E726C1"/>
    <w:rsid w:val="00E727A3"/>
    <w:rsid w:val="00E72974"/>
    <w:rsid w:val="00E72AE6"/>
    <w:rsid w:val="00E72C98"/>
    <w:rsid w:val="00E72DAF"/>
    <w:rsid w:val="00E73266"/>
    <w:rsid w:val="00E7353B"/>
    <w:rsid w:val="00E73583"/>
    <w:rsid w:val="00E7375E"/>
    <w:rsid w:val="00E7387E"/>
    <w:rsid w:val="00E7421D"/>
    <w:rsid w:val="00E742F5"/>
    <w:rsid w:val="00E74453"/>
    <w:rsid w:val="00E7446B"/>
    <w:rsid w:val="00E746C4"/>
    <w:rsid w:val="00E74988"/>
    <w:rsid w:val="00E74A57"/>
    <w:rsid w:val="00E74A8F"/>
    <w:rsid w:val="00E74DF4"/>
    <w:rsid w:val="00E75171"/>
    <w:rsid w:val="00E7523F"/>
    <w:rsid w:val="00E753E6"/>
    <w:rsid w:val="00E75444"/>
    <w:rsid w:val="00E756F6"/>
    <w:rsid w:val="00E75BBC"/>
    <w:rsid w:val="00E76094"/>
    <w:rsid w:val="00E765B0"/>
    <w:rsid w:val="00E766AF"/>
    <w:rsid w:val="00E7680F"/>
    <w:rsid w:val="00E7682D"/>
    <w:rsid w:val="00E76D02"/>
    <w:rsid w:val="00E76D2C"/>
    <w:rsid w:val="00E76FFC"/>
    <w:rsid w:val="00E7702A"/>
    <w:rsid w:val="00E771C8"/>
    <w:rsid w:val="00E771EE"/>
    <w:rsid w:val="00E77508"/>
    <w:rsid w:val="00E77637"/>
    <w:rsid w:val="00E776AA"/>
    <w:rsid w:val="00E776F9"/>
    <w:rsid w:val="00E77C64"/>
    <w:rsid w:val="00E77EB6"/>
    <w:rsid w:val="00E77FE6"/>
    <w:rsid w:val="00E80214"/>
    <w:rsid w:val="00E80721"/>
    <w:rsid w:val="00E8093B"/>
    <w:rsid w:val="00E80987"/>
    <w:rsid w:val="00E8103D"/>
    <w:rsid w:val="00E81367"/>
    <w:rsid w:val="00E8144A"/>
    <w:rsid w:val="00E81B9E"/>
    <w:rsid w:val="00E81D61"/>
    <w:rsid w:val="00E8227C"/>
    <w:rsid w:val="00E82702"/>
    <w:rsid w:val="00E8286A"/>
    <w:rsid w:val="00E828D3"/>
    <w:rsid w:val="00E828E2"/>
    <w:rsid w:val="00E82AFD"/>
    <w:rsid w:val="00E82BF7"/>
    <w:rsid w:val="00E82F68"/>
    <w:rsid w:val="00E82FE8"/>
    <w:rsid w:val="00E83241"/>
    <w:rsid w:val="00E83655"/>
    <w:rsid w:val="00E83892"/>
    <w:rsid w:val="00E83C44"/>
    <w:rsid w:val="00E8407B"/>
    <w:rsid w:val="00E840D1"/>
    <w:rsid w:val="00E84321"/>
    <w:rsid w:val="00E8434C"/>
    <w:rsid w:val="00E847C7"/>
    <w:rsid w:val="00E8489A"/>
    <w:rsid w:val="00E84960"/>
    <w:rsid w:val="00E8498E"/>
    <w:rsid w:val="00E84B8C"/>
    <w:rsid w:val="00E84E50"/>
    <w:rsid w:val="00E84F44"/>
    <w:rsid w:val="00E84F6E"/>
    <w:rsid w:val="00E85A52"/>
    <w:rsid w:val="00E85CC7"/>
    <w:rsid w:val="00E85D45"/>
    <w:rsid w:val="00E85D8A"/>
    <w:rsid w:val="00E85E55"/>
    <w:rsid w:val="00E8639D"/>
    <w:rsid w:val="00E86570"/>
    <w:rsid w:val="00E86981"/>
    <w:rsid w:val="00E8706E"/>
    <w:rsid w:val="00E87229"/>
    <w:rsid w:val="00E875C7"/>
    <w:rsid w:val="00E87A59"/>
    <w:rsid w:val="00E87A83"/>
    <w:rsid w:val="00E87AA4"/>
    <w:rsid w:val="00E9007B"/>
    <w:rsid w:val="00E900AE"/>
    <w:rsid w:val="00E903A2"/>
    <w:rsid w:val="00E909DA"/>
    <w:rsid w:val="00E90A75"/>
    <w:rsid w:val="00E90F07"/>
    <w:rsid w:val="00E9112C"/>
    <w:rsid w:val="00E9146F"/>
    <w:rsid w:val="00E915C9"/>
    <w:rsid w:val="00E915F5"/>
    <w:rsid w:val="00E9172B"/>
    <w:rsid w:val="00E91789"/>
    <w:rsid w:val="00E918C4"/>
    <w:rsid w:val="00E91A06"/>
    <w:rsid w:val="00E91D34"/>
    <w:rsid w:val="00E92754"/>
    <w:rsid w:val="00E9288C"/>
    <w:rsid w:val="00E92E87"/>
    <w:rsid w:val="00E92F21"/>
    <w:rsid w:val="00E92FBB"/>
    <w:rsid w:val="00E934CD"/>
    <w:rsid w:val="00E93A0A"/>
    <w:rsid w:val="00E93CA7"/>
    <w:rsid w:val="00E93F61"/>
    <w:rsid w:val="00E94090"/>
    <w:rsid w:val="00E940C1"/>
    <w:rsid w:val="00E940CC"/>
    <w:rsid w:val="00E94283"/>
    <w:rsid w:val="00E9475C"/>
    <w:rsid w:val="00E94D75"/>
    <w:rsid w:val="00E94F21"/>
    <w:rsid w:val="00E9511D"/>
    <w:rsid w:val="00E96604"/>
    <w:rsid w:val="00E96722"/>
    <w:rsid w:val="00E969AC"/>
    <w:rsid w:val="00E96BDD"/>
    <w:rsid w:val="00E96D0D"/>
    <w:rsid w:val="00E96E42"/>
    <w:rsid w:val="00E975AB"/>
    <w:rsid w:val="00E978B9"/>
    <w:rsid w:val="00E97902"/>
    <w:rsid w:val="00E97D94"/>
    <w:rsid w:val="00E97E90"/>
    <w:rsid w:val="00E97EC2"/>
    <w:rsid w:val="00EA024F"/>
    <w:rsid w:val="00EA02B5"/>
    <w:rsid w:val="00EA0350"/>
    <w:rsid w:val="00EA04F7"/>
    <w:rsid w:val="00EA0AC5"/>
    <w:rsid w:val="00EA0FE2"/>
    <w:rsid w:val="00EA113C"/>
    <w:rsid w:val="00EA1222"/>
    <w:rsid w:val="00EA1819"/>
    <w:rsid w:val="00EA1964"/>
    <w:rsid w:val="00EA1997"/>
    <w:rsid w:val="00EA1DA4"/>
    <w:rsid w:val="00EA1EAC"/>
    <w:rsid w:val="00EA228A"/>
    <w:rsid w:val="00EA2302"/>
    <w:rsid w:val="00EA2464"/>
    <w:rsid w:val="00EA2797"/>
    <w:rsid w:val="00EA2830"/>
    <w:rsid w:val="00EA29F5"/>
    <w:rsid w:val="00EA2A6E"/>
    <w:rsid w:val="00EA2AD3"/>
    <w:rsid w:val="00EA2F85"/>
    <w:rsid w:val="00EA3570"/>
    <w:rsid w:val="00EA392F"/>
    <w:rsid w:val="00EA399F"/>
    <w:rsid w:val="00EA3B59"/>
    <w:rsid w:val="00EA3FE3"/>
    <w:rsid w:val="00EA44F5"/>
    <w:rsid w:val="00EA4A44"/>
    <w:rsid w:val="00EA4C59"/>
    <w:rsid w:val="00EA4DD2"/>
    <w:rsid w:val="00EA4ECA"/>
    <w:rsid w:val="00EA5115"/>
    <w:rsid w:val="00EA5189"/>
    <w:rsid w:val="00EA5288"/>
    <w:rsid w:val="00EA52C9"/>
    <w:rsid w:val="00EA54FF"/>
    <w:rsid w:val="00EA5501"/>
    <w:rsid w:val="00EA5571"/>
    <w:rsid w:val="00EA5735"/>
    <w:rsid w:val="00EA577E"/>
    <w:rsid w:val="00EA58DD"/>
    <w:rsid w:val="00EA59BD"/>
    <w:rsid w:val="00EA59E6"/>
    <w:rsid w:val="00EA5D1D"/>
    <w:rsid w:val="00EA5D7D"/>
    <w:rsid w:val="00EA6051"/>
    <w:rsid w:val="00EA687D"/>
    <w:rsid w:val="00EA6954"/>
    <w:rsid w:val="00EA6A60"/>
    <w:rsid w:val="00EA6A99"/>
    <w:rsid w:val="00EA6C99"/>
    <w:rsid w:val="00EA6F5F"/>
    <w:rsid w:val="00EA711E"/>
    <w:rsid w:val="00EA7887"/>
    <w:rsid w:val="00EA7E73"/>
    <w:rsid w:val="00EA7FDF"/>
    <w:rsid w:val="00EB00A1"/>
    <w:rsid w:val="00EB0614"/>
    <w:rsid w:val="00EB06C4"/>
    <w:rsid w:val="00EB0CD0"/>
    <w:rsid w:val="00EB1662"/>
    <w:rsid w:val="00EB1761"/>
    <w:rsid w:val="00EB1C33"/>
    <w:rsid w:val="00EB2174"/>
    <w:rsid w:val="00EB25FA"/>
    <w:rsid w:val="00EB2D6E"/>
    <w:rsid w:val="00EB30DC"/>
    <w:rsid w:val="00EB34B4"/>
    <w:rsid w:val="00EB3554"/>
    <w:rsid w:val="00EB35AE"/>
    <w:rsid w:val="00EB37BA"/>
    <w:rsid w:val="00EB37CC"/>
    <w:rsid w:val="00EB37F2"/>
    <w:rsid w:val="00EB3831"/>
    <w:rsid w:val="00EB3950"/>
    <w:rsid w:val="00EB39A9"/>
    <w:rsid w:val="00EB3BFE"/>
    <w:rsid w:val="00EB3E56"/>
    <w:rsid w:val="00EB46E8"/>
    <w:rsid w:val="00EB473A"/>
    <w:rsid w:val="00EB48E2"/>
    <w:rsid w:val="00EB567A"/>
    <w:rsid w:val="00EB57B3"/>
    <w:rsid w:val="00EB5944"/>
    <w:rsid w:val="00EB5956"/>
    <w:rsid w:val="00EB59FE"/>
    <w:rsid w:val="00EB5E3D"/>
    <w:rsid w:val="00EB630A"/>
    <w:rsid w:val="00EB635E"/>
    <w:rsid w:val="00EB6656"/>
    <w:rsid w:val="00EB67B2"/>
    <w:rsid w:val="00EB691F"/>
    <w:rsid w:val="00EB6B42"/>
    <w:rsid w:val="00EB6DC2"/>
    <w:rsid w:val="00EB6DE8"/>
    <w:rsid w:val="00EB6F1D"/>
    <w:rsid w:val="00EB6F71"/>
    <w:rsid w:val="00EB6FE0"/>
    <w:rsid w:val="00EB7119"/>
    <w:rsid w:val="00EB7833"/>
    <w:rsid w:val="00EB7E75"/>
    <w:rsid w:val="00EC02E5"/>
    <w:rsid w:val="00EC08C5"/>
    <w:rsid w:val="00EC0925"/>
    <w:rsid w:val="00EC0B4A"/>
    <w:rsid w:val="00EC0BA3"/>
    <w:rsid w:val="00EC0C59"/>
    <w:rsid w:val="00EC0CFF"/>
    <w:rsid w:val="00EC0D10"/>
    <w:rsid w:val="00EC0D7E"/>
    <w:rsid w:val="00EC0DF7"/>
    <w:rsid w:val="00EC1799"/>
    <w:rsid w:val="00EC1C43"/>
    <w:rsid w:val="00EC1D90"/>
    <w:rsid w:val="00EC2076"/>
    <w:rsid w:val="00EC2140"/>
    <w:rsid w:val="00EC21E6"/>
    <w:rsid w:val="00EC23AB"/>
    <w:rsid w:val="00EC276C"/>
    <w:rsid w:val="00EC2811"/>
    <w:rsid w:val="00EC2A46"/>
    <w:rsid w:val="00EC2AA3"/>
    <w:rsid w:val="00EC2E18"/>
    <w:rsid w:val="00EC30F5"/>
    <w:rsid w:val="00EC3339"/>
    <w:rsid w:val="00EC35CB"/>
    <w:rsid w:val="00EC36AF"/>
    <w:rsid w:val="00EC3736"/>
    <w:rsid w:val="00EC3D38"/>
    <w:rsid w:val="00EC3DE0"/>
    <w:rsid w:val="00EC42D1"/>
    <w:rsid w:val="00EC43AA"/>
    <w:rsid w:val="00EC488E"/>
    <w:rsid w:val="00EC4BF6"/>
    <w:rsid w:val="00EC4C33"/>
    <w:rsid w:val="00EC4D0A"/>
    <w:rsid w:val="00EC4E58"/>
    <w:rsid w:val="00EC53F0"/>
    <w:rsid w:val="00EC5531"/>
    <w:rsid w:val="00EC553A"/>
    <w:rsid w:val="00EC55B1"/>
    <w:rsid w:val="00EC581B"/>
    <w:rsid w:val="00EC5AAE"/>
    <w:rsid w:val="00EC5C4E"/>
    <w:rsid w:val="00EC5CAE"/>
    <w:rsid w:val="00EC65CA"/>
    <w:rsid w:val="00EC6A91"/>
    <w:rsid w:val="00EC6C68"/>
    <w:rsid w:val="00EC6F50"/>
    <w:rsid w:val="00EC6F66"/>
    <w:rsid w:val="00EC6F86"/>
    <w:rsid w:val="00EC71D8"/>
    <w:rsid w:val="00EC7401"/>
    <w:rsid w:val="00EC7820"/>
    <w:rsid w:val="00EC7907"/>
    <w:rsid w:val="00EC79B3"/>
    <w:rsid w:val="00EC79BD"/>
    <w:rsid w:val="00EC79C7"/>
    <w:rsid w:val="00EC7B95"/>
    <w:rsid w:val="00EC7E21"/>
    <w:rsid w:val="00ED0143"/>
    <w:rsid w:val="00ED02B6"/>
    <w:rsid w:val="00ED0308"/>
    <w:rsid w:val="00ED0982"/>
    <w:rsid w:val="00ED0C94"/>
    <w:rsid w:val="00ED0F18"/>
    <w:rsid w:val="00ED103B"/>
    <w:rsid w:val="00ED122A"/>
    <w:rsid w:val="00ED1360"/>
    <w:rsid w:val="00ED1613"/>
    <w:rsid w:val="00ED163F"/>
    <w:rsid w:val="00ED16B5"/>
    <w:rsid w:val="00ED1B68"/>
    <w:rsid w:val="00ED1B92"/>
    <w:rsid w:val="00ED1D3C"/>
    <w:rsid w:val="00ED2256"/>
    <w:rsid w:val="00ED250F"/>
    <w:rsid w:val="00ED2535"/>
    <w:rsid w:val="00ED2824"/>
    <w:rsid w:val="00ED287C"/>
    <w:rsid w:val="00ED28A1"/>
    <w:rsid w:val="00ED2DEF"/>
    <w:rsid w:val="00ED2E91"/>
    <w:rsid w:val="00ED2F82"/>
    <w:rsid w:val="00ED327E"/>
    <w:rsid w:val="00ED393D"/>
    <w:rsid w:val="00ED39E8"/>
    <w:rsid w:val="00ED3AE3"/>
    <w:rsid w:val="00ED3CAE"/>
    <w:rsid w:val="00ED3CC2"/>
    <w:rsid w:val="00ED3EB1"/>
    <w:rsid w:val="00ED3EBF"/>
    <w:rsid w:val="00ED43FC"/>
    <w:rsid w:val="00ED4617"/>
    <w:rsid w:val="00ED49BD"/>
    <w:rsid w:val="00ED4C4E"/>
    <w:rsid w:val="00ED4F68"/>
    <w:rsid w:val="00ED5CFA"/>
    <w:rsid w:val="00ED5D50"/>
    <w:rsid w:val="00ED5F1A"/>
    <w:rsid w:val="00ED5FE3"/>
    <w:rsid w:val="00ED60B4"/>
    <w:rsid w:val="00ED61DF"/>
    <w:rsid w:val="00ED65BC"/>
    <w:rsid w:val="00ED667F"/>
    <w:rsid w:val="00ED6691"/>
    <w:rsid w:val="00ED670A"/>
    <w:rsid w:val="00ED6D58"/>
    <w:rsid w:val="00ED746C"/>
    <w:rsid w:val="00ED75B3"/>
    <w:rsid w:val="00ED7B77"/>
    <w:rsid w:val="00ED7B8A"/>
    <w:rsid w:val="00ED7CFF"/>
    <w:rsid w:val="00ED7F43"/>
    <w:rsid w:val="00ED7FD6"/>
    <w:rsid w:val="00EE0309"/>
    <w:rsid w:val="00EE044C"/>
    <w:rsid w:val="00EE054A"/>
    <w:rsid w:val="00EE067E"/>
    <w:rsid w:val="00EE0876"/>
    <w:rsid w:val="00EE0AF5"/>
    <w:rsid w:val="00EE0B29"/>
    <w:rsid w:val="00EE0C1D"/>
    <w:rsid w:val="00EE0E26"/>
    <w:rsid w:val="00EE1137"/>
    <w:rsid w:val="00EE11D0"/>
    <w:rsid w:val="00EE126A"/>
    <w:rsid w:val="00EE1A22"/>
    <w:rsid w:val="00EE1CE4"/>
    <w:rsid w:val="00EE1E00"/>
    <w:rsid w:val="00EE2208"/>
    <w:rsid w:val="00EE2355"/>
    <w:rsid w:val="00EE262E"/>
    <w:rsid w:val="00EE263A"/>
    <w:rsid w:val="00EE281B"/>
    <w:rsid w:val="00EE2851"/>
    <w:rsid w:val="00EE2BD7"/>
    <w:rsid w:val="00EE2E27"/>
    <w:rsid w:val="00EE2EE0"/>
    <w:rsid w:val="00EE2F36"/>
    <w:rsid w:val="00EE2F59"/>
    <w:rsid w:val="00EE301E"/>
    <w:rsid w:val="00EE31C7"/>
    <w:rsid w:val="00EE37C4"/>
    <w:rsid w:val="00EE38F0"/>
    <w:rsid w:val="00EE393B"/>
    <w:rsid w:val="00EE3BF9"/>
    <w:rsid w:val="00EE3D83"/>
    <w:rsid w:val="00EE4004"/>
    <w:rsid w:val="00EE41CE"/>
    <w:rsid w:val="00EE46BB"/>
    <w:rsid w:val="00EE4CAD"/>
    <w:rsid w:val="00EE4EDB"/>
    <w:rsid w:val="00EE4F9F"/>
    <w:rsid w:val="00EE4FFC"/>
    <w:rsid w:val="00EE508C"/>
    <w:rsid w:val="00EE50BE"/>
    <w:rsid w:val="00EE5256"/>
    <w:rsid w:val="00EE532B"/>
    <w:rsid w:val="00EE56EC"/>
    <w:rsid w:val="00EE5702"/>
    <w:rsid w:val="00EE594E"/>
    <w:rsid w:val="00EE5D38"/>
    <w:rsid w:val="00EE655A"/>
    <w:rsid w:val="00EE670C"/>
    <w:rsid w:val="00EE6714"/>
    <w:rsid w:val="00EE6739"/>
    <w:rsid w:val="00EE6C6F"/>
    <w:rsid w:val="00EE7021"/>
    <w:rsid w:val="00EE725F"/>
    <w:rsid w:val="00EE729A"/>
    <w:rsid w:val="00EE7357"/>
    <w:rsid w:val="00EE747C"/>
    <w:rsid w:val="00EE7600"/>
    <w:rsid w:val="00EE77F1"/>
    <w:rsid w:val="00EE78F6"/>
    <w:rsid w:val="00EE7BC1"/>
    <w:rsid w:val="00EE7EF1"/>
    <w:rsid w:val="00EF0546"/>
    <w:rsid w:val="00EF082F"/>
    <w:rsid w:val="00EF0C18"/>
    <w:rsid w:val="00EF0C36"/>
    <w:rsid w:val="00EF0C4F"/>
    <w:rsid w:val="00EF0F2E"/>
    <w:rsid w:val="00EF10AD"/>
    <w:rsid w:val="00EF1168"/>
    <w:rsid w:val="00EF11EC"/>
    <w:rsid w:val="00EF122B"/>
    <w:rsid w:val="00EF1538"/>
    <w:rsid w:val="00EF2149"/>
    <w:rsid w:val="00EF2195"/>
    <w:rsid w:val="00EF23DA"/>
    <w:rsid w:val="00EF250A"/>
    <w:rsid w:val="00EF26C6"/>
    <w:rsid w:val="00EF2730"/>
    <w:rsid w:val="00EF275D"/>
    <w:rsid w:val="00EF2896"/>
    <w:rsid w:val="00EF3160"/>
    <w:rsid w:val="00EF35C8"/>
    <w:rsid w:val="00EF37D1"/>
    <w:rsid w:val="00EF39F0"/>
    <w:rsid w:val="00EF3AAB"/>
    <w:rsid w:val="00EF3C91"/>
    <w:rsid w:val="00EF3DD7"/>
    <w:rsid w:val="00EF3E40"/>
    <w:rsid w:val="00EF3F6F"/>
    <w:rsid w:val="00EF4058"/>
    <w:rsid w:val="00EF40D8"/>
    <w:rsid w:val="00EF423F"/>
    <w:rsid w:val="00EF4583"/>
    <w:rsid w:val="00EF4656"/>
    <w:rsid w:val="00EF4694"/>
    <w:rsid w:val="00EF46DD"/>
    <w:rsid w:val="00EF4836"/>
    <w:rsid w:val="00EF4965"/>
    <w:rsid w:val="00EF4C73"/>
    <w:rsid w:val="00EF4C9B"/>
    <w:rsid w:val="00EF4D57"/>
    <w:rsid w:val="00EF4E3E"/>
    <w:rsid w:val="00EF4E46"/>
    <w:rsid w:val="00EF4F45"/>
    <w:rsid w:val="00EF4F6B"/>
    <w:rsid w:val="00EF540A"/>
    <w:rsid w:val="00EF5770"/>
    <w:rsid w:val="00EF5DA2"/>
    <w:rsid w:val="00EF5FE4"/>
    <w:rsid w:val="00EF69B1"/>
    <w:rsid w:val="00EF6B27"/>
    <w:rsid w:val="00EF70CA"/>
    <w:rsid w:val="00EF716F"/>
    <w:rsid w:val="00EF727E"/>
    <w:rsid w:val="00EF74CF"/>
    <w:rsid w:val="00EF7564"/>
    <w:rsid w:val="00EF77EE"/>
    <w:rsid w:val="00EF7ACE"/>
    <w:rsid w:val="00EF7DC3"/>
    <w:rsid w:val="00EF7E45"/>
    <w:rsid w:val="00F0016E"/>
    <w:rsid w:val="00F0080A"/>
    <w:rsid w:val="00F0099D"/>
    <w:rsid w:val="00F00C3F"/>
    <w:rsid w:val="00F010CB"/>
    <w:rsid w:val="00F017D1"/>
    <w:rsid w:val="00F017F0"/>
    <w:rsid w:val="00F0197F"/>
    <w:rsid w:val="00F01BD8"/>
    <w:rsid w:val="00F01E39"/>
    <w:rsid w:val="00F01EFE"/>
    <w:rsid w:val="00F02230"/>
    <w:rsid w:val="00F0269C"/>
    <w:rsid w:val="00F026EF"/>
    <w:rsid w:val="00F02AB2"/>
    <w:rsid w:val="00F02C65"/>
    <w:rsid w:val="00F02DF3"/>
    <w:rsid w:val="00F02F26"/>
    <w:rsid w:val="00F02F61"/>
    <w:rsid w:val="00F030F2"/>
    <w:rsid w:val="00F032E4"/>
    <w:rsid w:val="00F033B1"/>
    <w:rsid w:val="00F03785"/>
    <w:rsid w:val="00F03919"/>
    <w:rsid w:val="00F03952"/>
    <w:rsid w:val="00F03976"/>
    <w:rsid w:val="00F03AD0"/>
    <w:rsid w:val="00F03B0C"/>
    <w:rsid w:val="00F03B2B"/>
    <w:rsid w:val="00F03CE4"/>
    <w:rsid w:val="00F03EBB"/>
    <w:rsid w:val="00F03EE1"/>
    <w:rsid w:val="00F0421A"/>
    <w:rsid w:val="00F043E5"/>
    <w:rsid w:val="00F04479"/>
    <w:rsid w:val="00F044E3"/>
    <w:rsid w:val="00F047BB"/>
    <w:rsid w:val="00F04921"/>
    <w:rsid w:val="00F04C36"/>
    <w:rsid w:val="00F04FC2"/>
    <w:rsid w:val="00F05035"/>
    <w:rsid w:val="00F05314"/>
    <w:rsid w:val="00F054FC"/>
    <w:rsid w:val="00F055DA"/>
    <w:rsid w:val="00F05680"/>
    <w:rsid w:val="00F058AD"/>
    <w:rsid w:val="00F05928"/>
    <w:rsid w:val="00F05E5C"/>
    <w:rsid w:val="00F06176"/>
    <w:rsid w:val="00F061AD"/>
    <w:rsid w:val="00F0629E"/>
    <w:rsid w:val="00F063C5"/>
    <w:rsid w:val="00F0655E"/>
    <w:rsid w:val="00F06679"/>
    <w:rsid w:val="00F06847"/>
    <w:rsid w:val="00F06A70"/>
    <w:rsid w:val="00F06AAA"/>
    <w:rsid w:val="00F06AE7"/>
    <w:rsid w:val="00F06DA4"/>
    <w:rsid w:val="00F06F8E"/>
    <w:rsid w:val="00F06FB5"/>
    <w:rsid w:val="00F0718D"/>
    <w:rsid w:val="00F0720E"/>
    <w:rsid w:val="00F0723B"/>
    <w:rsid w:val="00F07379"/>
    <w:rsid w:val="00F07524"/>
    <w:rsid w:val="00F07D3B"/>
    <w:rsid w:val="00F07ECD"/>
    <w:rsid w:val="00F07F24"/>
    <w:rsid w:val="00F07FF3"/>
    <w:rsid w:val="00F100CA"/>
    <w:rsid w:val="00F10469"/>
    <w:rsid w:val="00F111EC"/>
    <w:rsid w:val="00F114E7"/>
    <w:rsid w:val="00F11A09"/>
    <w:rsid w:val="00F11BBB"/>
    <w:rsid w:val="00F1210C"/>
    <w:rsid w:val="00F1227D"/>
    <w:rsid w:val="00F126DA"/>
    <w:rsid w:val="00F12B83"/>
    <w:rsid w:val="00F12DED"/>
    <w:rsid w:val="00F132B4"/>
    <w:rsid w:val="00F141D0"/>
    <w:rsid w:val="00F14804"/>
    <w:rsid w:val="00F14B22"/>
    <w:rsid w:val="00F14C20"/>
    <w:rsid w:val="00F1503A"/>
    <w:rsid w:val="00F156BE"/>
    <w:rsid w:val="00F1575C"/>
    <w:rsid w:val="00F15A96"/>
    <w:rsid w:val="00F15DA3"/>
    <w:rsid w:val="00F15FB0"/>
    <w:rsid w:val="00F1604D"/>
    <w:rsid w:val="00F16156"/>
    <w:rsid w:val="00F16199"/>
    <w:rsid w:val="00F16254"/>
    <w:rsid w:val="00F16612"/>
    <w:rsid w:val="00F16738"/>
    <w:rsid w:val="00F16E24"/>
    <w:rsid w:val="00F17471"/>
    <w:rsid w:val="00F175AE"/>
    <w:rsid w:val="00F1769A"/>
    <w:rsid w:val="00F17858"/>
    <w:rsid w:val="00F17863"/>
    <w:rsid w:val="00F1794B"/>
    <w:rsid w:val="00F17A02"/>
    <w:rsid w:val="00F17AFE"/>
    <w:rsid w:val="00F17D49"/>
    <w:rsid w:val="00F17E62"/>
    <w:rsid w:val="00F200ED"/>
    <w:rsid w:val="00F20173"/>
    <w:rsid w:val="00F20402"/>
    <w:rsid w:val="00F2075F"/>
    <w:rsid w:val="00F2082B"/>
    <w:rsid w:val="00F20A13"/>
    <w:rsid w:val="00F215E7"/>
    <w:rsid w:val="00F21977"/>
    <w:rsid w:val="00F21BBF"/>
    <w:rsid w:val="00F2229C"/>
    <w:rsid w:val="00F22574"/>
    <w:rsid w:val="00F22622"/>
    <w:rsid w:val="00F22BA9"/>
    <w:rsid w:val="00F23014"/>
    <w:rsid w:val="00F23375"/>
    <w:rsid w:val="00F233C2"/>
    <w:rsid w:val="00F2364E"/>
    <w:rsid w:val="00F23774"/>
    <w:rsid w:val="00F2379F"/>
    <w:rsid w:val="00F23B9D"/>
    <w:rsid w:val="00F23BFF"/>
    <w:rsid w:val="00F23CE1"/>
    <w:rsid w:val="00F23E15"/>
    <w:rsid w:val="00F23F15"/>
    <w:rsid w:val="00F24091"/>
    <w:rsid w:val="00F24201"/>
    <w:rsid w:val="00F24215"/>
    <w:rsid w:val="00F2440C"/>
    <w:rsid w:val="00F2442B"/>
    <w:rsid w:val="00F24945"/>
    <w:rsid w:val="00F24AF3"/>
    <w:rsid w:val="00F2536A"/>
    <w:rsid w:val="00F2537F"/>
    <w:rsid w:val="00F2542C"/>
    <w:rsid w:val="00F25437"/>
    <w:rsid w:val="00F256EC"/>
    <w:rsid w:val="00F2589C"/>
    <w:rsid w:val="00F25A0D"/>
    <w:rsid w:val="00F25BF0"/>
    <w:rsid w:val="00F25D38"/>
    <w:rsid w:val="00F26061"/>
    <w:rsid w:val="00F2613E"/>
    <w:rsid w:val="00F2652F"/>
    <w:rsid w:val="00F26D63"/>
    <w:rsid w:val="00F26DCE"/>
    <w:rsid w:val="00F26F93"/>
    <w:rsid w:val="00F27118"/>
    <w:rsid w:val="00F27441"/>
    <w:rsid w:val="00F274D8"/>
    <w:rsid w:val="00F277AE"/>
    <w:rsid w:val="00F279E1"/>
    <w:rsid w:val="00F27C92"/>
    <w:rsid w:val="00F301E3"/>
    <w:rsid w:val="00F30AF7"/>
    <w:rsid w:val="00F30B3F"/>
    <w:rsid w:val="00F30BA6"/>
    <w:rsid w:val="00F30FAE"/>
    <w:rsid w:val="00F31349"/>
    <w:rsid w:val="00F3181F"/>
    <w:rsid w:val="00F319BF"/>
    <w:rsid w:val="00F31BCC"/>
    <w:rsid w:val="00F31E26"/>
    <w:rsid w:val="00F31F40"/>
    <w:rsid w:val="00F31FC4"/>
    <w:rsid w:val="00F32252"/>
    <w:rsid w:val="00F3237C"/>
    <w:rsid w:val="00F32424"/>
    <w:rsid w:val="00F32502"/>
    <w:rsid w:val="00F3252E"/>
    <w:rsid w:val="00F325A2"/>
    <w:rsid w:val="00F32603"/>
    <w:rsid w:val="00F326C1"/>
    <w:rsid w:val="00F326C4"/>
    <w:rsid w:val="00F3274A"/>
    <w:rsid w:val="00F32AD1"/>
    <w:rsid w:val="00F32CEA"/>
    <w:rsid w:val="00F32E44"/>
    <w:rsid w:val="00F32F8E"/>
    <w:rsid w:val="00F33098"/>
    <w:rsid w:val="00F331D8"/>
    <w:rsid w:val="00F338C7"/>
    <w:rsid w:val="00F3391C"/>
    <w:rsid w:val="00F33BB8"/>
    <w:rsid w:val="00F33BFE"/>
    <w:rsid w:val="00F33D91"/>
    <w:rsid w:val="00F33E9E"/>
    <w:rsid w:val="00F34601"/>
    <w:rsid w:val="00F34750"/>
    <w:rsid w:val="00F34A50"/>
    <w:rsid w:val="00F34C54"/>
    <w:rsid w:val="00F34EE5"/>
    <w:rsid w:val="00F35047"/>
    <w:rsid w:val="00F3504E"/>
    <w:rsid w:val="00F35150"/>
    <w:rsid w:val="00F35152"/>
    <w:rsid w:val="00F354E5"/>
    <w:rsid w:val="00F3564C"/>
    <w:rsid w:val="00F35CC6"/>
    <w:rsid w:val="00F35EE7"/>
    <w:rsid w:val="00F36061"/>
    <w:rsid w:val="00F36229"/>
    <w:rsid w:val="00F362D8"/>
    <w:rsid w:val="00F366BF"/>
    <w:rsid w:val="00F36B16"/>
    <w:rsid w:val="00F36F4F"/>
    <w:rsid w:val="00F370E4"/>
    <w:rsid w:val="00F37241"/>
    <w:rsid w:val="00F37253"/>
    <w:rsid w:val="00F3757E"/>
    <w:rsid w:val="00F375A2"/>
    <w:rsid w:val="00F375F2"/>
    <w:rsid w:val="00F376C6"/>
    <w:rsid w:val="00F376C8"/>
    <w:rsid w:val="00F3796E"/>
    <w:rsid w:val="00F37B56"/>
    <w:rsid w:val="00F37C47"/>
    <w:rsid w:val="00F37FA9"/>
    <w:rsid w:val="00F4004D"/>
    <w:rsid w:val="00F405FA"/>
    <w:rsid w:val="00F406EB"/>
    <w:rsid w:val="00F4087C"/>
    <w:rsid w:val="00F4097A"/>
    <w:rsid w:val="00F40DCD"/>
    <w:rsid w:val="00F412E0"/>
    <w:rsid w:val="00F414B4"/>
    <w:rsid w:val="00F41629"/>
    <w:rsid w:val="00F41A82"/>
    <w:rsid w:val="00F41BB3"/>
    <w:rsid w:val="00F41C2E"/>
    <w:rsid w:val="00F41FBC"/>
    <w:rsid w:val="00F420BF"/>
    <w:rsid w:val="00F423DA"/>
    <w:rsid w:val="00F42613"/>
    <w:rsid w:val="00F426BC"/>
    <w:rsid w:val="00F4271D"/>
    <w:rsid w:val="00F42C23"/>
    <w:rsid w:val="00F42CB1"/>
    <w:rsid w:val="00F43848"/>
    <w:rsid w:val="00F43AD8"/>
    <w:rsid w:val="00F43D3D"/>
    <w:rsid w:val="00F43D48"/>
    <w:rsid w:val="00F43FCD"/>
    <w:rsid w:val="00F440B6"/>
    <w:rsid w:val="00F442B0"/>
    <w:rsid w:val="00F443FA"/>
    <w:rsid w:val="00F44687"/>
    <w:rsid w:val="00F44817"/>
    <w:rsid w:val="00F44901"/>
    <w:rsid w:val="00F44932"/>
    <w:rsid w:val="00F44FD9"/>
    <w:rsid w:val="00F45014"/>
    <w:rsid w:val="00F4518C"/>
    <w:rsid w:val="00F458BB"/>
    <w:rsid w:val="00F45983"/>
    <w:rsid w:val="00F45A8B"/>
    <w:rsid w:val="00F45CA0"/>
    <w:rsid w:val="00F45D10"/>
    <w:rsid w:val="00F45E5C"/>
    <w:rsid w:val="00F4601B"/>
    <w:rsid w:val="00F4628C"/>
    <w:rsid w:val="00F464AD"/>
    <w:rsid w:val="00F4691E"/>
    <w:rsid w:val="00F46A0E"/>
    <w:rsid w:val="00F46F40"/>
    <w:rsid w:val="00F4782B"/>
    <w:rsid w:val="00F478CF"/>
    <w:rsid w:val="00F4792D"/>
    <w:rsid w:val="00F47990"/>
    <w:rsid w:val="00F479F1"/>
    <w:rsid w:val="00F47ADB"/>
    <w:rsid w:val="00F47BAC"/>
    <w:rsid w:val="00F47FAD"/>
    <w:rsid w:val="00F500D0"/>
    <w:rsid w:val="00F503CB"/>
    <w:rsid w:val="00F504B9"/>
    <w:rsid w:val="00F512F2"/>
    <w:rsid w:val="00F51486"/>
    <w:rsid w:val="00F51584"/>
    <w:rsid w:val="00F51A0D"/>
    <w:rsid w:val="00F51B29"/>
    <w:rsid w:val="00F51E26"/>
    <w:rsid w:val="00F51FFA"/>
    <w:rsid w:val="00F523A9"/>
    <w:rsid w:val="00F52716"/>
    <w:rsid w:val="00F527A3"/>
    <w:rsid w:val="00F529FC"/>
    <w:rsid w:val="00F52A98"/>
    <w:rsid w:val="00F52C38"/>
    <w:rsid w:val="00F52F2F"/>
    <w:rsid w:val="00F534E1"/>
    <w:rsid w:val="00F53587"/>
    <w:rsid w:val="00F538F5"/>
    <w:rsid w:val="00F53B29"/>
    <w:rsid w:val="00F54288"/>
    <w:rsid w:val="00F5435B"/>
    <w:rsid w:val="00F5545D"/>
    <w:rsid w:val="00F5564B"/>
    <w:rsid w:val="00F557BB"/>
    <w:rsid w:val="00F56036"/>
    <w:rsid w:val="00F56127"/>
    <w:rsid w:val="00F56329"/>
    <w:rsid w:val="00F5634E"/>
    <w:rsid w:val="00F564F0"/>
    <w:rsid w:val="00F56502"/>
    <w:rsid w:val="00F568D8"/>
    <w:rsid w:val="00F56D26"/>
    <w:rsid w:val="00F56D57"/>
    <w:rsid w:val="00F56EC7"/>
    <w:rsid w:val="00F572B0"/>
    <w:rsid w:val="00F5755C"/>
    <w:rsid w:val="00F5758B"/>
    <w:rsid w:val="00F577F7"/>
    <w:rsid w:val="00F57888"/>
    <w:rsid w:val="00F578EF"/>
    <w:rsid w:val="00F579A3"/>
    <w:rsid w:val="00F57D6E"/>
    <w:rsid w:val="00F600EE"/>
    <w:rsid w:val="00F6070B"/>
    <w:rsid w:val="00F60956"/>
    <w:rsid w:val="00F60D6A"/>
    <w:rsid w:val="00F60FF9"/>
    <w:rsid w:val="00F61532"/>
    <w:rsid w:val="00F6156A"/>
    <w:rsid w:val="00F617C9"/>
    <w:rsid w:val="00F61978"/>
    <w:rsid w:val="00F61B05"/>
    <w:rsid w:val="00F6228A"/>
    <w:rsid w:val="00F622E0"/>
    <w:rsid w:val="00F623B6"/>
    <w:rsid w:val="00F627F7"/>
    <w:rsid w:val="00F62DCF"/>
    <w:rsid w:val="00F63114"/>
    <w:rsid w:val="00F63B47"/>
    <w:rsid w:val="00F641CB"/>
    <w:rsid w:val="00F643DB"/>
    <w:rsid w:val="00F64745"/>
    <w:rsid w:val="00F64871"/>
    <w:rsid w:val="00F64C8D"/>
    <w:rsid w:val="00F6501B"/>
    <w:rsid w:val="00F6503C"/>
    <w:rsid w:val="00F65232"/>
    <w:rsid w:val="00F65A6C"/>
    <w:rsid w:val="00F65E15"/>
    <w:rsid w:val="00F66050"/>
    <w:rsid w:val="00F66264"/>
    <w:rsid w:val="00F662ED"/>
    <w:rsid w:val="00F66462"/>
    <w:rsid w:val="00F66839"/>
    <w:rsid w:val="00F668BD"/>
    <w:rsid w:val="00F66B34"/>
    <w:rsid w:val="00F66C3A"/>
    <w:rsid w:val="00F66F6C"/>
    <w:rsid w:val="00F66FAC"/>
    <w:rsid w:val="00F67090"/>
    <w:rsid w:val="00F67223"/>
    <w:rsid w:val="00F67523"/>
    <w:rsid w:val="00F67713"/>
    <w:rsid w:val="00F677EA"/>
    <w:rsid w:val="00F679D7"/>
    <w:rsid w:val="00F67AA8"/>
    <w:rsid w:val="00F67CE7"/>
    <w:rsid w:val="00F67D26"/>
    <w:rsid w:val="00F67EFA"/>
    <w:rsid w:val="00F67FDA"/>
    <w:rsid w:val="00F7046A"/>
    <w:rsid w:val="00F706AB"/>
    <w:rsid w:val="00F707DF"/>
    <w:rsid w:val="00F70AE8"/>
    <w:rsid w:val="00F70F23"/>
    <w:rsid w:val="00F713B3"/>
    <w:rsid w:val="00F71622"/>
    <w:rsid w:val="00F719C2"/>
    <w:rsid w:val="00F71B86"/>
    <w:rsid w:val="00F71D20"/>
    <w:rsid w:val="00F71FC4"/>
    <w:rsid w:val="00F7201F"/>
    <w:rsid w:val="00F7214F"/>
    <w:rsid w:val="00F72256"/>
    <w:rsid w:val="00F722D6"/>
    <w:rsid w:val="00F724F9"/>
    <w:rsid w:val="00F728B0"/>
    <w:rsid w:val="00F72B53"/>
    <w:rsid w:val="00F72B8D"/>
    <w:rsid w:val="00F72DA5"/>
    <w:rsid w:val="00F72FD2"/>
    <w:rsid w:val="00F73324"/>
    <w:rsid w:val="00F735BF"/>
    <w:rsid w:val="00F7399D"/>
    <w:rsid w:val="00F739C2"/>
    <w:rsid w:val="00F742F3"/>
    <w:rsid w:val="00F7437F"/>
    <w:rsid w:val="00F744C0"/>
    <w:rsid w:val="00F744D5"/>
    <w:rsid w:val="00F74AFA"/>
    <w:rsid w:val="00F74C17"/>
    <w:rsid w:val="00F74E23"/>
    <w:rsid w:val="00F758D1"/>
    <w:rsid w:val="00F759BD"/>
    <w:rsid w:val="00F75A8F"/>
    <w:rsid w:val="00F75BC7"/>
    <w:rsid w:val="00F75DAF"/>
    <w:rsid w:val="00F76164"/>
    <w:rsid w:val="00F7647C"/>
    <w:rsid w:val="00F76639"/>
    <w:rsid w:val="00F76701"/>
    <w:rsid w:val="00F76748"/>
    <w:rsid w:val="00F767DF"/>
    <w:rsid w:val="00F76805"/>
    <w:rsid w:val="00F76C55"/>
    <w:rsid w:val="00F76D10"/>
    <w:rsid w:val="00F770F3"/>
    <w:rsid w:val="00F77191"/>
    <w:rsid w:val="00F77294"/>
    <w:rsid w:val="00F7749D"/>
    <w:rsid w:val="00F779CA"/>
    <w:rsid w:val="00F77ADF"/>
    <w:rsid w:val="00F77CFC"/>
    <w:rsid w:val="00F77FA1"/>
    <w:rsid w:val="00F80219"/>
    <w:rsid w:val="00F804EB"/>
    <w:rsid w:val="00F8057F"/>
    <w:rsid w:val="00F80688"/>
    <w:rsid w:val="00F81004"/>
    <w:rsid w:val="00F8126E"/>
    <w:rsid w:val="00F81533"/>
    <w:rsid w:val="00F817D6"/>
    <w:rsid w:val="00F818BC"/>
    <w:rsid w:val="00F81D1E"/>
    <w:rsid w:val="00F81EEC"/>
    <w:rsid w:val="00F8208A"/>
    <w:rsid w:val="00F82467"/>
    <w:rsid w:val="00F827EB"/>
    <w:rsid w:val="00F82CD7"/>
    <w:rsid w:val="00F82CF0"/>
    <w:rsid w:val="00F82F3D"/>
    <w:rsid w:val="00F8334C"/>
    <w:rsid w:val="00F83CC0"/>
    <w:rsid w:val="00F83DFD"/>
    <w:rsid w:val="00F83E86"/>
    <w:rsid w:val="00F83F95"/>
    <w:rsid w:val="00F842AB"/>
    <w:rsid w:val="00F84499"/>
    <w:rsid w:val="00F845F5"/>
    <w:rsid w:val="00F84EED"/>
    <w:rsid w:val="00F8509D"/>
    <w:rsid w:val="00F853F6"/>
    <w:rsid w:val="00F85648"/>
    <w:rsid w:val="00F85848"/>
    <w:rsid w:val="00F85AB9"/>
    <w:rsid w:val="00F86227"/>
    <w:rsid w:val="00F8628B"/>
    <w:rsid w:val="00F86686"/>
    <w:rsid w:val="00F8676D"/>
    <w:rsid w:val="00F86815"/>
    <w:rsid w:val="00F86853"/>
    <w:rsid w:val="00F871EC"/>
    <w:rsid w:val="00F8767C"/>
    <w:rsid w:val="00F879D5"/>
    <w:rsid w:val="00F87AF7"/>
    <w:rsid w:val="00F87E25"/>
    <w:rsid w:val="00F87F8F"/>
    <w:rsid w:val="00F91234"/>
    <w:rsid w:val="00F91431"/>
    <w:rsid w:val="00F91D65"/>
    <w:rsid w:val="00F921C2"/>
    <w:rsid w:val="00F92B82"/>
    <w:rsid w:val="00F92C64"/>
    <w:rsid w:val="00F92DDF"/>
    <w:rsid w:val="00F92EB7"/>
    <w:rsid w:val="00F93015"/>
    <w:rsid w:val="00F934CC"/>
    <w:rsid w:val="00F93A9B"/>
    <w:rsid w:val="00F93B51"/>
    <w:rsid w:val="00F93FAE"/>
    <w:rsid w:val="00F941FD"/>
    <w:rsid w:val="00F9429A"/>
    <w:rsid w:val="00F9431C"/>
    <w:rsid w:val="00F94529"/>
    <w:rsid w:val="00F94ECB"/>
    <w:rsid w:val="00F94FF6"/>
    <w:rsid w:val="00F95241"/>
    <w:rsid w:val="00F953FA"/>
    <w:rsid w:val="00F954CE"/>
    <w:rsid w:val="00F95765"/>
    <w:rsid w:val="00F95CF2"/>
    <w:rsid w:val="00F960A9"/>
    <w:rsid w:val="00F96249"/>
    <w:rsid w:val="00F9626B"/>
    <w:rsid w:val="00F964A2"/>
    <w:rsid w:val="00F968E0"/>
    <w:rsid w:val="00F96B22"/>
    <w:rsid w:val="00F96B4D"/>
    <w:rsid w:val="00F97329"/>
    <w:rsid w:val="00F975BD"/>
    <w:rsid w:val="00F976DE"/>
    <w:rsid w:val="00F9776B"/>
    <w:rsid w:val="00F977AA"/>
    <w:rsid w:val="00F97A87"/>
    <w:rsid w:val="00FA0A61"/>
    <w:rsid w:val="00FA0E31"/>
    <w:rsid w:val="00FA0F27"/>
    <w:rsid w:val="00FA0F55"/>
    <w:rsid w:val="00FA19AC"/>
    <w:rsid w:val="00FA1F68"/>
    <w:rsid w:val="00FA1FC9"/>
    <w:rsid w:val="00FA22C4"/>
    <w:rsid w:val="00FA2429"/>
    <w:rsid w:val="00FA246C"/>
    <w:rsid w:val="00FA248F"/>
    <w:rsid w:val="00FA26FC"/>
    <w:rsid w:val="00FA2994"/>
    <w:rsid w:val="00FA29A2"/>
    <w:rsid w:val="00FA2A9B"/>
    <w:rsid w:val="00FA2B85"/>
    <w:rsid w:val="00FA2BE1"/>
    <w:rsid w:val="00FA2C01"/>
    <w:rsid w:val="00FA2DC2"/>
    <w:rsid w:val="00FA32FD"/>
    <w:rsid w:val="00FA33B5"/>
    <w:rsid w:val="00FA359A"/>
    <w:rsid w:val="00FA37DB"/>
    <w:rsid w:val="00FA3876"/>
    <w:rsid w:val="00FA3CC9"/>
    <w:rsid w:val="00FA4378"/>
    <w:rsid w:val="00FA43ED"/>
    <w:rsid w:val="00FA457C"/>
    <w:rsid w:val="00FA52E7"/>
    <w:rsid w:val="00FA54B8"/>
    <w:rsid w:val="00FA57F6"/>
    <w:rsid w:val="00FA5878"/>
    <w:rsid w:val="00FA58F5"/>
    <w:rsid w:val="00FA61C8"/>
    <w:rsid w:val="00FA61F0"/>
    <w:rsid w:val="00FA62A8"/>
    <w:rsid w:val="00FA62C5"/>
    <w:rsid w:val="00FA682F"/>
    <w:rsid w:val="00FA6987"/>
    <w:rsid w:val="00FA6B80"/>
    <w:rsid w:val="00FA6C5D"/>
    <w:rsid w:val="00FA6D86"/>
    <w:rsid w:val="00FA72CD"/>
    <w:rsid w:val="00FA76A9"/>
    <w:rsid w:val="00FA76BB"/>
    <w:rsid w:val="00FA7808"/>
    <w:rsid w:val="00FA789A"/>
    <w:rsid w:val="00FA796B"/>
    <w:rsid w:val="00FA7AC7"/>
    <w:rsid w:val="00FA7B29"/>
    <w:rsid w:val="00FA7DF4"/>
    <w:rsid w:val="00FB0051"/>
    <w:rsid w:val="00FB0A30"/>
    <w:rsid w:val="00FB0B38"/>
    <w:rsid w:val="00FB0B8D"/>
    <w:rsid w:val="00FB0D49"/>
    <w:rsid w:val="00FB0F64"/>
    <w:rsid w:val="00FB0FA2"/>
    <w:rsid w:val="00FB1024"/>
    <w:rsid w:val="00FB10C0"/>
    <w:rsid w:val="00FB1151"/>
    <w:rsid w:val="00FB1195"/>
    <w:rsid w:val="00FB144E"/>
    <w:rsid w:val="00FB157D"/>
    <w:rsid w:val="00FB1630"/>
    <w:rsid w:val="00FB1656"/>
    <w:rsid w:val="00FB1945"/>
    <w:rsid w:val="00FB1BED"/>
    <w:rsid w:val="00FB1DA6"/>
    <w:rsid w:val="00FB1E27"/>
    <w:rsid w:val="00FB2198"/>
    <w:rsid w:val="00FB22D9"/>
    <w:rsid w:val="00FB237B"/>
    <w:rsid w:val="00FB277A"/>
    <w:rsid w:val="00FB281C"/>
    <w:rsid w:val="00FB2968"/>
    <w:rsid w:val="00FB2A9C"/>
    <w:rsid w:val="00FB2B35"/>
    <w:rsid w:val="00FB2B68"/>
    <w:rsid w:val="00FB2DD6"/>
    <w:rsid w:val="00FB2E6F"/>
    <w:rsid w:val="00FB3124"/>
    <w:rsid w:val="00FB3169"/>
    <w:rsid w:val="00FB32BC"/>
    <w:rsid w:val="00FB33B8"/>
    <w:rsid w:val="00FB35CA"/>
    <w:rsid w:val="00FB3833"/>
    <w:rsid w:val="00FB3E9C"/>
    <w:rsid w:val="00FB3FDF"/>
    <w:rsid w:val="00FB3FE9"/>
    <w:rsid w:val="00FB401D"/>
    <w:rsid w:val="00FB4311"/>
    <w:rsid w:val="00FB45D6"/>
    <w:rsid w:val="00FB45EF"/>
    <w:rsid w:val="00FB484B"/>
    <w:rsid w:val="00FB4BA2"/>
    <w:rsid w:val="00FB4BB1"/>
    <w:rsid w:val="00FB5422"/>
    <w:rsid w:val="00FB5691"/>
    <w:rsid w:val="00FB5794"/>
    <w:rsid w:val="00FB5BF5"/>
    <w:rsid w:val="00FB5F4D"/>
    <w:rsid w:val="00FB6054"/>
    <w:rsid w:val="00FB60D8"/>
    <w:rsid w:val="00FB62AB"/>
    <w:rsid w:val="00FB6373"/>
    <w:rsid w:val="00FB63A2"/>
    <w:rsid w:val="00FB63AB"/>
    <w:rsid w:val="00FB6640"/>
    <w:rsid w:val="00FB67A2"/>
    <w:rsid w:val="00FB6DCA"/>
    <w:rsid w:val="00FB6FC2"/>
    <w:rsid w:val="00FB707B"/>
    <w:rsid w:val="00FB7307"/>
    <w:rsid w:val="00FB7320"/>
    <w:rsid w:val="00FB73FE"/>
    <w:rsid w:val="00FB75E6"/>
    <w:rsid w:val="00FB7747"/>
    <w:rsid w:val="00FB7E70"/>
    <w:rsid w:val="00FB7EBF"/>
    <w:rsid w:val="00FB7F73"/>
    <w:rsid w:val="00FC00B6"/>
    <w:rsid w:val="00FC01A1"/>
    <w:rsid w:val="00FC01EB"/>
    <w:rsid w:val="00FC03F3"/>
    <w:rsid w:val="00FC075B"/>
    <w:rsid w:val="00FC0982"/>
    <w:rsid w:val="00FC0CEF"/>
    <w:rsid w:val="00FC0DD7"/>
    <w:rsid w:val="00FC1165"/>
    <w:rsid w:val="00FC1328"/>
    <w:rsid w:val="00FC1861"/>
    <w:rsid w:val="00FC1965"/>
    <w:rsid w:val="00FC1A07"/>
    <w:rsid w:val="00FC1A7A"/>
    <w:rsid w:val="00FC1CE8"/>
    <w:rsid w:val="00FC1F00"/>
    <w:rsid w:val="00FC2016"/>
    <w:rsid w:val="00FC2119"/>
    <w:rsid w:val="00FC2268"/>
    <w:rsid w:val="00FC2401"/>
    <w:rsid w:val="00FC2AF7"/>
    <w:rsid w:val="00FC2EC8"/>
    <w:rsid w:val="00FC3204"/>
    <w:rsid w:val="00FC3448"/>
    <w:rsid w:val="00FC37DB"/>
    <w:rsid w:val="00FC3912"/>
    <w:rsid w:val="00FC394D"/>
    <w:rsid w:val="00FC3BAA"/>
    <w:rsid w:val="00FC47C2"/>
    <w:rsid w:val="00FC484C"/>
    <w:rsid w:val="00FC4853"/>
    <w:rsid w:val="00FC50F3"/>
    <w:rsid w:val="00FC5310"/>
    <w:rsid w:val="00FC53B2"/>
    <w:rsid w:val="00FC5518"/>
    <w:rsid w:val="00FC5755"/>
    <w:rsid w:val="00FC5920"/>
    <w:rsid w:val="00FC5AAE"/>
    <w:rsid w:val="00FC6149"/>
    <w:rsid w:val="00FC627D"/>
    <w:rsid w:val="00FC6418"/>
    <w:rsid w:val="00FC6B34"/>
    <w:rsid w:val="00FC6C1F"/>
    <w:rsid w:val="00FC72A0"/>
    <w:rsid w:val="00FC7BFF"/>
    <w:rsid w:val="00FC7D1D"/>
    <w:rsid w:val="00FD0574"/>
    <w:rsid w:val="00FD074E"/>
    <w:rsid w:val="00FD07A8"/>
    <w:rsid w:val="00FD08F0"/>
    <w:rsid w:val="00FD09BE"/>
    <w:rsid w:val="00FD0FAB"/>
    <w:rsid w:val="00FD1025"/>
    <w:rsid w:val="00FD1096"/>
    <w:rsid w:val="00FD1852"/>
    <w:rsid w:val="00FD194D"/>
    <w:rsid w:val="00FD1B21"/>
    <w:rsid w:val="00FD1F9F"/>
    <w:rsid w:val="00FD244E"/>
    <w:rsid w:val="00FD2574"/>
    <w:rsid w:val="00FD2AF2"/>
    <w:rsid w:val="00FD2BBF"/>
    <w:rsid w:val="00FD2DA1"/>
    <w:rsid w:val="00FD2EBC"/>
    <w:rsid w:val="00FD2EC3"/>
    <w:rsid w:val="00FD2ED6"/>
    <w:rsid w:val="00FD3217"/>
    <w:rsid w:val="00FD32EF"/>
    <w:rsid w:val="00FD3499"/>
    <w:rsid w:val="00FD39EB"/>
    <w:rsid w:val="00FD3A2E"/>
    <w:rsid w:val="00FD41A0"/>
    <w:rsid w:val="00FD427E"/>
    <w:rsid w:val="00FD4374"/>
    <w:rsid w:val="00FD4377"/>
    <w:rsid w:val="00FD483B"/>
    <w:rsid w:val="00FD4930"/>
    <w:rsid w:val="00FD4AB9"/>
    <w:rsid w:val="00FD4ABF"/>
    <w:rsid w:val="00FD4AC7"/>
    <w:rsid w:val="00FD4AEA"/>
    <w:rsid w:val="00FD504F"/>
    <w:rsid w:val="00FD5101"/>
    <w:rsid w:val="00FD51DF"/>
    <w:rsid w:val="00FD567C"/>
    <w:rsid w:val="00FD59ED"/>
    <w:rsid w:val="00FD5C66"/>
    <w:rsid w:val="00FD6025"/>
    <w:rsid w:val="00FD60F9"/>
    <w:rsid w:val="00FD61DE"/>
    <w:rsid w:val="00FD628A"/>
    <w:rsid w:val="00FD644E"/>
    <w:rsid w:val="00FD65F9"/>
    <w:rsid w:val="00FD6604"/>
    <w:rsid w:val="00FD671E"/>
    <w:rsid w:val="00FD6805"/>
    <w:rsid w:val="00FD7288"/>
    <w:rsid w:val="00FD74AD"/>
    <w:rsid w:val="00FD74C8"/>
    <w:rsid w:val="00FD75A2"/>
    <w:rsid w:val="00FD77FB"/>
    <w:rsid w:val="00FD7D47"/>
    <w:rsid w:val="00FD7D4D"/>
    <w:rsid w:val="00FD7DBE"/>
    <w:rsid w:val="00FD7DF8"/>
    <w:rsid w:val="00FE04C6"/>
    <w:rsid w:val="00FE095E"/>
    <w:rsid w:val="00FE0978"/>
    <w:rsid w:val="00FE0A71"/>
    <w:rsid w:val="00FE0DDC"/>
    <w:rsid w:val="00FE0ECC"/>
    <w:rsid w:val="00FE1477"/>
    <w:rsid w:val="00FE14DE"/>
    <w:rsid w:val="00FE1539"/>
    <w:rsid w:val="00FE1601"/>
    <w:rsid w:val="00FE1D56"/>
    <w:rsid w:val="00FE1DC7"/>
    <w:rsid w:val="00FE1F09"/>
    <w:rsid w:val="00FE1FA8"/>
    <w:rsid w:val="00FE2179"/>
    <w:rsid w:val="00FE221A"/>
    <w:rsid w:val="00FE2324"/>
    <w:rsid w:val="00FE26D0"/>
    <w:rsid w:val="00FE29B5"/>
    <w:rsid w:val="00FE29BD"/>
    <w:rsid w:val="00FE3002"/>
    <w:rsid w:val="00FE3018"/>
    <w:rsid w:val="00FE35EC"/>
    <w:rsid w:val="00FE38BC"/>
    <w:rsid w:val="00FE3AC0"/>
    <w:rsid w:val="00FE3B9D"/>
    <w:rsid w:val="00FE3D91"/>
    <w:rsid w:val="00FE4101"/>
    <w:rsid w:val="00FE456A"/>
    <w:rsid w:val="00FE4DE6"/>
    <w:rsid w:val="00FE5DE6"/>
    <w:rsid w:val="00FE61DD"/>
    <w:rsid w:val="00FE6209"/>
    <w:rsid w:val="00FE6A26"/>
    <w:rsid w:val="00FE718E"/>
    <w:rsid w:val="00FE734F"/>
    <w:rsid w:val="00FE7411"/>
    <w:rsid w:val="00FE7A73"/>
    <w:rsid w:val="00FE7FD5"/>
    <w:rsid w:val="00FF03C0"/>
    <w:rsid w:val="00FF076D"/>
    <w:rsid w:val="00FF0924"/>
    <w:rsid w:val="00FF0AE9"/>
    <w:rsid w:val="00FF0B4E"/>
    <w:rsid w:val="00FF0CDA"/>
    <w:rsid w:val="00FF13B5"/>
    <w:rsid w:val="00FF15A8"/>
    <w:rsid w:val="00FF1773"/>
    <w:rsid w:val="00FF1874"/>
    <w:rsid w:val="00FF18F0"/>
    <w:rsid w:val="00FF2077"/>
    <w:rsid w:val="00FF2087"/>
    <w:rsid w:val="00FF20FE"/>
    <w:rsid w:val="00FF2162"/>
    <w:rsid w:val="00FF21B4"/>
    <w:rsid w:val="00FF28A5"/>
    <w:rsid w:val="00FF2E0E"/>
    <w:rsid w:val="00FF3031"/>
    <w:rsid w:val="00FF3067"/>
    <w:rsid w:val="00FF3200"/>
    <w:rsid w:val="00FF3926"/>
    <w:rsid w:val="00FF3950"/>
    <w:rsid w:val="00FF3B3E"/>
    <w:rsid w:val="00FF3C2C"/>
    <w:rsid w:val="00FF4004"/>
    <w:rsid w:val="00FF4330"/>
    <w:rsid w:val="00FF4480"/>
    <w:rsid w:val="00FF49E5"/>
    <w:rsid w:val="00FF4B43"/>
    <w:rsid w:val="00FF4CCE"/>
    <w:rsid w:val="00FF4D60"/>
    <w:rsid w:val="00FF5590"/>
    <w:rsid w:val="00FF57EB"/>
    <w:rsid w:val="00FF5A7B"/>
    <w:rsid w:val="00FF5A92"/>
    <w:rsid w:val="00FF5AA0"/>
    <w:rsid w:val="00FF5E6F"/>
    <w:rsid w:val="00FF5E8E"/>
    <w:rsid w:val="00FF5F70"/>
    <w:rsid w:val="00FF5F94"/>
    <w:rsid w:val="00FF61B0"/>
    <w:rsid w:val="00FF642D"/>
    <w:rsid w:val="00FF67FD"/>
    <w:rsid w:val="00FF6882"/>
    <w:rsid w:val="00FF693A"/>
    <w:rsid w:val="00FF6B9C"/>
    <w:rsid w:val="00FF7314"/>
    <w:rsid w:val="00FF74E6"/>
    <w:rsid w:val="00FF770A"/>
    <w:rsid w:val="00FF776B"/>
    <w:rsid w:val="00FF7951"/>
    <w:rsid w:val="00FF7C8D"/>
    <w:rsid w:val="00FF7D9C"/>
    <w:rsid w:val="00FF7F15"/>
    <w:rsid w:val="01017684"/>
    <w:rsid w:val="0103164E"/>
    <w:rsid w:val="01057174"/>
    <w:rsid w:val="010B0D3C"/>
    <w:rsid w:val="010E0070"/>
    <w:rsid w:val="010F3B4F"/>
    <w:rsid w:val="01112375"/>
    <w:rsid w:val="01145609"/>
    <w:rsid w:val="011C59CD"/>
    <w:rsid w:val="01213882"/>
    <w:rsid w:val="01214875"/>
    <w:rsid w:val="01232ED2"/>
    <w:rsid w:val="01252D5C"/>
    <w:rsid w:val="01267FD5"/>
    <w:rsid w:val="012832B8"/>
    <w:rsid w:val="012A6BDB"/>
    <w:rsid w:val="013008AD"/>
    <w:rsid w:val="013017CD"/>
    <w:rsid w:val="01396E1E"/>
    <w:rsid w:val="013B2B96"/>
    <w:rsid w:val="013E7CFB"/>
    <w:rsid w:val="01401F5A"/>
    <w:rsid w:val="014052B9"/>
    <w:rsid w:val="01410F36"/>
    <w:rsid w:val="014236A3"/>
    <w:rsid w:val="01431A4A"/>
    <w:rsid w:val="01465965"/>
    <w:rsid w:val="014D28C9"/>
    <w:rsid w:val="014E4DDB"/>
    <w:rsid w:val="014F03EF"/>
    <w:rsid w:val="014F4893"/>
    <w:rsid w:val="015123B9"/>
    <w:rsid w:val="0156352C"/>
    <w:rsid w:val="015B3238"/>
    <w:rsid w:val="015D1723"/>
    <w:rsid w:val="016320EC"/>
    <w:rsid w:val="01635C49"/>
    <w:rsid w:val="01655E65"/>
    <w:rsid w:val="01657C13"/>
    <w:rsid w:val="016C71F3"/>
    <w:rsid w:val="01730582"/>
    <w:rsid w:val="01741314"/>
    <w:rsid w:val="0176597C"/>
    <w:rsid w:val="01776FF6"/>
    <w:rsid w:val="017B11E4"/>
    <w:rsid w:val="017D7CB0"/>
    <w:rsid w:val="017E34AF"/>
    <w:rsid w:val="01821B74"/>
    <w:rsid w:val="0187402D"/>
    <w:rsid w:val="018C16E0"/>
    <w:rsid w:val="018C5CB8"/>
    <w:rsid w:val="0191207F"/>
    <w:rsid w:val="019443AD"/>
    <w:rsid w:val="0194674A"/>
    <w:rsid w:val="01981D96"/>
    <w:rsid w:val="01983A4D"/>
    <w:rsid w:val="01990CED"/>
    <w:rsid w:val="019D73AC"/>
    <w:rsid w:val="01A060B2"/>
    <w:rsid w:val="01A324E9"/>
    <w:rsid w:val="01A73D87"/>
    <w:rsid w:val="01AF70E0"/>
    <w:rsid w:val="01B36BD0"/>
    <w:rsid w:val="01B446F6"/>
    <w:rsid w:val="01BD4B62"/>
    <w:rsid w:val="01C13BF5"/>
    <w:rsid w:val="01C40DDD"/>
    <w:rsid w:val="01C42B8B"/>
    <w:rsid w:val="01C6253C"/>
    <w:rsid w:val="01CF1FD5"/>
    <w:rsid w:val="01D134FA"/>
    <w:rsid w:val="01D17056"/>
    <w:rsid w:val="01D37272"/>
    <w:rsid w:val="01D84888"/>
    <w:rsid w:val="01DB1C83"/>
    <w:rsid w:val="01DD3C4D"/>
    <w:rsid w:val="01DE1773"/>
    <w:rsid w:val="01EA636A"/>
    <w:rsid w:val="01EC5C3E"/>
    <w:rsid w:val="01F1594A"/>
    <w:rsid w:val="01F26837"/>
    <w:rsid w:val="01F340A4"/>
    <w:rsid w:val="01F42D45"/>
    <w:rsid w:val="01FE3B56"/>
    <w:rsid w:val="02077A8A"/>
    <w:rsid w:val="02105DD0"/>
    <w:rsid w:val="02160F0D"/>
    <w:rsid w:val="0218540A"/>
    <w:rsid w:val="021D229B"/>
    <w:rsid w:val="021F2BA0"/>
    <w:rsid w:val="02214A54"/>
    <w:rsid w:val="02217FDE"/>
    <w:rsid w:val="022278B2"/>
    <w:rsid w:val="0224187C"/>
    <w:rsid w:val="02281ABC"/>
    <w:rsid w:val="02296E92"/>
    <w:rsid w:val="023074CD"/>
    <w:rsid w:val="02363E42"/>
    <w:rsid w:val="023B6BC5"/>
    <w:rsid w:val="023C183D"/>
    <w:rsid w:val="02467A44"/>
    <w:rsid w:val="024B6E08"/>
    <w:rsid w:val="024C6E43"/>
    <w:rsid w:val="024E4B4B"/>
    <w:rsid w:val="02502671"/>
    <w:rsid w:val="025308EF"/>
    <w:rsid w:val="025B2DC4"/>
    <w:rsid w:val="025C2D92"/>
    <w:rsid w:val="026305F6"/>
    <w:rsid w:val="02641114"/>
    <w:rsid w:val="02673B42"/>
    <w:rsid w:val="0267770C"/>
    <w:rsid w:val="02691984"/>
    <w:rsid w:val="026B74AB"/>
    <w:rsid w:val="02783976"/>
    <w:rsid w:val="02785724"/>
    <w:rsid w:val="02791A99"/>
    <w:rsid w:val="027A666A"/>
    <w:rsid w:val="027C2443"/>
    <w:rsid w:val="027D4D3A"/>
    <w:rsid w:val="027E3900"/>
    <w:rsid w:val="027F2F56"/>
    <w:rsid w:val="027F3841"/>
    <w:rsid w:val="02833A50"/>
    <w:rsid w:val="02870597"/>
    <w:rsid w:val="02897931"/>
    <w:rsid w:val="028D3C09"/>
    <w:rsid w:val="028E62B3"/>
    <w:rsid w:val="02913461"/>
    <w:rsid w:val="029758EC"/>
    <w:rsid w:val="02977666"/>
    <w:rsid w:val="02A227A1"/>
    <w:rsid w:val="02A22CA5"/>
    <w:rsid w:val="02A255CF"/>
    <w:rsid w:val="02A64209"/>
    <w:rsid w:val="02A66735"/>
    <w:rsid w:val="02A7179C"/>
    <w:rsid w:val="02A94E41"/>
    <w:rsid w:val="02AE4DE9"/>
    <w:rsid w:val="02AE55E9"/>
    <w:rsid w:val="02B04C08"/>
    <w:rsid w:val="02B67349"/>
    <w:rsid w:val="02B7449E"/>
    <w:rsid w:val="02B75328"/>
    <w:rsid w:val="02B92BE4"/>
    <w:rsid w:val="02BC3862"/>
    <w:rsid w:val="02BC7D06"/>
    <w:rsid w:val="02C24BF1"/>
    <w:rsid w:val="02C31095"/>
    <w:rsid w:val="02C332B8"/>
    <w:rsid w:val="02CA42A2"/>
    <w:rsid w:val="02D54924"/>
    <w:rsid w:val="02D76F1E"/>
    <w:rsid w:val="02D908B8"/>
    <w:rsid w:val="02DB465B"/>
    <w:rsid w:val="02DF7A58"/>
    <w:rsid w:val="02E03A2A"/>
    <w:rsid w:val="02E77B01"/>
    <w:rsid w:val="02E903CF"/>
    <w:rsid w:val="02EB0FE1"/>
    <w:rsid w:val="02ED1C6E"/>
    <w:rsid w:val="02ED7EC0"/>
    <w:rsid w:val="02EE3ED1"/>
    <w:rsid w:val="02F034E1"/>
    <w:rsid w:val="02F56D74"/>
    <w:rsid w:val="02F57297"/>
    <w:rsid w:val="02F67A3E"/>
    <w:rsid w:val="02F738CD"/>
    <w:rsid w:val="02F76F90"/>
    <w:rsid w:val="02F83A9F"/>
    <w:rsid w:val="02FA438B"/>
    <w:rsid w:val="02FA5B72"/>
    <w:rsid w:val="0301396B"/>
    <w:rsid w:val="03014274"/>
    <w:rsid w:val="03082F4B"/>
    <w:rsid w:val="030877DA"/>
    <w:rsid w:val="03092820"/>
    <w:rsid w:val="030F42DA"/>
    <w:rsid w:val="03100052"/>
    <w:rsid w:val="03135438"/>
    <w:rsid w:val="0314369E"/>
    <w:rsid w:val="031B2C7F"/>
    <w:rsid w:val="031C2553"/>
    <w:rsid w:val="031C444F"/>
    <w:rsid w:val="03206C0A"/>
    <w:rsid w:val="0321400D"/>
    <w:rsid w:val="0324288B"/>
    <w:rsid w:val="032B2229"/>
    <w:rsid w:val="032D29B2"/>
    <w:rsid w:val="032F4898"/>
    <w:rsid w:val="032F672A"/>
    <w:rsid w:val="03332F3B"/>
    <w:rsid w:val="0333345C"/>
    <w:rsid w:val="0336004C"/>
    <w:rsid w:val="033668E6"/>
    <w:rsid w:val="033A0C2B"/>
    <w:rsid w:val="03404493"/>
    <w:rsid w:val="034474CB"/>
    <w:rsid w:val="03495B7D"/>
    <w:rsid w:val="034A3564"/>
    <w:rsid w:val="034B7361"/>
    <w:rsid w:val="034D095E"/>
    <w:rsid w:val="03525F75"/>
    <w:rsid w:val="03532265"/>
    <w:rsid w:val="03563CB7"/>
    <w:rsid w:val="035C024E"/>
    <w:rsid w:val="035D6C94"/>
    <w:rsid w:val="035E47F0"/>
    <w:rsid w:val="036208AE"/>
    <w:rsid w:val="036364A8"/>
    <w:rsid w:val="03645763"/>
    <w:rsid w:val="036567CA"/>
    <w:rsid w:val="03685798"/>
    <w:rsid w:val="036B5288"/>
    <w:rsid w:val="036D1000"/>
    <w:rsid w:val="036F3E2C"/>
    <w:rsid w:val="036F4D79"/>
    <w:rsid w:val="03712EB6"/>
    <w:rsid w:val="0373482C"/>
    <w:rsid w:val="0374238F"/>
    <w:rsid w:val="03765FBB"/>
    <w:rsid w:val="037C5EF5"/>
    <w:rsid w:val="037F25B3"/>
    <w:rsid w:val="03862F00"/>
    <w:rsid w:val="03883137"/>
    <w:rsid w:val="03885E3A"/>
    <w:rsid w:val="038A3960"/>
    <w:rsid w:val="038C592B"/>
    <w:rsid w:val="03914CEF"/>
    <w:rsid w:val="03962305"/>
    <w:rsid w:val="03970A50"/>
    <w:rsid w:val="039842CF"/>
    <w:rsid w:val="03993F70"/>
    <w:rsid w:val="039A36FB"/>
    <w:rsid w:val="039C3694"/>
    <w:rsid w:val="039D3F92"/>
    <w:rsid w:val="039E00E0"/>
    <w:rsid w:val="039E6AB3"/>
    <w:rsid w:val="03A65EE8"/>
    <w:rsid w:val="03A67037"/>
    <w:rsid w:val="03A76C43"/>
    <w:rsid w:val="03AB471F"/>
    <w:rsid w:val="03AD2BBC"/>
    <w:rsid w:val="03B31109"/>
    <w:rsid w:val="03B34F3B"/>
    <w:rsid w:val="03B35D20"/>
    <w:rsid w:val="03B80EA5"/>
    <w:rsid w:val="03C07382"/>
    <w:rsid w:val="03C118F4"/>
    <w:rsid w:val="03C46C50"/>
    <w:rsid w:val="03CA6453"/>
    <w:rsid w:val="03CE411A"/>
    <w:rsid w:val="03D35307"/>
    <w:rsid w:val="03D92099"/>
    <w:rsid w:val="03DD7F34"/>
    <w:rsid w:val="03E07A24"/>
    <w:rsid w:val="03E3333C"/>
    <w:rsid w:val="03E868D9"/>
    <w:rsid w:val="03E93E39"/>
    <w:rsid w:val="03E94B2B"/>
    <w:rsid w:val="03F434D0"/>
    <w:rsid w:val="03F55B9E"/>
    <w:rsid w:val="03F914B2"/>
    <w:rsid w:val="04001E75"/>
    <w:rsid w:val="040114EC"/>
    <w:rsid w:val="04021749"/>
    <w:rsid w:val="04033FD3"/>
    <w:rsid w:val="04043713"/>
    <w:rsid w:val="040455BD"/>
    <w:rsid w:val="04054AB2"/>
    <w:rsid w:val="04091A46"/>
    <w:rsid w:val="040C25C7"/>
    <w:rsid w:val="041353B2"/>
    <w:rsid w:val="041F20AB"/>
    <w:rsid w:val="04212517"/>
    <w:rsid w:val="042E0DB9"/>
    <w:rsid w:val="04335DA6"/>
    <w:rsid w:val="04357D70"/>
    <w:rsid w:val="0436211C"/>
    <w:rsid w:val="04367644"/>
    <w:rsid w:val="043833BC"/>
    <w:rsid w:val="04394A97"/>
    <w:rsid w:val="043C5B01"/>
    <w:rsid w:val="04446205"/>
    <w:rsid w:val="04461F7D"/>
    <w:rsid w:val="04487EC6"/>
    <w:rsid w:val="04504BAA"/>
    <w:rsid w:val="04510900"/>
    <w:rsid w:val="0455262A"/>
    <w:rsid w:val="04553F6E"/>
    <w:rsid w:val="0458580D"/>
    <w:rsid w:val="04594D35"/>
    <w:rsid w:val="045C395C"/>
    <w:rsid w:val="045D37EC"/>
    <w:rsid w:val="045E224E"/>
    <w:rsid w:val="045F4DED"/>
    <w:rsid w:val="0461707F"/>
    <w:rsid w:val="04620439"/>
    <w:rsid w:val="04697A1A"/>
    <w:rsid w:val="046B3792"/>
    <w:rsid w:val="046C750A"/>
    <w:rsid w:val="04714B20"/>
    <w:rsid w:val="04763EE5"/>
    <w:rsid w:val="04764E57"/>
    <w:rsid w:val="04785EAF"/>
    <w:rsid w:val="048246C2"/>
    <w:rsid w:val="04842AA6"/>
    <w:rsid w:val="04846602"/>
    <w:rsid w:val="04874344"/>
    <w:rsid w:val="04884554"/>
    <w:rsid w:val="0488798E"/>
    <w:rsid w:val="048A575A"/>
    <w:rsid w:val="048B6677"/>
    <w:rsid w:val="048D0C34"/>
    <w:rsid w:val="048D195A"/>
    <w:rsid w:val="048E02A2"/>
    <w:rsid w:val="04910D1F"/>
    <w:rsid w:val="04944C13"/>
    <w:rsid w:val="04965824"/>
    <w:rsid w:val="049A7BD3"/>
    <w:rsid w:val="049C3775"/>
    <w:rsid w:val="04A82C90"/>
    <w:rsid w:val="04AC7907"/>
    <w:rsid w:val="04AD040F"/>
    <w:rsid w:val="04AE367F"/>
    <w:rsid w:val="04AE78C9"/>
    <w:rsid w:val="04AF4B6F"/>
    <w:rsid w:val="04B213C1"/>
    <w:rsid w:val="04B769D7"/>
    <w:rsid w:val="04B9597D"/>
    <w:rsid w:val="04BC5D9C"/>
    <w:rsid w:val="04BF588C"/>
    <w:rsid w:val="04BF615C"/>
    <w:rsid w:val="04C17856"/>
    <w:rsid w:val="04CD1839"/>
    <w:rsid w:val="04CE3D21"/>
    <w:rsid w:val="04D01847"/>
    <w:rsid w:val="04D255BF"/>
    <w:rsid w:val="04D33379"/>
    <w:rsid w:val="04D33F6A"/>
    <w:rsid w:val="04D74983"/>
    <w:rsid w:val="04DA0918"/>
    <w:rsid w:val="04DA4AD4"/>
    <w:rsid w:val="04DE1F38"/>
    <w:rsid w:val="04E26ED0"/>
    <w:rsid w:val="04E43544"/>
    <w:rsid w:val="04E4640D"/>
    <w:rsid w:val="04EB2C23"/>
    <w:rsid w:val="04ED0A56"/>
    <w:rsid w:val="04EF4CF4"/>
    <w:rsid w:val="04F026C1"/>
    <w:rsid w:val="04F05A45"/>
    <w:rsid w:val="04F41EFB"/>
    <w:rsid w:val="04F512AE"/>
    <w:rsid w:val="04F65EDE"/>
    <w:rsid w:val="04F66CFF"/>
    <w:rsid w:val="04F7518C"/>
    <w:rsid w:val="04FC263C"/>
    <w:rsid w:val="050140F6"/>
    <w:rsid w:val="050209E3"/>
    <w:rsid w:val="05045825"/>
    <w:rsid w:val="05060D9D"/>
    <w:rsid w:val="0506170D"/>
    <w:rsid w:val="050719CA"/>
    <w:rsid w:val="05092FAB"/>
    <w:rsid w:val="050A70A6"/>
    <w:rsid w:val="050B6D23"/>
    <w:rsid w:val="050D3335"/>
    <w:rsid w:val="050D65F7"/>
    <w:rsid w:val="050F6813"/>
    <w:rsid w:val="051200B1"/>
    <w:rsid w:val="0512093A"/>
    <w:rsid w:val="05155C80"/>
    <w:rsid w:val="05157BA2"/>
    <w:rsid w:val="05171224"/>
    <w:rsid w:val="05183DDF"/>
    <w:rsid w:val="051E25B2"/>
    <w:rsid w:val="051E28CF"/>
    <w:rsid w:val="051F457C"/>
    <w:rsid w:val="051F632A"/>
    <w:rsid w:val="05201956"/>
    <w:rsid w:val="052120A3"/>
    <w:rsid w:val="05212DAC"/>
    <w:rsid w:val="05215F40"/>
    <w:rsid w:val="05220CF3"/>
    <w:rsid w:val="05235E1B"/>
    <w:rsid w:val="05243941"/>
    <w:rsid w:val="05256904"/>
    <w:rsid w:val="0527726F"/>
    <w:rsid w:val="05282E2E"/>
    <w:rsid w:val="05296208"/>
    <w:rsid w:val="052D0CE1"/>
    <w:rsid w:val="052E656D"/>
    <w:rsid w:val="052F5971"/>
    <w:rsid w:val="05302066"/>
    <w:rsid w:val="05303E6C"/>
    <w:rsid w:val="0530678A"/>
    <w:rsid w:val="053A7B0E"/>
    <w:rsid w:val="053C6EDC"/>
    <w:rsid w:val="05401DC9"/>
    <w:rsid w:val="054162A1"/>
    <w:rsid w:val="054364BD"/>
    <w:rsid w:val="05467D5B"/>
    <w:rsid w:val="054A0E25"/>
    <w:rsid w:val="054C238D"/>
    <w:rsid w:val="054C4114"/>
    <w:rsid w:val="054D795B"/>
    <w:rsid w:val="054F3048"/>
    <w:rsid w:val="05545FD4"/>
    <w:rsid w:val="05575AC4"/>
    <w:rsid w:val="05582406"/>
    <w:rsid w:val="055A7363"/>
    <w:rsid w:val="0562104D"/>
    <w:rsid w:val="0563225E"/>
    <w:rsid w:val="056401E1"/>
    <w:rsid w:val="05652CE9"/>
    <w:rsid w:val="05656433"/>
    <w:rsid w:val="056621AB"/>
    <w:rsid w:val="056F1060"/>
    <w:rsid w:val="057C377D"/>
    <w:rsid w:val="057D5BEE"/>
    <w:rsid w:val="057F6CDD"/>
    <w:rsid w:val="0580326D"/>
    <w:rsid w:val="05805AAE"/>
    <w:rsid w:val="05816FE5"/>
    <w:rsid w:val="0587460E"/>
    <w:rsid w:val="058B16F5"/>
    <w:rsid w:val="058B39C0"/>
    <w:rsid w:val="058E2A81"/>
    <w:rsid w:val="058F47AD"/>
    <w:rsid w:val="05924D4E"/>
    <w:rsid w:val="05942874"/>
    <w:rsid w:val="059705B7"/>
    <w:rsid w:val="059E1945"/>
    <w:rsid w:val="05A131E3"/>
    <w:rsid w:val="05A14F91"/>
    <w:rsid w:val="05A607FA"/>
    <w:rsid w:val="05A827C4"/>
    <w:rsid w:val="05AA0371"/>
    <w:rsid w:val="05B253F0"/>
    <w:rsid w:val="05B31DD1"/>
    <w:rsid w:val="05BB4BC3"/>
    <w:rsid w:val="05BC043C"/>
    <w:rsid w:val="05BE5B43"/>
    <w:rsid w:val="05C0089C"/>
    <w:rsid w:val="05C250E1"/>
    <w:rsid w:val="05C37415"/>
    <w:rsid w:val="05C869C2"/>
    <w:rsid w:val="05CD4D9F"/>
    <w:rsid w:val="05D2339D"/>
    <w:rsid w:val="05D37F4A"/>
    <w:rsid w:val="05D610DF"/>
    <w:rsid w:val="05D67331"/>
    <w:rsid w:val="05D76C05"/>
    <w:rsid w:val="05DC57A6"/>
    <w:rsid w:val="05DE7F94"/>
    <w:rsid w:val="05E10BD2"/>
    <w:rsid w:val="05E10E98"/>
    <w:rsid w:val="05E705BB"/>
    <w:rsid w:val="05E80E12"/>
    <w:rsid w:val="05EA2082"/>
    <w:rsid w:val="05EA2DDC"/>
    <w:rsid w:val="05EA5F5A"/>
    <w:rsid w:val="05EC4B73"/>
    <w:rsid w:val="05ED1A37"/>
    <w:rsid w:val="05F44D83"/>
    <w:rsid w:val="05F72A17"/>
    <w:rsid w:val="05FD48BE"/>
    <w:rsid w:val="06023C82"/>
    <w:rsid w:val="060519C4"/>
    <w:rsid w:val="060717AC"/>
    <w:rsid w:val="060A2B37"/>
    <w:rsid w:val="06110369"/>
    <w:rsid w:val="06141C07"/>
    <w:rsid w:val="06175254"/>
    <w:rsid w:val="06182FE2"/>
    <w:rsid w:val="061834A6"/>
    <w:rsid w:val="06190E17"/>
    <w:rsid w:val="061B11E8"/>
    <w:rsid w:val="061E4834"/>
    <w:rsid w:val="06200536"/>
    <w:rsid w:val="06231E4A"/>
    <w:rsid w:val="0629247D"/>
    <w:rsid w:val="062956B3"/>
    <w:rsid w:val="062C51A3"/>
    <w:rsid w:val="062C5D5F"/>
    <w:rsid w:val="063217B0"/>
    <w:rsid w:val="063302DF"/>
    <w:rsid w:val="06344057"/>
    <w:rsid w:val="063D6581"/>
    <w:rsid w:val="064047AA"/>
    <w:rsid w:val="06451DC1"/>
    <w:rsid w:val="064614D7"/>
    <w:rsid w:val="0647114E"/>
    <w:rsid w:val="06471FDD"/>
    <w:rsid w:val="06486123"/>
    <w:rsid w:val="064A6B2B"/>
    <w:rsid w:val="064E74B7"/>
    <w:rsid w:val="064F49ED"/>
    <w:rsid w:val="06500E91"/>
    <w:rsid w:val="06505622"/>
    <w:rsid w:val="065169B7"/>
    <w:rsid w:val="06581AF4"/>
    <w:rsid w:val="06585F98"/>
    <w:rsid w:val="065B7836"/>
    <w:rsid w:val="065E775E"/>
    <w:rsid w:val="06604E4C"/>
    <w:rsid w:val="066C559F"/>
    <w:rsid w:val="06710E08"/>
    <w:rsid w:val="06753BBD"/>
    <w:rsid w:val="067A4160"/>
    <w:rsid w:val="067A7E6D"/>
    <w:rsid w:val="067D3D65"/>
    <w:rsid w:val="067D59FE"/>
    <w:rsid w:val="067F3525"/>
    <w:rsid w:val="06862B05"/>
    <w:rsid w:val="06862FED"/>
    <w:rsid w:val="068C289D"/>
    <w:rsid w:val="06915006"/>
    <w:rsid w:val="06915A0A"/>
    <w:rsid w:val="069A687C"/>
    <w:rsid w:val="06A05249"/>
    <w:rsid w:val="06A32425"/>
    <w:rsid w:val="06A66D03"/>
    <w:rsid w:val="06A86FA7"/>
    <w:rsid w:val="06AA757F"/>
    <w:rsid w:val="06B33628"/>
    <w:rsid w:val="06B50CF4"/>
    <w:rsid w:val="06B84C89"/>
    <w:rsid w:val="06BC14B2"/>
    <w:rsid w:val="06BD7EC9"/>
    <w:rsid w:val="06C158EB"/>
    <w:rsid w:val="06C228AB"/>
    <w:rsid w:val="06C4362D"/>
    <w:rsid w:val="06C57799"/>
    <w:rsid w:val="06D33870"/>
    <w:rsid w:val="06D44CBF"/>
    <w:rsid w:val="06D50AF4"/>
    <w:rsid w:val="06D83919"/>
    <w:rsid w:val="06DD024B"/>
    <w:rsid w:val="06DE46EF"/>
    <w:rsid w:val="06E17D3B"/>
    <w:rsid w:val="06E25862"/>
    <w:rsid w:val="06EC048E"/>
    <w:rsid w:val="06ED7F23"/>
    <w:rsid w:val="06EE4206"/>
    <w:rsid w:val="06F07F7E"/>
    <w:rsid w:val="06F15AA5"/>
    <w:rsid w:val="06FA2BAB"/>
    <w:rsid w:val="06FC4B75"/>
    <w:rsid w:val="070457D8"/>
    <w:rsid w:val="07045864"/>
    <w:rsid w:val="07052B8F"/>
    <w:rsid w:val="07061550"/>
    <w:rsid w:val="070B7B00"/>
    <w:rsid w:val="070D4E50"/>
    <w:rsid w:val="070E313E"/>
    <w:rsid w:val="07110764"/>
    <w:rsid w:val="071163A2"/>
    <w:rsid w:val="07134DC1"/>
    <w:rsid w:val="07192B58"/>
    <w:rsid w:val="07193A39"/>
    <w:rsid w:val="071A149F"/>
    <w:rsid w:val="071C0767"/>
    <w:rsid w:val="071C0D73"/>
    <w:rsid w:val="071C6FC5"/>
    <w:rsid w:val="071E0F8F"/>
    <w:rsid w:val="071F3380"/>
    <w:rsid w:val="071F528F"/>
    <w:rsid w:val="071F6AB6"/>
    <w:rsid w:val="072440CC"/>
    <w:rsid w:val="072D2F81"/>
    <w:rsid w:val="073066B9"/>
    <w:rsid w:val="073302AC"/>
    <w:rsid w:val="0733430F"/>
    <w:rsid w:val="07352C2D"/>
    <w:rsid w:val="073562D9"/>
    <w:rsid w:val="0744651C"/>
    <w:rsid w:val="07462294"/>
    <w:rsid w:val="074D29C7"/>
    <w:rsid w:val="07504EC1"/>
    <w:rsid w:val="07511A9D"/>
    <w:rsid w:val="07516841"/>
    <w:rsid w:val="07520C39"/>
    <w:rsid w:val="075F626C"/>
    <w:rsid w:val="07627A65"/>
    <w:rsid w:val="076803F1"/>
    <w:rsid w:val="0768220B"/>
    <w:rsid w:val="07691ADF"/>
    <w:rsid w:val="07695831"/>
    <w:rsid w:val="076B3AA9"/>
    <w:rsid w:val="07762B7A"/>
    <w:rsid w:val="077741FC"/>
    <w:rsid w:val="077A7FF3"/>
    <w:rsid w:val="077D267A"/>
    <w:rsid w:val="07807554"/>
    <w:rsid w:val="078143EE"/>
    <w:rsid w:val="078512F3"/>
    <w:rsid w:val="07854D3E"/>
    <w:rsid w:val="07883B8B"/>
    <w:rsid w:val="078A03D3"/>
    <w:rsid w:val="078A6633"/>
    <w:rsid w:val="079528D4"/>
    <w:rsid w:val="07971D2A"/>
    <w:rsid w:val="0797664C"/>
    <w:rsid w:val="079E68F5"/>
    <w:rsid w:val="07A12FEA"/>
    <w:rsid w:val="07A234ED"/>
    <w:rsid w:val="07A33592"/>
    <w:rsid w:val="07A6371F"/>
    <w:rsid w:val="07A82607"/>
    <w:rsid w:val="07AD3016"/>
    <w:rsid w:val="07AD40C1"/>
    <w:rsid w:val="07AF3FE3"/>
    <w:rsid w:val="07B05960"/>
    <w:rsid w:val="07B13BB2"/>
    <w:rsid w:val="07B31491"/>
    <w:rsid w:val="07BB058C"/>
    <w:rsid w:val="07BB67DE"/>
    <w:rsid w:val="07C11432"/>
    <w:rsid w:val="07C17B6D"/>
    <w:rsid w:val="07C5140B"/>
    <w:rsid w:val="07C51EE3"/>
    <w:rsid w:val="07C66F31"/>
    <w:rsid w:val="07C82CA9"/>
    <w:rsid w:val="07D23B28"/>
    <w:rsid w:val="07D57174"/>
    <w:rsid w:val="07D96C64"/>
    <w:rsid w:val="07DA2C08"/>
    <w:rsid w:val="07DB0C2F"/>
    <w:rsid w:val="07E6312F"/>
    <w:rsid w:val="07E676B9"/>
    <w:rsid w:val="07E775D3"/>
    <w:rsid w:val="07E8334B"/>
    <w:rsid w:val="07E95AC0"/>
    <w:rsid w:val="07EA0E72"/>
    <w:rsid w:val="07EC4BEA"/>
    <w:rsid w:val="07EC6981"/>
    <w:rsid w:val="07F044FE"/>
    <w:rsid w:val="07F13FAE"/>
    <w:rsid w:val="07F608C5"/>
    <w:rsid w:val="07F92E63"/>
    <w:rsid w:val="07FB6F8A"/>
    <w:rsid w:val="07FC0BA5"/>
    <w:rsid w:val="08000695"/>
    <w:rsid w:val="08002443"/>
    <w:rsid w:val="08037B85"/>
    <w:rsid w:val="080737D2"/>
    <w:rsid w:val="080B2B96"/>
    <w:rsid w:val="080F6B2A"/>
    <w:rsid w:val="08105242"/>
    <w:rsid w:val="08117806"/>
    <w:rsid w:val="08183C31"/>
    <w:rsid w:val="081D1247"/>
    <w:rsid w:val="082277E0"/>
    <w:rsid w:val="082D530B"/>
    <w:rsid w:val="082D6FB0"/>
    <w:rsid w:val="08314CF2"/>
    <w:rsid w:val="083508E0"/>
    <w:rsid w:val="08371125"/>
    <w:rsid w:val="083A49D4"/>
    <w:rsid w:val="083B16CD"/>
    <w:rsid w:val="08412E95"/>
    <w:rsid w:val="08444EDB"/>
    <w:rsid w:val="084542FA"/>
    <w:rsid w:val="08470072"/>
    <w:rsid w:val="084A2E08"/>
    <w:rsid w:val="084D3638"/>
    <w:rsid w:val="08517486"/>
    <w:rsid w:val="08536A17"/>
    <w:rsid w:val="085E716A"/>
    <w:rsid w:val="085F10A3"/>
    <w:rsid w:val="08640C24"/>
    <w:rsid w:val="08656454"/>
    <w:rsid w:val="08670714"/>
    <w:rsid w:val="086D1151"/>
    <w:rsid w:val="086E1AA3"/>
    <w:rsid w:val="086F1AAE"/>
    <w:rsid w:val="0878022B"/>
    <w:rsid w:val="08780892"/>
    <w:rsid w:val="0878647D"/>
    <w:rsid w:val="087A0447"/>
    <w:rsid w:val="087D7F38"/>
    <w:rsid w:val="087F64C8"/>
    <w:rsid w:val="0880617E"/>
    <w:rsid w:val="08841884"/>
    <w:rsid w:val="0885365E"/>
    <w:rsid w:val="08887952"/>
    <w:rsid w:val="08890A56"/>
    <w:rsid w:val="088A4D34"/>
    <w:rsid w:val="088A61B1"/>
    <w:rsid w:val="088E7B49"/>
    <w:rsid w:val="08915791"/>
    <w:rsid w:val="08940DDD"/>
    <w:rsid w:val="08962DA7"/>
    <w:rsid w:val="08981017"/>
    <w:rsid w:val="089D4136"/>
    <w:rsid w:val="089E3E17"/>
    <w:rsid w:val="08A76D63"/>
    <w:rsid w:val="08A82698"/>
    <w:rsid w:val="08A964FF"/>
    <w:rsid w:val="08AC25CB"/>
    <w:rsid w:val="08AE6343"/>
    <w:rsid w:val="08B015FE"/>
    <w:rsid w:val="08B03E69"/>
    <w:rsid w:val="08B374B6"/>
    <w:rsid w:val="08B57A15"/>
    <w:rsid w:val="08B60D54"/>
    <w:rsid w:val="08BF40AC"/>
    <w:rsid w:val="08C276F9"/>
    <w:rsid w:val="08C40CF3"/>
    <w:rsid w:val="08C44E51"/>
    <w:rsid w:val="08C571E9"/>
    <w:rsid w:val="08C6173B"/>
    <w:rsid w:val="08C72F61"/>
    <w:rsid w:val="08CC4A1B"/>
    <w:rsid w:val="08CF675C"/>
    <w:rsid w:val="08D3127C"/>
    <w:rsid w:val="08D538D0"/>
    <w:rsid w:val="08D55EE0"/>
    <w:rsid w:val="08D953CE"/>
    <w:rsid w:val="08DA1E21"/>
    <w:rsid w:val="08DA23EB"/>
    <w:rsid w:val="08E57274"/>
    <w:rsid w:val="08EE6740"/>
    <w:rsid w:val="08F20E10"/>
    <w:rsid w:val="08F24482"/>
    <w:rsid w:val="08F55D20"/>
    <w:rsid w:val="08F57ACE"/>
    <w:rsid w:val="08F83980"/>
    <w:rsid w:val="08FA0290"/>
    <w:rsid w:val="08FA6E92"/>
    <w:rsid w:val="08FD1DEA"/>
    <w:rsid w:val="08FF094D"/>
    <w:rsid w:val="09005085"/>
    <w:rsid w:val="09045F63"/>
    <w:rsid w:val="090549A5"/>
    <w:rsid w:val="090578AE"/>
    <w:rsid w:val="09061CDB"/>
    <w:rsid w:val="09095327"/>
    <w:rsid w:val="090C5402"/>
    <w:rsid w:val="090F23E6"/>
    <w:rsid w:val="09192CB9"/>
    <w:rsid w:val="091A14D0"/>
    <w:rsid w:val="091A7535"/>
    <w:rsid w:val="091C32AD"/>
    <w:rsid w:val="09214686"/>
    <w:rsid w:val="0922463B"/>
    <w:rsid w:val="09271C52"/>
    <w:rsid w:val="092A393D"/>
    <w:rsid w:val="092B1742"/>
    <w:rsid w:val="092C22B0"/>
    <w:rsid w:val="092C7268"/>
    <w:rsid w:val="092D370C"/>
    <w:rsid w:val="092D54BA"/>
    <w:rsid w:val="093323A4"/>
    <w:rsid w:val="0935770F"/>
    <w:rsid w:val="09374C6F"/>
    <w:rsid w:val="09402DC4"/>
    <w:rsid w:val="09436A8B"/>
    <w:rsid w:val="09442803"/>
    <w:rsid w:val="0946032A"/>
    <w:rsid w:val="09472EFA"/>
    <w:rsid w:val="094B46B8"/>
    <w:rsid w:val="094D16B8"/>
    <w:rsid w:val="095011A8"/>
    <w:rsid w:val="09570789"/>
    <w:rsid w:val="095E38C5"/>
    <w:rsid w:val="095F763D"/>
    <w:rsid w:val="09684744"/>
    <w:rsid w:val="09693E73"/>
    <w:rsid w:val="096B4234"/>
    <w:rsid w:val="096B7D90"/>
    <w:rsid w:val="096C0B39"/>
    <w:rsid w:val="09704F43"/>
    <w:rsid w:val="09722ECD"/>
    <w:rsid w:val="097430E9"/>
    <w:rsid w:val="09776735"/>
    <w:rsid w:val="097C1F9D"/>
    <w:rsid w:val="097C3D4B"/>
    <w:rsid w:val="097D1872"/>
    <w:rsid w:val="097E0360"/>
    <w:rsid w:val="09811362"/>
    <w:rsid w:val="09815806"/>
    <w:rsid w:val="09823FA4"/>
    <w:rsid w:val="09842C00"/>
    <w:rsid w:val="098C5A06"/>
    <w:rsid w:val="098D5F59"/>
    <w:rsid w:val="098E04CC"/>
    <w:rsid w:val="09934AAE"/>
    <w:rsid w:val="0995305F"/>
    <w:rsid w:val="09970B85"/>
    <w:rsid w:val="09983997"/>
    <w:rsid w:val="099866AB"/>
    <w:rsid w:val="099C43EE"/>
    <w:rsid w:val="099E1F14"/>
    <w:rsid w:val="09A01E43"/>
    <w:rsid w:val="09A17C56"/>
    <w:rsid w:val="09A36BF7"/>
    <w:rsid w:val="09A775EB"/>
    <w:rsid w:val="09AA540C"/>
    <w:rsid w:val="09AD03A9"/>
    <w:rsid w:val="09AD0AE3"/>
    <w:rsid w:val="09AF4121"/>
    <w:rsid w:val="09B01C47"/>
    <w:rsid w:val="09B41737"/>
    <w:rsid w:val="09B94F9F"/>
    <w:rsid w:val="09BB7189"/>
    <w:rsid w:val="09BF2734"/>
    <w:rsid w:val="09C0608D"/>
    <w:rsid w:val="09C13E54"/>
    <w:rsid w:val="09C33F12"/>
    <w:rsid w:val="09C4154A"/>
    <w:rsid w:val="09C46753"/>
    <w:rsid w:val="09C5316B"/>
    <w:rsid w:val="09C63218"/>
    <w:rsid w:val="09C676BC"/>
    <w:rsid w:val="09C921F2"/>
    <w:rsid w:val="09CB6A81"/>
    <w:rsid w:val="09CF6571"/>
    <w:rsid w:val="09D2779C"/>
    <w:rsid w:val="09D65411"/>
    <w:rsid w:val="09D678FF"/>
    <w:rsid w:val="09DC0C8E"/>
    <w:rsid w:val="09DE67B4"/>
    <w:rsid w:val="09E34AD6"/>
    <w:rsid w:val="09ED289C"/>
    <w:rsid w:val="09F618F4"/>
    <w:rsid w:val="09F61D50"/>
    <w:rsid w:val="09F7306D"/>
    <w:rsid w:val="09FB7366"/>
    <w:rsid w:val="0A0123A0"/>
    <w:rsid w:val="0A03621B"/>
    <w:rsid w:val="0A037FC9"/>
    <w:rsid w:val="0A0501E5"/>
    <w:rsid w:val="0A0A1357"/>
    <w:rsid w:val="0A0C3C5C"/>
    <w:rsid w:val="0A0C5900"/>
    <w:rsid w:val="0A121772"/>
    <w:rsid w:val="0A15069A"/>
    <w:rsid w:val="0A1833E8"/>
    <w:rsid w:val="0A1E12A6"/>
    <w:rsid w:val="0A24345E"/>
    <w:rsid w:val="0A252635"/>
    <w:rsid w:val="0A2C5771"/>
    <w:rsid w:val="0A2D5046"/>
    <w:rsid w:val="0A305DD2"/>
    <w:rsid w:val="0A31358E"/>
    <w:rsid w:val="0A3526C5"/>
    <w:rsid w:val="0A386FBF"/>
    <w:rsid w:val="0A3933BD"/>
    <w:rsid w:val="0A426D43"/>
    <w:rsid w:val="0A432ABB"/>
    <w:rsid w:val="0A4565E5"/>
    <w:rsid w:val="0A474359"/>
    <w:rsid w:val="0A4C6BA8"/>
    <w:rsid w:val="0A520107"/>
    <w:rsid w:val="0A522CFE"/>
    <w:rsid w:val="0A5342B8"/>
    <w:rsid w:val="0A550D58"/>
    <w:rsid w:val="0A5B6057"/>
    <w:rsid w:val="0A5C00B8"/>
    <w:rsid w:val="0A5D3B7D"/>
    <w:rsid w:val="0A5F5B47"/>
    <w:rsid w:val="0A652A31"/>
    <w:rsid w:val="0A6563CF"/>
    <w:rsid w:val="0A6839FC"/>
    <w:rsid w:val="0A684083"/>
    <w:rsid w:val="0A6842D0"/>
    <w:rsid w:val="0A6A0048"/>
    <w:rsid w:val="0A6B0F7F"/>
    <w:rsid w:val="0A6D1DC2"/>
    <w:rsid w:val="0A6E5D8A"/>
    <w:rsid w:val="0A720AB9"/>
    <w:rsid w:val="0A7309CF"/>
    <w:rsid w:val="0A7809B7"/>
    <w:rsid w:val="0A782765"/>
    <w:rsid w:val="0A78548D"/>
    <w:rsid w:val="0A7917C3"/>
    <w:rsid w:val="0A792A63"/>
    <w:rsid w:val="0A7B4003"/>
    <w:rsid w:val="0A7D4EA9"/>
    <w:rsid w:val="0A8455AD"/>
    <w:rsid w:val="0A8462B3"/>
    <w:rsid w:val="0A870BFA"/>
    <w:rsid w:val="0A8B7447"/>
    <w:rsid w:val="0A8C7FBE"/>
    <w:rsid w:val="0A8D3D36"/>
    <w:rsid w:val="0A9065BE"/>
    <w:rsid w:val="0A913826"/>
    <w:rsid w:val="0A936EFB"/>
    <w:rsid w:val="0A991CEE"/>
    <w:rsid w:val="0AA00B38"/>
    <w:rsid w:val="0AA127C6"/>
    <w:rsid w:val="0AA51080"/>
    <w:rsid w:val="0AA95014"/>
    <w:rsid w:val="0AA963FE"/>
    <w:rsid w:val="0AA96DC2"/>
    <w:rsid w:val="0AAB3ED7"/>
    <w:rsid w:val="0AAB4924"/>
    <w:rsid w:val="0AAC0660"/>
    <w:rsid w:val="0AAF1EFF"/>
    <w:rsid w:val="0AB063A2"/>
    <w:rsid w:val="0AB3379D"/>
    <w:rsid w:val="0AB43B51"/>
    <w:rsid w:val="0AB50C8E"/>
    <w:rsid w:val="0AB67731"/>
    <w:rsid w:val="0AB85257"/>
    <w:rsid w:val="0ABD461B"/>
    <w:rsid w:val="0AC06AFC"/>
    <w:rsid w:val="0AC260D6"/>
    <w:rsid w:val="0ACC2AB1"/>
    <w:rsid w:val="0ACC485F"/>
    <w:rsid w:val="0ACD37DE"/>
    <w:rsid w:val="0ACE05D7"/>
    <w:rsid w:val="0ACE4A7B"/>
    <w:rsid w:val="0AD050DC"/>
    <w:rsid w:val="0AD11E75"/>
    <w:rsid w:val="0AD1504C"/>
    <w:rsid w:val="0AD55E09"/>
    <w:rsid w:val="0AD90520"/>
    <w:rsid w:val="0ADA341F"/>
    <w:rsid w:val="0ADD2F10"/>
    <w:rsid w:val="0AE20526"/>
    <w:rsid w:val="0AEC3153"/>
    <w:rsid w:val="0AEE2A27"/>
    <w:rsid w:val="0AF3003D"/>
    <w:rsid w:val="0AF31067"/>
    <w:rsid w:val="0AF771EE"/>
    <w:rsid w:val="0AF7732E"/>
    <w:rsid w:val="0AF77774"/>
    <w:rsid w:val="0AFA761E"/>
    <w:rsid w:val="0B024724"/>
    <w:rsid w:val="0B045796"/>
    <w:rsid w:val="0B061682"/>
    <w:rsid w:val="0B065FC2"/>
    <w:rsid w:val="0B097014"/>
    <w:rsid w:val="0B0E131B"/>
    <w:rsid w:val="0B111B38"/>
    <w:rsid w:val="0B160F38"/>
    <w:rsid w:val="0B182BFD"/>
    <w:rsid w:val="0B187AA4"/>
    <w:rsid w:val="0B1C57E6"/>
    <w:rsid w:val="0B2700A3"/>
    <w:rsid w:val="0B2823DD"/>
    <w:rsid w:val="0B2C0449"/>
    <w:rsid w:val="0B2E5519"/>
    <w:rsid w:val="0B2F0960"/>
    <w:rsid w:val="0B301291"/>
    <w:rsid w:val="0B304DED"/>
    <w:rsid w:val="0B3568A8"/>
    <w:rsid w:val="0B373C88"/>
    <w:rsid w:val="0B386398"/>
    <w:rsid w:val="0B3B249A"/>
    <w:rsid w:val="0B3C19E4"/>
    <w:rsid w:val="0B3F3282"/>
    <w:rsid w:val="0B422D73"/>
    <w:rsid w:val="0B446AEB"/>
    <w:rsid w:val="0B462863"/>
    <w:rsid w:val="0B4765DB"/>
    <w:rsid w:val="0B4C7FDE"/>
    <w:rsid w:val="0B4D1E43"/>
    <w:rsid w:val="0B4D385B"/>
    <w:rsid w:val="0B4D7D72"/>
    <w:rsid w:val="0B505490"/>
    <w:rsid w:val="0B5144F3"/>
    <w:rsid w:val="0B552AA6"/>
    <w:rsid w:val="0B594EBB"/>
    <w:rsid w:val="0B5D0F63"/>
    <w:rsid w:val="0B5F1B77"/>
    <w:rsid w:val="0B5F2C0D"/>
    <w:rsid w:val="0B5F3925"/>
    <w:rsid w:val="0B6131F9"/>
    <w:rsid w:val="0B633694"/>
    <w:rsid w:val="0B6B4077"/>
    <w:rsid w:val="0B6C7DF0"/>
    <w:rsid w:val="0B7A42BB"/>
    <w:rsid w:val="0B7D1118"/>
    <w:rsid w:val="0B7F6C07"/>
    <w:rsid w:val="0B7F7B23"/>
    <w:rsid w:val="0B84338B"/>
    <w:rsid w:val="0B843744"/>
    <w:rsid w:val="0B865355"/>
    <w:rsid w:val="0B8C30EB"/>
    <w:rsid w:val="0B9A2BAF"/>
    <w:rsid w:val="0B9C6927"/>
    <w:rsid w:val="0B9F01C5"/>
    <w:rsid w:val="0B9F3D21"/>
    <w:rsid w:val="0BA07991"/>
    <w:rsid w:val="0BA17A99"/>
    <w:rsid w:val="0BA94BA0"/>
    <w:rsid w:val="0BAA1044"/>
    <w:rsid w:val="0BAA24B6"/>
    <w:rsid w:val="0BAB1E8A"/>
    <w:rsid w:val="0BAC7BA6"/>
    <w:rsid w:val="0BAF4D8D"/>
    <w:rsid w:val="0BB21CA6"/>
    <w:rsid w:val="0BB27EF8"/>
    <w:rsid w:val="0BB75BE2"/>
    <w:rsid w:val="0BB9237A"/>
    <w:rsid w:val="0BBE4AEF"/>
    <w:rsid w:val="0BC11EE9"/>
    <w:rsid w:val="0BC32105"/>
    <w:rsid w:val="0BC419DA"/>
    <w:rsid w:val="0BC97BB6"/>
    <w:rsid w:val="0BCE3AE3"/>
    <w:rsid w:val="0BD20B85"/>
    <w:rsid w:val="0BD303CA"/>
    <w:rsid w:val="0BD95485"/>
    <w:rsid w:val="0BDF05C2"/>
    <w:rsid w:val="0BE04A65"/>
    <w:rsid w:val="0BE107DE"/>
    <w:rsid w:val="0BE502CE"/>
    <w:rsid w:val="0BEA7062"/>
    <w:rsid w:val="0BEB3D9E"/>
    <w:rsid w:val="0BEB6F66"/>
    <w:rsid w:val="0BED268A"/>
    <w:rsid w:val="0BF7590B"/>
    <w:rsid w:val="0BF978D5"/>
    <w:rsid w:val="0C000C64"/>
    <w:rsid w:val="0C004AA5"/>
    <w:rsid w:val="0C011543"/>
    <w:rsid w:val="0C01678A"/>
    <w:rsid w:val="0C02165E"/>
    <w:rsid w:val="0C035585"/>
    <w:rsid w:val="0C036275"/>
    <w:rsid w:val="0C0878B9"/>
    <w:rsid w:val="0C0F534B"/>
    <w:rsid w:val="0C1C35C4"/>
    <w:rsid w:val="0C1D11D3"/>
    <w:rsid w:val="0C1E558E"/>
    <w:rsid w:val="0C1F1D7D"/>
    <w:rsid w:val="0C216E2C"/>
    <w:rsid w:val="0C232BA4"/>
    <w:rsid w:val="0C233D3A"/>
    <w:rsid w:val="0C23749D"/>
    <w:rsid w:val="0C277E72"/>
    <w:rsid w:val="0C2A5CE1"/>
    <w:rsid w:val="0C323867"/>
    <w:rsid w:val="0C336679"/>
    <w:rsid w:val="0C3826AA"/>
    <w:rsid w:val="0C3B6140"/>
    <w:rsid w:val="0C3C043A"/>
    <w:rsid w:val="0C3C47EA"/>
    <w:rsid w:val="0C4548C9"/>
    <w:rsid w:val="0C495168"/>
    <w:rsid w:val="0C4D19CF"/>
    <w:rsid w:val="0C5965C6"/>
    <w:rsid w:val="0C5B0590"/>
    <w:rsid w:val="0C5B233E"/>
    <w:rsid w:val="0C5B32B7"/>
    <w:rsid w:val="0C5D60B6"/>
    <w:rsid w:val="0C5E1737"/>
    <w:rsid w:val="0C5E67B3"/>
    <w:rsid w:val="0C5F15C0"/>
    <w:rsid w:val="0C6311F3"/>
    <w:rsid w:val="0C656D19"/>
    <w:rsid w:val="0C6B423D"/>
    <w:rsid w:val="0C6D1DFE"/>
    <w:rsid w:val="0C6D4678"/>
    <w:rsid w:val="0C711B61"/>
    <w:rsid w:val="0C721E1F"/>
    <w:rsid w:val="0C727839"/>
    <w:rsid w:val="0C741652"/>
    <w:rsid w:val="0C7659B1"/>
    <w:rsid w:val="0C8278CB"/>
    <w:rsid w:val="0C851169"/>
    <w:rsid w:val="0C853374"/>
    <w:rsid w:val="0C8573BB"/>
    <w:rsid w:val="0C8D0F7C"/>
    <w:rsid w:val="0C8F3C2A"/>
    <w:rsid w:val="0C945850"/>
    <w:rsid w:val="0C954E47"/>
    <w:rsid w:val="0C963854"/>
    <w:rsid w:val="0C985340"/>
    <w:rsid w:val="0C9A13AC"/>
    <w:rsid w:val="0C9E047D"/>
    <w:rsid w:val="0C9E4C71"/>
    <w:rsid w:val="0CA041F5"/>
    <w:rsid w:val="0CA21D1B"/>
    <w:rsid w:val="0CA27F6D"/>
    <w:rsid w:val="0CA35A93"/>
    <w:rsid w:val="0CA912FB"/>
    <w:rsid w:val="0CAA5073"/>
    <w:rsid w:val="0CAB5190"/>
    <w:rsid w:val="0CAD246E"/>
    <w:rsid w:val="0CAF61E6"/>
    <w:rsid w:val="0CB35BB8"/>
    <w:rsid w:val="0CB47DB7"/>
    <w:rsid w:val="0CB87790"/>
    <w:rsid w:val="0CBA1CD6"/>
    <w:rsid w:val="0CBF0B1F"/>
    <w:rsid w:val="0CBF1239"/>
    <w:rsid w:val="0CC021A1"/>
    <w:rsid w:val="0CC46135"/>
    <w:rsid w:val="0CC7352F"/>
    <w:rsid w:val="0CC779D3"/>
    <w:rsid w:val="0CC8091C"/>
    <w:rsid w:val="0CD242DF"/>
    <w:rsid w:val="0CD5701B"/>
    <w:rsid w:val="0CD67C16"/>
    <w:rsid w:val="0CDA2CD4"/>
    <w:rsid w:val="0CDA5C26"/>
    <w:rsid w:val="0CDB00EB"/>
    <w:rsid w:val="0CDD47C2"/>
    <w:rsid w:val="0CDF2F6F"/>
    <w:rsid w:val="0CE642FD"/>
    <w:rsid w:val="0CE71B86"/>
    <w:rsid w:val="0CE97214"/>
    <w:rsid w:val="0CEA5F50"/>
    <w:rsid w:val="0CEE0318"/>
    <w:rsid w:val="0CEE4F60"/>
    <w:rsid w:val="0CF307C8"/>
    <w:rsid w:val="0CF7422C"/>
    <w:rsid w:val="0CF91064"/>
    <w:rsid w:val="0CFB58CF"/>
    <w:rsid w:val="0CFE756D"/>
    <w:rsid w:val="0CFF53BF"/>
    <w:rsid w:val="0CFF716D"/>
    <w:rsid w:val="0D0522AA"/>
    <w:rsid w:val="0D09473B"/>
    <w:rsid w:val="0D0B5B12"/>
    <w:rsid w:val="0D0C2CB1"/>
    <w:rsid w:val="0D132C19"/>
    <w:rsid w:val="0D1349C7"/>
    <w:rsid w:val="0D1975AE"/>
    <w:rsid w:val="0D1A7244"/>
    <w:rsid w:val="0D2210AE"/>
    <w:rsid w:val="0D272D3A"/>
    <w:rsid w:val="0D2C3EBE"/>
    <w:rsid w:val="0D2F5B49"/>
    <w:rsid w:val="0D307327"/>
    <w:rsid w:val="0D325089"/>
    <w:rsid w:val="0D395A18"/>
    <w:rsid w:val="0D397479"/>
    <w:rsid w:val="0D3A63F7"/>
    <w:rsid w:val="0D3D5EE8"/>
    <w:rsid w:val="0D411534"/>
    <w:rsid w:val="0D415BE3"/>
    <w:rsid w:val="0D417786"/>
    <w:rsid w:val="0D442DD2"/>
    <w:rsid w:val="0D474670"/>
    <w:rsid w:val="0D5024BC"/>
    <w:rsid w:val="0D523741"/>
    <w:rsid w:val="0D553231"/>
    <w:rsid w:val="0D556D8D"/>
    <w:rsid w:val="0D5620F9"/>
    <w:rsid w:val="0D5A61E6"/>
    <w:rsid w:val="0D5E1CB9"/>
    <w:rsid w:val="0D5F19BA"/>
    <w:rsid w:val="0D6426A0"/>
    <w:rsid w:val="0D6671EC"/>
    <w:rsid w:val="0D6C2329"/>
    <w:rsid w:val="0D6C40D7"/>
    <w:rsid w:val="0D6E7E4F"/>
    <w:rsid w:val="0D703BC7"/>
    <w:rsid w:val="0D755681"/>
    <w:rsid w:val="0D7A2C98"/>
    <w:rsid w:val="0D7C256C"/>
    <w:rsid w:val="0D7D0092"/>
    <w:rsid w:val="0D7D4536"/>
    <w:rsid w:val="0D7F3E0A"/>
    <w:rsid w:val="0D8A245E"/>
    <w:rsid w:val="0D8B5CA5"/>
    <w:rsid w:val="0D8C4BF5"/>
    <w:rsid w:val="0D912DEE"/>
    <w:rsid w:val="0D9755F8"/>
    <w:rsid w:val="0D9D355F"/>
    <w:rsid w:val="0DA10224"/>
    <w:rsid w:val="0DA16476"/>
    <w:rsid w:val="0DA2127A"/>
    <w:rsid w:val="0DA2705D"/>
    <w:rsid w:val="0DA64E52"/>
    <w:rsid w:val="0DA90BC2"/>
    <w:rsid w:val="0DA970D9"/>
    <w:rsid w:val="0DAA336D"/>
    <w:rsid w:val="0DAA75D6"/>
    <w:rsid w:val="0DAB1750"/>
    <w:rsid w:val="0DAD6BC9"/>
    <w:rsid w:val="0DAE6126"/>
    <w:rsid w:val="0DB1023D"/>
    <w:rsid w:val="0DB22432"/>
    <w:rsid w:val="0DB25311"/>
    <w:rsid w:val="0DB5782C"/>
    <w:rsid w:val="0DBA3094"/>
    <w:rsid w:val="0DBC505E"/>
    <w:rsid w:val="0DC03BC7"/>
    <w:rsid w:val="0DC15531"/>
    <w:rsid w:val="0DC21F49"/>
    <w:rsid w:val="0DC857B1"/>
    <w:rsid w:val="0DCD365A"/>
    <w:rsid w:val="0DCD427F"/>
    <w:rsid w:val="0DCE5703"/>
    <w:rsid w:val="0DCF5F7A"/>
    <w:rsid w:val="0DD04666"/>
    <w:rsid w:val="0DD34156"/>
    <w:rsid w:val="0DD57ECE"/>
    <w:rsid w:val="0DDA3816"/>
    <w:rsid w:val="0DDD6D83"/>
    <w:rsid w:val="0DDD72C7"/>
    <w:rsid w:val="0DE057BE"/>
    <w:rsid w:val="0DE34399"/>
    <w:rsid w:val="0DE95727"/>
    <w:rsid w:val="0DEC0E4C"/>
    <w:rsid w:val="0DED5F96"/>
    <w:rsid w:val="0DEF71E2"/>
    <w:rsid w:val="0DF1741E"/>
    <w:rsid w:val="0DF77E44"/>
    <w:rsid w:val="0DFA52EA"/>
    <w:rsid w:val="0DFA7935"/>
    <w:rsid w:val="0DFB165B"/>
    <w:rsid w:val="0DFC4113"/>
    <w:rsid w:val="0E172295"/>
    <w:rsid w:val="0E1C5AFD"/>
    <w:rsid w:val="0E1E1875"/>
    <w:rsid w:val="0E2055ED"/>
    <w:rsid w:val="0E2449B2"/>
    <w:rsid w:val="0E2F5830"/>
    <w:rsid w:val="0E342556"/>
    <w:rsid w:val="0E386C82"/>
    <w:rsid w:val="0E3F073D"/>
    <w:rsid w:val="0E423390"/>
    <w:rsid w:val="0E43308A"/>
    <w:rsid w:val="0E4534DB"/>
    <w:rsid w:val="0E454C1C"/>
    <w:rsid w:val="0E460DCC"/>
    <w:rsid w:val="0E462B7A"/>
    <w:rsid w:val="0E4B481D"/>
    <w:rsid w:val="0E4F663B"/>
    <w:rsid w:val="0E5139F9"/>
    <w:rsid w:val="0E515521"/>
    <w:rsid w:val="0E574D87"/>
    <w:rsid w:val="0E576B35"/>
    <w:rsid w:val="0E5A44C6"/>
    <w:rsid w:val="0E5B6E42"/>
    <w:rsid w:val="0E5C05EF"/>
    <w:rsid w:val="0E5C239D"/>
    <w:rsid w:val="0E6274A8"/>
    <w:rsid w:val="0E6D6359"/>
    <w:rsid w:val="0E707BF7"/>
    <w:rsid w:val="0E715E49"/>
    <w:rsid w:val="0E7B78BC"/>
    <w:rsid w:val="0E7D470A"/>
    <w:rsid w:val="0E7E40C2"/>
    <w:rsid w:val="0E8042DE"/>
    <w:rsid w:val="0E8207A2"/>
    <w:rsid w:val="0E843362"/>
    <w:rsid w:val="0E877290"/>
    <w:rsid w:val="0E883192"/>
    <w:rsid w:val="0E8A0CB9"/>
    <w:rsid w:val="0E8C4A31"/>
    <w:rsid w:val="0E924011"/>
    <w:rsid w:val="0E9719B1"/>
    <w:rsid w:val="0E981627"/>
    <w:rsid w:val="0E9B1118"/>
    <w:rsid w:val="0E9B2EC6"/>
    <w:rsid w:val="0EA06CB7"/>
    <w:rsid w:val="0EA613E8"/>
    <w:rsid w:val="0EA63619"/>
    <w:rsid w:val="0EA70F37"/>
    <w:rsid w:val="0EAA3109"/>
    <w:rsid w:val="0EAB7F37"/>
    <w:rsid w:val="0EAE69D7"/>
    <w:rsid w:val="0EB17A84"/>
    <w:rsid w:val="0EB2020F"/>
    <w:rsid w:val="0EB540D3"/>
    <w:rsid w:val="0EB67D00"/>
    <w:rsid w:val="0EB804BF"/>
    <w:rsid w:val="0EB83A78"/>
    <w:rsid w:val="0EB9159E"/>
    <w:rsid w:val="0EBB5316"/>
    <w:rsid w:val="0EBE6BB4"/>
    <w:rsid w:val="0EC101CC"/>
    <w:rsid w:val="0EC7522A"/>
    <w:rsid w:val="0ECA37AB"/>
    <w:rsid w:val="0ECA737C"/>
    <w:rsid w:val="0ECF0DC1"/>
    <w:rsid w:val="0ECF491D"/>
    <w:rsid w:val="0ED41876"/>
    <w:rsid w:val="0ED52D80"/>
    <w:rsid w:val="0ED65CAC"/>
    <w:rsid w:val="0ED92289"/>
    <w:rsid w:val="0ED939EE"/>
    <w:rsid w:val="0ED93E9F"/>
    <w:rsid w:val="0EDD34DE"/>
    <w:rsid w:val="0EDE5AE1"/>
    <w:rsid w:val="0EE02FCE"/>
    <w:rsid w:val="0EE20AF5"/>
    <w:rsid w:val="0EE23012"/>
    <w:rsid w:val="0EE24651"/>
    <w:rsid w:val="0EE63280"/>
    <w:rsid w:val="0EE721D9"/>
    <w:rsid w:val="0EE83C31"/>
    <w:rsid w:val="0EE851DC"/>
    <w:rsid w:val="0EE91E83"/>
    <w:rsid w:val="0EEA5BFB"/>
    <w:rsid w:val="0EEC54CF"/>
    <w:rsid w:val="0EF32D02"/>
    <w:rsid w:val="0EF425D6"/>
    <w:rsid w:val="0EF56A7A"/>
    <w:rsid w:val="0EF652A0"/>
    <w:rsid w:val="0EF95E3E"/>
    <w:rsid w:val="0EFF5A98"/>
    <w:rsid w:val="0F0071CD"/>
    <w:rsid w:val="0F026358"/>
    <w:rsid w:val="0F040A6B"/>
    <w:rsid w:val="0F07055B"/>
    <w:rsid w:val="0F087E2F"/>
    <w:rsid w:val="0F0A004B"/>
    <w:rsid w:val="0F0B2EB9"/>
    <w:rsid w:val="0F0F11BE"/>
    <w:rsid w:val="0F130CAE"/>
    <w:rsid w:val="0F14409A"/>
    <w:rsid w:val="0F16254C"/>
    <w:rsid w:val="0F193597"/>
    <w:rsid w:val="0F1B4006"/>
    <w:rsid w:val="0F1E7DD1"/>
    <w:rsid w:val="0F222C0B"/>
    <w:rsid w:val="0F2769C1"/>
    <w:rsid w:val="0F28279D"/>
    <w:rsid w:val="0F296723"/>
    <w:rsid w:val="0F2E5AE8"/>
    <w:rsid w:val="0F2E7A65"/>
    <w:rsid w:val="0F306F5F"/>
    <w:rsid w:val="0F324674"/>
    <w:rsid w:val="0F36499C"/>
    <w:rsid w:val="0F3F5DBB"/>
    <w:rsid w:val="0F410384"/>
    <w:rsid w:val="0F421593"/>
    <w:rsid w:val="0F4B669A"/>
    <w:rsid w:val="0F5337A0"/>
    <w:rsid w:val="0F566DED"/>
    <w:rsid w:val="0F5B3F73"/>
    <w:rsid w:val="0F5C08A7"/>
    <w:rsid w:val="0F5D017B"/>
    <w:rsid w:val="0F5D461F"/>
    <w:rsid w:val="0F5D63CD"/>
    <w:rsid w:val="0F6414FF"/>
    <w:rsid w:val="0F657030"/>
    <w:rsid w:val="0F6C5E1D"/>
    <w:rsid w:val="0F6D143E"/>
    <w:rsid w:val="0F786D63"/>
    <w:rsid w:val="0F7A1F3E"/>
    <w:rsid w:val="0F7C5D0D"/>
    <w:rsid w:val="0F810EA2"/>
    <w:rsid w:val="0F84395A"/>
    <w:rsid w:val="0F855BBA"/>
    <w:rsid w:val="0F8A6A96"/>
    <w:rsid w:val="0F8B4CE8"/>
    <w:rsid w:val="0F926DAA"/>
    <w:rsid w:val="0F947124"/>
    <w:rsid w:val="0F960595"/>
    <w:rsid w:val="0F985657"/>
    <w:rsid w:val="0F9F0794"/>
    <w:rsid w:val="0F9F69E6"/>
    <w:rsid w:val="0FA364D6"/>
    <w:rsid w:val="0FA408D1"/>
    <w:rsid w:val="0FA43FFC"/>
    <w:rsid w:val="0FA45DAA"/>
    <w:rsid w:val="0FA77648"/>
    <w:rsid w:val="0FB0474F"/>
    <w:rsid w:val="0FB17603"/>
    <w:rsid w:val="0FB87AA7"/>
    <w:rsid w:val="0FBA737B"/>
    <w:rsid w:val="0FBF0E36"/>
    <w:rsid w:val="0FBF73AF"/>
    <w:rsid w:val="0FC251BE"/>
    <w:rsid w:val="0FC401FA"/>
    <w:rsid w:val="0FC621C4"/>
    <w:rsid w:val="0FC85F3C"/>
    <w:rsid w:val="0FC9765B"/>
    <w:rsid w:val="0FCA3416"/>
    <w:rsid w:val="0FCC70AF"/>
    <w:rsid w:val="0FCD3553"/>
    <w:rsid w:val="0FCE3080"/>
    <w:rsid w:val="0FD22917"/>
    <w:rsid w:val="0FD30D4A"/>
    <w:rsid w:val="0FDA17CC"/>
    <w:rsid w:val="0FDC2A09"/>
    <w:rsid w:val="0FDC3796"/>
    <w:rsid w:val="0FDD306A"/>
    <w:rsid w:val="0FE1318C"/>
    <w:rsid w:val="0FE50F5E"/>
    <w:rsid w:val="0FE663C2"/>
    <w:rsid w:val="0FE8213B"/>
    <w:rsid w:val="0FEB136B"/>
    <w:rsid w:val="0FEB5787"/>
    <w:rsid w:val="0FEE0B17"/>
    <w:rsid w:val="0FEE63FC"/>
    <w:rsid w:val="0FF8242E"/>
    <w:rsid w:val="0FF838BF"/>
    <w:rsid w:val="0FF95447"/>
    <w:rsid w:val="0FFA1E6E"/>
    <w:rsid w:val="0FFD0285"/>
    <w:rsid w:val="0FFE195E"/>
    <w:rsid w:val="10022AD1"/>
    <w:rsid w:val="100625C1"/>
    <w:rsid w:val="10067CF4"/>
    <w:rsid w:val="10093E5F"/>
    <w:rsid w:val="10141182"/>
    <w:rsid w:val="101A2510"/>
    <w:rsid w:val="101A2FA9"/>
    <w:rsid w:val="101A606C"/>
    <w:rsid w:val="101C3B92"/>
    <w:rsid w:val="101F3998"/>
    <w:rsid w:val="10293F62"/>
    <w:rsid w:val="102A2DEF"/>
    <w:rsid w:val="102C2802"/>
    <w:rsid w:val="102D5D9F"/>
    <w:rsid w:val="102E0898"/>
    <w:rsid w:val="102F563C"/>
    <w:rsid w:val="103069CC"/>
    <w:rsid w:val="10324B1F"/>
    <w:rsid w:val="103A226A"/>
    <w:rsid w:val="103C2486"/>
    <w:rsid w:val="103D01E7"/>
    <w:rsid w:val="103F1D61"/>
    <w:rsid w:val="10452DA1"/>
    <w:rsid w:val="104B3613"/>
    <w:rsid w:val="104C724D"/>
    <w:rsid w:val="10525806"/>
    <w:rsid w:val="105477D0"/>
    <w:rsid w:val="10593038"/>
    <w:rsid w:val="10594FE4"/>
    <w:rsid w:val="106018D4"/>
    <w:rsid w:val="10606175"/>
    <w:rsid w:val="10610AC2"/>
    <w:rsid w:val="10611EED"/>
    <w:rsid w:val="10613C9B"/>
    <w:rsid w:val="1063131B"/>
    <w:rsid w:val="10645539"/>
    <w:rsid w:val="10662133"/>
    <w:rsid w:val="1068327B"/>
    <w:rsid w:val="106F0166"/>
    <w:rsid w:val="10713F0B"/>
    <w:rsid w:val="10725EA8"/>
    <w:rsid w:val="10750901"/>
    <w:rsid w:val="107514F4"/>
    <w:rsid w:val="10790FE5"/>
    <w:rsid w:val="107E484D"/>
    <w:rsid w:val="10831E63"/>
    <w:rsid w:val="10835914"/>
    <w:rsid w:val="108A4FE4"/>
    <w:rsid w:val="108D25B8"/>
    <w:rsid w:val="108D683E"/>
    <w:rsid w:val="108F0808"/>
    <w:rsid w:val="10915F18"/>
    <w:rsid w:val="10922838"/>
    <w:rsid w:val="109C02F5"/>
    <w:rsid w:val="109D6C04"/>
    <w:rsid w:val="10A00E68"/>
    <w:rsid w:val="10A4409C"/>
    <w:rsid w:val="10A51DDA"/>
    <w:rsid w:val="10A73DA4"/>
    <w:rsid w:val="10A87B1C"/>
    <w:rsid w:val="10A932E1"/>
    <w:rsid w:val="10AA7A09"/>
    <w:rsid w:val="10AB3168"/>
    <w:rsid w:val="10B3005B"/>
    <w:rsid w:val="10B4201D"/>
    <w:rsid w:val="10B65D95"/>
    <w:rsid w:val="10BC5375"/>
    <w:rsid w:val="10BD35C7"/>
    <w:rsid w:val="10BE2E9B"/>
    <w:rsid w:val="10C02CE5"/>
    <w:rsid w:val="10C5247C"/>
    <w:rsid w:val="10C64A93"/>
    <w:rsid w:val="10C8678C"/>
    <w:rsid w:val="10CC55B8"/>
    <w:rsid w:val="10CF32FA"/>
    <w:rsid w:val="10CF3F1B"/>
    <w:rsid w:val="10CF50A9"/>
    <w:rsid w:val="10D12BCF"/>
    <w:rsid w:val="10D716DC"/>
    <w:rsid w:val="10EA3C90"/>
    <w:rsid w:val="10F23A1E"/>
    <w:rsid w:val="10F44B0F"/>
    <w:rsid w:val="10FC5772"/>
    <w:rsid w:val="11020F53"/>
    <w:rsid w:val="11032FA4"/>
    <w:rsid w:val="11034D52"/>
    <w:rsid w:val="11040053"/>
    <w:rsid w:val="110765F0"/>
    <w:rsid w:val="110805BA"/>
    <w:rsid w:val="110A60E1"/>
    <w:rsid w:val="110C1E59"/>
    <w:rsid w:val="110D3CF9"/>
    <w:rsid w:val="110E5BD1"/>
    <w:rsid w:val="110F1949"/>
    <w:rsid w:val="11130D98"/>
    <w:rsid w:val="111451B1"/>
    <w:rsid w:val="111D7BC2"/>
    <w:rsid w:val="111E393A"/>
    <w:rsid w:val="112167B7"/>
    <w:rsid w:val="11276C93"/>
    <w:rsid w:val="11290C5D"/>
    <w:rsid w:val="112C24FB"/>
    <w:rsid w:val="112E1359"/>
    <w:rsid w:val="11333A47"/>
    <w:rsid w:val="11335637"/>
    <w:rsid w:val="11387F6D"/>
    <w:rsid w:val="113A4C18"/>
    <w:rsid w:val="113F222E"/>
    <w:rsid w:val="11416F6F"/>
    <w:rsid w:val="11447845"/>
    <w:rsid w:val="11477335"/>
    <w:rsid w:val="11484A3B"/>
    <w:rsid w:val="114856A6"/>
    <w:rsid w:val="114B0EF0"/>
    <w:rsid w:val="11523509"/>
    <w:rsid w:val="1154735C"/>
    <w:rsid w:val="115A653F"/>
    <w:rsid w:val="115F467E"/>
    <w:rsid w:val="116003F7"/>
    <w:rsid w:val="11673533"/>
    <w:rsid w:val="11692E07"/>
    <w:rsid w:val="11695CA6"/>
    <w:rsid w:val="116F149C"/>
    <w:rsid w:val="1170063A"/>
    <w:rsid w:val="11730BC5"/>
    <w:rsid w:val="11736C92"/>
    <w:rsid w:val="11743B34"/>
    <w:rsid w:val="11743EDB"/>
    <w:rsid w:val="1175312F"/>
    <w:rsid w:val="11755C50"/>
    <w:rsid w:val="117C163B"/>
    <w:rsid w:val="117F6ACF"/>
    <w:rsid w:val="11886591"/>
    <w:rsid w:val="118A7FFF"/>
    <w:rsid w:val="118E4484"/>
    <w:rsid w:val="119035DC"/>
    <w:rsid w:val="119654BE"/>
    <w:rsid w:val="11A35E37"/>
    <w:rsid w:val="11A43DCD"/>
    <w:rsid w:val="11A46B44"/>
    <w:rsid w:val="11A67664"/>
    <w:rsid w:val="11AA3E5D"/>
    <w:rsid w:val="11AB6154"/>
    <w:rsid w:val="11AB78C4"/>
    <w:rsid w:val="11AC3497"/>
    <w:rsid w:val="11AD363C"/>
    <w:rsid w:val="11B04EDA"/>
    <w:rsid w:val="11B322D4"/>
    <w:rsid w:val="11B45FD3"/>
    <w:rsid w:val="11C25893"/>
    <w:rsid w:val="11C77E03"/>
    <w:rsid w:val="11CC783A"/>
    <w:rsid w:val="11CE710E"/>
    <w:rsid w:val="11D13DC8"/>
    <w:rsid w:val="11D25532"/>
    <w:rsid w:val="11D47836"/>
    <w:rsid w:val="11D92218"/>
    <w:rsid w:val="11DA02A7"/>
    <w:rsid w:val="11DC2579"/>
    <w:rsid w:val="11DC7A7D"/>
    <w:rsid w:val="11DC7C6D"/>
    <w:rsid w:val="11DF756D"/>
    <w:rsid w:val="11E132E5"/>
    <w:rsid w:val="11E20E0C"/>
    <w:rsid w:val="11E6380D"/>
    <w:rsid w:val="11E93F48"/>
    <w:rsid w:val="11EA1A5C"/>
    <w:rsid w:val="11EB4164"/>
    <w:rsid w:val="11EC1991"/>
    <w:rsid w:val="11ED1C8A"/>
    <w:rsid w:val="11EF0EB1"/>
    <w:rsid w:val="11F36B75"/>
    <w:rsid w:val="11FA7F03"/>
    <w:rsid w:val="11FC3E71"/>
    <w:rsid w:val="11FF4EA0"/>
    <w:rsid w:val="120130EC"/>
    <w:rsid w:val="1205487E"/>
    <w:rsid w:val="120668A8"/>
    <w:rsid w:val="12092610"/>
    <w:rsid w:val="120945EA"/>
    <w:rsid w:val="12096398"/>
    <w:rsid w:val="12097063"/>
    <w:rsid w:val="120C7126"/>
    <w:rsid w:val="120D6537"/>
    <w:rsid w:val="120E1C01"/>
    <w:rsid w:val="120E79C7"/>
    <w:rsid w:val="1212349F"/>
    <w:rsid w:val="121429C9"/>
    <w:rsid w:val="121548EA"/>
    <w:rsid w:val="12170AB5"/>
    <w:rsid w:val="1218634D"/>
    <w:rsid w:val="121A05A5"/>
    <w:rsid w:val="12245DF9"/>
    <w:rsid w:val="122907E8"/>
    <w:rsid w:val="122C1B04"/>
    <w:rsid w:val="122D652B"/>
    <w:rsid w:val="123258EF"/>
    <w:rsid w:val="12330942"/>
    <w:rsid w:val="12331667"/>
    <w:rsid w:val="12347C54"/>
    <w:rsid w:val="123A00F7"/>
    <w:rsid w:val="123A29F6"/>
    <w:rsid w:val="123A47A4"/>
    <w:rsid w:val="124318AA"/>
    <w:rsid w:val="124330F9"/>
    <w:rsid w:val="12445622"/>
    <w:rsid w:val="1246139A"/>
    <w:rsid w:val="12492C39"/>
    <w:rsid w:val="1249302E"/>
    <w:rsid w:val="124B311E"/>
    <w:rsid w:val="12503FC7"/>
    <w:rsid w:val="125053DB"/>
    <w:rsid w:val="12527D3F"/>
    <w:rsid w:val="125735A8"/>
    <w:rsid w:val="125910CE"/>
    <w:rsid w:val="12597320"/>
    <w:rsid w:val="125C296C"/>
    <w:rsid w:val="12614426"/>
    <w:rsid w:val="126348AB"/>
    <w:rsid w:val="12676C98"/>
    <w:rsid w:val="126D6927"/>
    <w:rsid w:val="1272218F"/>
    <w:rsid w:val="12736A2E"/>
    <w:rsid w:val="127754F6"/>
    <w:rsid w:val="127842F5"/>
    <w:rsid w:val="127B54E8"/>
    <w:rsid w:val="127F5E15"/>
    <w:rsid w:val="12804C2C"/>
    <w:rsid w:val="1283439D"/>
    <w:rsid w:val="1288550F"/>
    <w:rsid w:val="128B3251"/>
    <w:rsid w:val="128C0C5E"/>
    <w:rsid w:val="1291372D"/>
    <w:rsid w:val="1292638E"/>
    <w:rsid w:val="12971CE2"/>
    <w:rsid w:val="129926BE"/>
    <w:rsid w:val="129C6A03"/>
    <w:rsid w:val="129D4A32"/>
    <w:rsid w:val="12A10CC7"/>
    <w:rsid w:val="12A64309"/>
    <w:rsid w:val="12AA7396"/>
    <w:rsid w:val="12B2082C"/>
    <w:rsid w:val="12B24C82"/>
    <w:rsid w:val="12B44556"/>
    <w:rsid w:val="12B4769A"/>
    <w:rsid w:val="12B614F8"/>
    <w:rsid w:val="12B83BBB"/>
    <w:rsid w:val="12B96010"/>
    <w:rsid w:val="12C32477"/>
    <w:rsid w:val="12C7072D"/>
    <w:rsid w:val="12CB10A8"/>
    <w:rsid w:val="12CF1390"/>
    <w:rsid w:val="12D270D2"/>
    <w:rsid w:val="12D90460"/>
    <w:rsid w:val="12DF65E9"/>
    <w:rsid w:val="12E12481"/>
    <w:rsid w:val="12E32A93"/>
    <w:rsid w:val="12E50BB3"/>
    <w:rsid w:val="12E806A4"/>
    <w:rsid w:val="12EA441C"/>
    <w:rsid w:val="12EA7F78"/>
    <w:rsid w:val="12F40DF6"/>
    <w:rsid w:val="12F901BB"/>
    <w:rsid w:val="1300779B"/>
    <w:rsid w:val="13082AF4"/>
    <w:rsid w:val="13095304"/>
    <w:rsid w:val="130A061A"/>
    <w:rsid w:val="130A5D15"/>
    <w:rsid w:val="13117BFA"/>
    <w:rsid w:val="1314382B"/>
    <w:rsid w:val="13146A4C"/>
    <w:rsid w:val="13161B21"/>
    <w:rsid w:val="13162E09"/>
    <w:rsid w:val="13165211"/>
    <w:rsid w:val="13167D62"/>
    <w:rsid w:val="131B632D"/>
    <w:rsid w:val="131B6383"/>
    <w:rsid w:val="13201BEB"/>
    <w:rsid w:val="13207E3D"/>
    <w:rsid w:val="132316DC"/>
    <w:rsid w:val="132536A6"/>
    <w:rsid w:val="132741C0"/>
    <w:rsid w:val="13286CF2"/>
    <w:rsid w:val="132A2A6A"/>
    <w:rsid w:val="132F1E2E"/>
    <w:rsid w:val="133078CD"/>
    <w:rsid w:val="13315BA7"/>
    <w:rsid w:val="133C0C35"/>
    <w:rsid w:val="133E0119"/>
    <w:rsid w:val="13407AA1"/>
    <w:rsid w:val="134224E3"/>
    <w:rsid w:val="1351449B"/>
    <w:rsid w:val="13521EB6"/>
    <w:rsid w:val="13525B1D"/>
    <w:rsid w:val="13555621"/>
    <w:rsid w:val="13585996"/>
    <w:rsid w:val="13623FB2"/>
    <w:rsid w:val="136721A2"/>
    <w:rsid w:val="1367781A"/>
    <w:rsid w:val="136A01E4"/>
    <w:rsid w:val="136C3083"/>
    <w:rsid w:val="136E6DFB"/>
    <w:rsid w:val="136F66CF"/>
    <w:rsid w:val="13712447"/>
    <w:rsid w:val="13734411"/>
    <w:rsid w:val="137732B5"/>
    <w:rsid w:val="137D703E"/>
    <w:rsid w:val="13802363"/>
    <w:rsid w:val="13806B2E"/>
    <w:rsid w:val="13824654"/>
    <w:rsid w:val="13833F28"/>
    <w:rsid w:val="13884612"/>
    <w:rsid w:val="138959E3"/>
    <w:rsid w:val="138E4FD6"/>
    <w:rsid w:val="138E6AF9"/>
    <w:rsid w:val="13911C13"/>
    <w:rsid w:val="139323BD"/>
    <w:rsid w:val="13961EAE"/>
    <w:rsid w:val="1396715A"/>
    <w:rsid w:val="13984776"/>
    <w:rsid w:val="13985996"/>
    <w:rsid w:val="139F5206"/>
    <w:rsid w:val="13AC7923"/>
    <w:rsid w:val="13B32A60"/>
    <w:rsid w:val="13B54A2A"/>
    <w:rsid w:val="13B65E1E"/>
    <w:rsid w:val="13B82FCB"/>
    <w:rsid w:val="13BB7B66"/>
    <w:rsid w:val="13BC2F19"/>
    <w:rsid w:val="13BE3795"/>
    <w:rsid w:val="13C20EF5"/>
    <w:rsid w:val="13C24A51"/>
    <w:rsid w:val="13C307A5"/>
    <w:rsid w:val="13C7475D"/>
    <w:rsid w:val="13C9526F"/>
    <w:rsid w:val="13CB7DA9"/>
    <w:rsid w:val="13CD0607"/>
    <w:rsid w:val="13CF0E44"/>
    <w:rsid w:val="13D91ADE"/>
    <w:rsid w:val="13DA4078"/>
    <w:rsid w:val="13DE0350"/>
    <w:rsid w:val="13DF1AA7"/>
    <w:rsid w:val="13DF3855"/>
    <w:rsid w:val="13DF413D"/>
    <w:rsid w:val="13E0137B"/>
    <w:rsid w:val="13E27DC0"/>
    <w:rsid w:val="13E454B0"/>
    <w:rsid w:val="13E470BD"/>
    <w:rsid w:val="13E7095B"/>
    <w:rsid w:val="13E729A1"/>
    <w:rsid w:val="13EB21F9"/>
    <w:rsid w:val="13EC7D20"/>
    <w:rsid w:val="13F07C78"/>
    <w:rsid w:val="13F118C1"/>
    <w:rsid w:val="13F60B9E"/>
    <w:rsid w:val="13F653D3"/>
    <w:rsid w:val="13F81B1B"/>
    <w:rsid w:val="14005579"/>
    <w:rsid w:val="14027543"/>
    <w:rsid w:val="140C0C6E"/>
    <w:rsid w:val="140E413A"/>
    <w:rsid w:val="14101C60"/>
    <w:rsid w:val="141334FE"/>
    <w:rsid w:val="141352AC"/>
    <w:rsid w:val="141917A6"/>
    <w:rsid w:val="141F1EA3"/>
    <w:rsid w:val="14213E6D"/>
    <w:rsid w:val="14225448"/>
    <w:rsid w:val="14230D4E"/>
    <w:rsid w:val="142A603A"/>
    <w:rsid w:val="142C45C0"/>
    <w:rsid w:val="142D4192"/>
    <w:rsid w:val="1432607A"/>
    <w:rsid w:val="14327E28"/>
    <w:rsid w:val="143376FC"/>
    <w:rsid w:val="143725E3"/>
    <w:rsid w:val="14382F65"/>
    <w:rsid w:val="143839FC"/>
    <w:rsid w:val="143A745A"/>
    <w:rsid w:val="143C2A55"/>
    <w:rsid w:val="143D67CD"/>
    <w:rsid w:val="143F42F3"/>
    <w:rsid w:val="144357A0"/>
    <w:rsid w:val="14445DAD"/>
    <w:rsid w:val="14445E89"/>
    <w:rsid w:val="144B0EEA"/>
    <w:rsid w:val="144B76CF"/>
    <w:rsid w:val="144E2788"/>
    <w:rsid w:val="14627FE2"/>
    <w:rsid w:val="14636234"/>
    <w:rsid w:val="1464209F"/>
    <w:rsid w:val="146705D2"/>
    <w:rsid w:val="146806AD"/>
    <w:rsid w:val="14681A9C"/>
    <w:rsid w:val="146B2DE1"/>
    <w:rsid w:val="146D0E60"/>
    <w:rsid w:val="147321EF"/>
    <w:rsid w:val="14774392"/>
    <w:rsid w:val="147815B3"/>
    <w:rsid w:val="14790813"/>
    <w:rsid w:val="147C53F6"/>
    <w:rsid w:val="147C5FBB"/>
    <w:rsid w:val="147E4E1C"/>
    <w:rsid w:val="148609D3"/>
    <w:rsid w:val="14861F22"/>
    <w:rsid w:val="148626B9"/>
    <w:rsid w:val="148748B0"/>
    <w:rsid w:val="14882BFE"/>
    <w:rsid w:val="148B578A"/>
    <w:rsid w:val="148D1503"/>
    <w:rsid w:val="14904B4F"/>
    <w:rsid w:val="14926B19"/>
    <w:rsid w:val="14992204"/>
    <w:rsid w:val="14996D6E"/>
    <w:rsid w:val="149E726C"/>
    <w:rsid w:val="14A0635B"/>
    <w:rsid w:val="14A25D60"/>
    <w:rsid w:val="14A405FA"/>
    <w:rsid w:val="14A4293F"/>
    <w:rsid w:val="14A64372"/>
    <w:rsid w:val="14A66120"/>
    <w:rsid w:val="14AB1989"/>
    <w:rsid w:val="14AC445D"/>
    <w:rsid w:val="14AD5701"/>
    <w:rsid w:val="14AE3227"/>
    <w:rsid w:val="14AF76CB"/>
    <w:rsid w:val="14B22D17"/>
    <w:rsid w:val="14B24AC5"/>
    <w:rsid w:val="14B45007"/>
    <w:rsid w:val="14B94BCE"/>
    <w:rsid w:val="14C333C2"/>
    <w:rsid w:val="14C36E74"/>
    <w:rsid w:val="14C52A4A"/>
    <w:rsid w:val="14CD0277"/>
    <w:rsid w:val="14D07641"/>
    <w:rsid w:val="14D902A4"/>
    <w:rsid w:val="14DC1B42"/>
    <w:rsid w:val="14E804E7"/>
    <w:rsid w:val="14E80F29"/>
    <w:rsid w:val="14EA0703"/>
    <w:rsid w:val="14EA7BD3"/>
    <w:rsid w:val="14EB6229"/>
    <w:rsid w:val="14F310F9"/>
    <w:rsid w:val="14FD3553"/>
    <w:rsid w:val="14FF1112"/>
    <w:rsid w:val="14FF1E99"/>
    <w:rsid w:val="1500533F"/>
    <w:rsid w:val="15064E11"/>
    <w:rsid w:val="150D43F1"/>
    <w:rsid w:val="151249A7"/>
    <w:rsid w:val="151412DC"/>
    <w:rsid w:val="15155054"/>
    <w:rsid w:val="15193617"/>
    <w:rsid w:val="151A266A"/>
    <w:rsid w:val="151B4D60"/>
    <w:rsid w:val="151E6A48"/>
    <w:rsid w:val="15212EE4"/>
    <w:rsid w:val="15226166"/>
    <w:rsid w:val="152359C3"/>
    <w:rsid w:val="152A0AFF"/>
    <w:rsid w:val="152A4FA3"/>
    <w:rsid w:val="152B5F1D"/>
    <w:rsid w:val="152E3E7A"/>
    <w:rsid w:val="15323E58"/>
    <w:rsid w:val="15324082"/>
    <w:rsid w:val="1534197E"/>
    <w:rsid w:val="1534372C"/>
    <w:rsid w:val="15401362"/>
    <w:rsid w:val="15427DE0"/>
    <w:rsid w:val="15455939"/>
    <w:rsid w:val="1546345F"/>
    <w:rsid w:val="154716B1"/>
    <w:rsid w:val="154829B6"/>
    <w:rsid w:val="15483721"/>
    <w:rsid w:val="15487EE3"/>
    <w:rsid w:val="15494E69"/>
    <w:rsid w:val="154A1C7B"/>
    <w:rsid w:val="154A2F50"/>
    <w:rsid w:val="154A73F4"/>
    <w:rsid w:val="154B3671"/>
    <w:rsid w:val="154C316C"/>
    <w:rsid w:val="154E18A9"/>
    <w:rsid w:val="155838BF"/>
    <w:rsid w:val="15591D15"/>
    <w:rsid w:val="15593193"/>
    <w:rsid w:val="155D0ED5"/>
    <w:rsid w:val="15654326"/>
    <w:rsid w:val="15655FDB"/>
    <w:rsid w:val="156D6C3E"/>
    <w:rsid w:val="15732E76"/>
    <w:rsid w:val="1573515B"/>
    <w:rsid w:val="157445F7"/>
    <w:rsid w:val="157546EC"/>
    <w:rsid w:val="15763BAE"/>
    <w:rsid w:val="157C3D83"/>
    <w:rsid w:val="157D1577"/>
    <w:rsid w:val="15842905"/>
    <w:rsid w:val="1585042C"/>
    <w:rsid w:val="158B2EC0"/>
    <w:rsid w:val="158F12AA"/>
    <w:rsid w:val="15962639"/>
    <w:rsid w:val="159857B3"/>
    <w:rsid w:val="15995C85"/>
    <w:rsid w:val="159B361E"/>
    <w:rsid w:val="15A47930"/>
    <w:rsid w:val="15A72150"/>
    <w:rsid w:val="15A730B2"/>
    <w:rsid w:val="15AC3C0A"/>
    <w:rsid w:val="15AD20D5"/>
    <w:rsid w:val="15B11221"/>
    <w:rsid w:val="15B23376"/>
    <w:rsid w:val="15B40352"/>
    <w:rsid w:val="15B648C8"/>
    <w:rsid w:val="15B64A89"/>
    <w:rsid w:val="15B66837"/>
    <w:rsid w:val="15BD7BC5"/>
    <w:rsid w:val="15C319EE"/>
    <w:rsid w:val="15C34DA7"/>
    <w:rsid w:val="15C42D02"/>
    <w:rsid w:val="15C471A6"/>
    <w:rsid w:val="15CC1BB7"/>
    <w:rsid w:val="15CE592F"/>
    <w:rsid w:val="15D32F45"/>
    <w:rsid w:val="15DA0777"/>
    <w:rsid w:val="15DD2016"/>
    <w:rsid w:val="15E038B4"/>
    <w:rsid w:val="15E46F00"/>
    <w:rsid w:val="15E50ECA"/>
    <w:rsid w:val="15E6711C"/>
    <w:rsid w:val="15EF1E88"/>
    <w:rsid w:val="15EF3AF7"/>
    <w:rsid w:val="15F630D7"/>
    <w:rsid w:val="15FA2BC8"/>
    <w:rsid w:val="15FF5FFC"/>
    <w:rsid w:val="160752E5"/>
    <w:rsid w:val="16094541"/>
    <w:rsid w:val="160A0D18"/>
    <w:rsid w:val="160A26DF"/>
    <w:rsid w:val="160C3E58"/>
    <w:rsid w:val="160E21CF"/>
    <w:rsid w:val="16104199"/>
    <w:rsid w:val="161155E5"/>
    <w:rsid w:val="1615355E"/>
    <w:rsid w:val="161672D6"/>
    <w:rsid w:val="1618304E"/>
    <w:rsid w:val="16190035"/>
    <w:rsid w:val="161A6DC6"/>
    <w:rsid w:val="161B669A"/>
    <w:rsid w:val="16247C45"/>
    <w:rsid w:val="162714E3"/>
    <w:rsid w:val="16271F06"/>
    <w:rsid w:val="16361726"/>
    <w:rsid w:val="163A2FC4"/>
    <w:rsid w:val="163D0CDC"/>
    <w:rsid w:val="163F682C"/>
    <w:rsid w:val="164107F7"/>
    <w:rsid w:val="164178B5"/>
    <w:rsid w:val="16426169"/>
    <w:rsid w:val="16446E8C"/>
    <w:rsid w:val="164A44DE"/>
    <w:rsid w:val="16517E53"/>
    <w:rsid w:val="16527EE1"/>
    <w:rsid w:val="16571DC8"/>
    <w:rsid w:val="165A18B8"/>
    <w:rsid w:val="165B5116"/>
    <w:rsid w:val="165E3157"/>
    <w:rsid w:val="16602AFC"/>
    <w:rsid w:val="16623428"/>
    <w:rsid w:val="16663DB9"/>
    <w:rsid w:val="166B04F5"/>
    <w:rsid w:val="166B13D0"/>
    <w:rsid w:val="166D339A"/>
    <w:rsid w:val="1675224E"/>
    <w:rsid w:val="16753FFC"/>
    <w:rsid w:val="16760F0A"/>
    <w:rsid w:val="16774218"/>
    <w:rsid w:val="16777D74"/>
    <w:rsid w:val="167A21E6"/>
    <w:rsid w:val="167C1D1C"/>
    <w:rsid w:val="167F4B15"/>
    <w:rsid w:val="167F5113"/>
    <w:rsid w:val="1680548D"/>
    <w:rsid w:val="16816E45"/>
    <w:rsid w:val="16864AF3"/>
    <w:rsid w:val="168801D3"/>
    <w:rsid w:val="16881F81"/>
    <w:rsid w:val="168D57EA"/>
    <w:rsid w:val="169102D7"/>
    <w:rsid w:val="169326D4"/>
    <w:rsid w:val="1698537D"/>
    <w:rsid w:val="1699418F"/>
    <w:rsid w:val="169E79F7"/>
    <w:rsid w:val="16A6065A"/>
    <w:rsid w:val="16A668AC"/>
    <w:rsid w:val="16A82624"/>
    <w:rsid w:val="16B014D8"/>
    <w:rsid w:val="16B624C1"/>
    <w:rsid w:val="16BC4251"/>
    <w:rsid w:val="16C240F4"/>
    <w:rsid w:val="16C3745D"/>
    <w:rsid w:val="16C805D0"/>
    <w:rsid w:val="16CC1441"/>
    <w:rsid w:val="16CD208A"/>
    <w:rsid w:val="16D149BD"/>
    <w:rsid w:val="16D231FD"/>
    <w:rsid w:val="16D6070C"/>
    <w:rsid w:val="16D62899"/>
    <w:rsid w:val="16D72F09"/>
    <w:rsid w:val="16D90123"/>
    <w:rsid w:val="16D95624"/>
    <w:rsid w:val="16D95A75"/>
    <w:rsid w:val="16DA5D65"/>
    <w:rsid w:val="16DB47A7"/>
    <w:rsid w:val="16DC051F"/>
    <w:rsid w:val="16DC407B"/>
    <w:rsid w:val="16DF591A"/>
    <w:rsid w:val="16E020D8"/>
    <w:rsid w:val="16E6314C"/>
    <w:rsid w:val="16E66CA8"/>
    <w:rsid w:val="16E92719"/>
    <w:rsid w:val="16EB1FCB"/>
    <w:rsid w:val="16F22E97"/>
    <w:rsid w:val="16F413C5"/>
    <w:rsid w:val="16F47617"/>
    <w:rsid w:val="16F5513D"/>
    <w:rsid w:val="16F63AED"/>
    <w:rsid w:val="16FB2A6F"/>
    <w:rsid w:val="16FE76D0"/>
    <w:rsid w:val="1700420E"/>
    <w:rsid w:val="17011D34"/>
    <w:rsid w:val="17017F86"/>
    <w:rsid w:val="170227AA"/>
    <w:rsid w:val="17023F14"/>
    <w:rsid w:val="17051824"/>
    <w:rsid w:val="170830C2"/>
    <w:rsid w:val="170A0BE8"/>
    <w:rsid w:val="170A508C"/>
    <w:rsid w:val="170B4961"/>
    <w:rsid w:val="170D06D9"/>
    <w:rsid w:val="1718283C"/>
    <w:rsid w:val="17185E66"/>
    <w:rsid w:val="17190E2C"/>
    <w:rsid w:val="171B1048"/>
    <w:rsid w:val="171F0434"/>
    <w:rsid w:val="1723320B"/>
    <w:rsid w:val="172420F4"/>
    <w:rsid w:val="172525D2"/>
    <w:rsid w:val="17255A22"/>
    <w:rsid w:val="172F68A1"/>
    <w:rsid w:val="173043C7"/>
    <w:rsid w:val="17314AFD"/>
    <w:rsid w:val="17377C39"/>
    <w:rsid w:val="173914CE"/>
    <w:rsid w:val="17397720"/>
    <w:rsid w:val="173F5205"/>
    <w:rsid w:val="17400B06"/>
    <w:rsid w:val="1748013E"/>
    <w:rsid w:val="174C1201"/>
    <w:rsid w:val="174D5A00"/>
    <w:rsid w:val="174E00D7"/>
    <w:rsid w:val="174F1F61"/>
    <w:rsid w:val="175B6220"/>
    <w:rsid w:val="175D664D"/>
    <w:rsid w:val="175F6772"/>
    <w:rsid w:val="17632701"/>
    <w:rsid w:val="17633A00"/>
    <w:rsid w:val="17654026"/>
    <w:rsid w:val="17662374"/>
    <w:rsid w:val="1767603B"/>
    <w:rsid w:val="1768590F"/>
    <w:rsid w:val="176A5B2B"/>
    <w:rsid w:val="176E561B"/>
    <w:rsid w:val="17712A16"/>
    <w:rsid w:val="17747C62"/>
    <w:rsid w:val="1776002C"/>
    <w:rsid w:val="17780248"/>
    <w:rsid w:val="177C3200"/>
    <w:rsid w:val="177D585E"/>
    <w:rsid w:val="1780534F"/>
    <w:rsid w:val="178070FD"/>
    <w:rsid w:val="1790791E"/>
    <w:rsid w:val="17941E6B"/>
    <w:rsid w:val="17944956"/>
    <w:rsid w:val="179739AD"/>
    <w:rsid w:val="17982698"/>
    <w:rsid w:val="17991F6C"/>
    <w:rsid w:val="179F672D"/>
    <w:rsid w:val="17A032FB"/>
    <w:rsid w:val="17AA23CB"/>
    <w:rsid w:val="17B22B7E"/>
    <w:rsid w:val="17B46DA6"/>
    <w:rsid w:val="17B648CC"/>
    <w:rsid w:val="17B72ABC"/>
    <w:rsid w:val="17B81C9F"/>
    <w:rsid w:val="17B86896"/>
    <w:rsid w:val="17B964B2"/>
    <w:rsid w:val="17BA0860"/>
    <w:rsid w:val="17BD20FF"/>
    <w:rsid w:val="17C05554"/>
    <w:rsid w:val="17C0747B"/>
    <w:rsid w:val="17C14A18"/>
    <w:rsid w:val="17C227BF"/>
    <w:rsid w:val="17C50FB3"/>
    <w:rsid w:val="17C72933"/>
    <w:rsid w:val="17C948F1"/>
    <w:rsid w:val="17CC719A"/>
    <w:rsid w:val="17CE0157"/>
    <w:rsid w:val="17D12FCB"/>
    <w:rsid w:val="17D20156"/>
    <w:rsid w:val="17D4523C"/>
    <w:rsid w:val="17D664B0"/>
    <w:rsid w:val="17DB2585"/>
    <w:rsid w:val="17DF301F"/>
    <w:rsid w:val="17E56F60"/>
    <w:rsid w:val="17E7542C"/>
    <w:rsid w:val="17EA382E"/>
    <w:rsid w:val="17EF174E"/>
    <w:rsid w:val="17F13302"/>
    <w:rsid w:val="17F17FFA"/>
    <w:rsid w:val="17F265DA"/>
    <w:rsid w:val="17F26FC4"/>
    <w:rsid w:val="17F3167D"/>
    <w:rsid w:val="17F50DCB"/>
    <w:rsid w:val="17F661F2"/>
    <w:rsid w:val="17F81389"/>
    <w:rsid w:val="17FA4C91"/>
    <w:rsid w:val="17FE5302"/>
    <w:rsid w:val="18024F65"/>
    <w:rsid w:val="18027F69"/>
    <w:rsid w:val="18066A2A"/>
    <w:rsid w:val="18087652"/>
    <w:rsid w:val="180B6483"/>
    <w:rsid w:val="180E1C73"/>
    <w:rsid w:val="180E6167"/>
    <w:rsid w:val="18144453"/>
    <w:rsid w:val="18167A61"/>
    <w:rsid w:val="181B6215"/>
    <w:rsid w:val="181B6E25"/>
    <w:rsid w:val="181D142A"/>
    <w:rsid w:val="181D494B"/>
    <w:rsid w:val="181E2472"/>
    <w:rsid w:val="18244C82"/>
    <w:rsid w:val="1826340C"/>
    <w:rsid w:val="18264490"/>
    <w:rsid w:val="182A082D"/>
    <w:rsid w:val="182C4B8E"/>
    <w:rsid w:val="182E6B2B"/>
    <w:rsid w:val="18300B23"/>
    <w:rsid w:val="183121A5"/>
    <w:rsid w:val="18335F1D"/>
    <w:rsid w:val="1835086D"/>
    <w:rsid w:val="18354AFC"/>
    <w:rsid w:val="18356139"/>
    <w:rsid w:val="18363C5F"/>
    <w:rsid w:val="18380FE6"/>
    <w:rsid w:val="18427B70"/>
    <w:rsid w:val="184334E9"/>
    <w:rsid w:val="18493BBE"/>
    <w:rsid w:val="184B770B"/>
    <w:rsid w:val="184E09BE"/>
    <w:rsid w:val="18502F73"/>
    <w:rsid w:val="18544ABD"/>
    <w:rsid w:val="18550589"/>
    <w:rsid w:val="18574301"/>
    <w:rsid w:val="185A794E"/>
    <w:rsid w:val="185F4F64"/>
    <w:rsid w:val="18610CDC"/>
    <w:rsid w:val="18624A54"/>
    <w:rsid w:val="18626802"/>
    <w:rsid w:val="186277BB"/>
    <w:rsid w:val="18636AEA"/>
    <w:rsid w:val="186457ED"/>
    <w:rsid w:val="186802BC"/>
    <w:rsid w:val="18683E8A"/>
    <w:rsid w:val="1869193F"/>
    <w:rsid w:val="186A76B2"/>
    <w:rsid w:val="18730A0F"/>
    <w:rsid w:val="187B5D13"/>
    <w:rsid w:val="187C6075"/>
    <w:rsid w:val="187F5606"/>
    <w:rsid w:val="18891FE1"/>
    <w:rsid w:val="18892E95"/>
    <w:rsid w:val="18893D8F"/>
    <w:rsid w:val="188A0C7B"/>
    <w:rsid w:val="188D7D23"/>
    <w:rsid w:val="188E58CE"/>
    <w:rsid w:val="1890511D"/>
    <w:rsid w:val="18925339"/>
    <w:rsid w:val="18932E60"/>
    <w:rsid w:val="18934C0E"/>
    <w:rsid w:val="18952734"/>
    <w:rsid w:val="18953CCD"/>
    <w:rsid w:val="18972950"/>
    <w:rsid w:val="18973BD3"/>
    <w:rsid w:val="189F1804"/>
    <w:rsid w:val="18A63096"/>
    <w:rsid w:val="18AC2D47"/>
    <w:rsid w:val="18AC6F71"/>
    <w:rsid w:val="18AD2173"/>
    <w:rsid w:val="18AE30EB"/>
    <w:rsid w:val="18AE37F5"/>
    <w:rsid w:val="18B232E6"/>
    <w:rsid w:val="18B31792"/>
    <w:rsid w:val="18B74DA0"/>
    <w:rsid w:val="18B82CA7"/>
    <w:rsid w:val="18BD744B"/>
    <w:rsid w:val="18BF235D"/>
    <w:rsid w:val="18C748B7"/>
    <w:rsid w:val="18C8736D"/>
    <w:rsid w:val="18C91CAC"/>
    <w:rsid w:val="18C91E74"/>
    <w:rsid w:val="18C94AD3"/>
    <w:rsid w:val="18CE2AA5"/>
    <w:rsid w:val="18CE3E98"/>
    <w:rsid w:val="18D07C10"/>
    <w:rsid w:val="18DD5F91"/>
    <w:rsid w:val="18DE232D"/>
    <w:rsid w:val="18DF60A5"/>
    <w:rsid w:val="18E476DF"/>
    <w:rsid w:val="18EB2C9C"/>
    <w:rsid w:val="18EB7FC4"/>
    <w:rsid w:val="18EE0096"/>
    <w:rsid w:val="18EE5C7F"/>
    <w:rsid w:val="18FF22A3"/>
    <w:rsid w:val="19045B0B"/>
    <w:rsid w:val="19055F8F"/>
    <w:rsid w:val="19080C81"/>
    <w:rsid w:val="190D44B0"/>
    <w:rsid w:val="1910625E"/>
    <w:rsid w:val="19121FD6"/>
    <w:rsid w:val="19134F44"/>
    <w:rsid w:val="19141836"/>
    <w:rsid w:val="1917555D"/>
    <w:rsid w:val="191775ED"/>
    <w:rsid w:val="19192588"/>
    <w:rsid w:val="191A5124"/>
    <w:rsid w:val="191C2E5F"/>
    <w:rsid w:val="191D1A17"/>
    <w:rsid w:val="191D7F9E"/>
    <w:rsid w:val="191E097B"/>
    <w:rsid w:val="191E2600"/>
    <w:rsid w:val="191E4E1F"/>
    <w:rsid w:val="191E6BCD"/>
    <w:rsid w:val="19237331"/>
    <w:rsid w:val="192465AB"/>
    <w:rsid w:val="19252920"/>
    <w:rsid w:val="192835A8"/>
    <w:rsid w:val="192A64E1"/>
    <w:rsid w:val="192D0BBE"/>
    <w:rsid w:val="192D5062"/>
    <w:rsid w:val="192F0DDA"/>
    <w:rsid w:val="19313A0D"/>
    <w:rsid w:val="193208CA"/>
    <w:rsid w:val="19345931"/>
    <w:rsid w:val="19382892"/>
    <w:rsid w:val="1938516E"/>
    <w:rsid w:val="193B5E3E"/>
    <w:rsid w:val="193D197C"/>
    <w:rsid w:val="1941466A"/>
    <w:rsid w:val="19457793"/>
    <w:rsid w:val="194C455B"/>
    <w:rsid w:val="194D74B2"/>
    <w:rsid w:val="194F691E"/>
    <w:rsid w:val="19530656"/>
    <w:rsid w:val="195425EF"/>
    <w:rsid w:val="195473CA"/>
    <w:rsid w:val="19573E8D"/>
    <w:rsid w:val="19575C3B"/>
    <w:rsid w:val="195857EF"/>
    <w:rsid w:val="195B397D"/>
    <w:rsid w:val="195C76F5"/>
    <w:rsid w:val="195E3EAE"/>
    <w:rsid w:val="19600F94"/>
    <w:rsid w:val="19614D0C"/>
    <w:rsid w:val="19616F21"/>
    <w:rsid w:val="196813EC"/>
    <w:rsid w:val="196825DE"/>
    <w:rsid w:val="19696A3B"/>
    <w:rsid w:val="196B16E7"/>
    <w:rsid w:val="197310D0"/>
    <w:rsid w:val="19752A5B"/>
    <w:rsid w:val="19756167"/>
    <w:rsid w:val="197607B7"/>
    <w:rsid w:val="197762DD"/>
    <w:rsid w:val="19780EE1"/>
    <w:rsid w:val="19792055"/>
    <w:rsid w:val="197F3266"/>
    <w:rsid w:val="1981143D"/>
    <w:rsid w:val="1981715C"/>
    <w:rsid w:val="19834C82"/>
    <w:rsid w:val="19877AEF"/>
    <w:rsid w:val="198D78AF"/>
    <w:rsid w:val="19902E8B"/>
    <w:rsid w:val="199155F1"/>
    <w:rsid w:val="1993123A"/>
    <w:rsid w:val="1995735D"/>
    <w:rsid w:val="19961956"/>
    <w:rsid w:val="199926F8"/>
    <w:rsid w:val="19993659"/>
    <w:rsid w:val="199D36E6"/>
    <w:rsid w:val="199D3F96"/>
    <w:rsid w:val="199E0845"/>
    <w:rsid w:val="19A141A5"/>
    <w:rsid w:val="19A215AC"/>
    <w:rsid w:val="19A3205B"/>
    <w:rsid w:val="19A3496B"/>
    <w:rsid w:val="19A370D2"/>
    <w:rsid w:val="19AE61A3"/>
    <w:rsid w:val="19B1359D"/>
    <w:rsid w:val="19B244AD"/>
    <w:rsid w:val="19B37E82"/>
    <w:rsid w:val="19B47531"/>
    <w:rsid w:val="19B72B7E"/>
    <w:rsid w:val="19B94CAF"/>
    <w:rsid w:val="19B97B35"/>
    <w:rsid w:val="19BB79AC"/>
    <w:rsid w:val="19BC5B46"/>
    <w:rsid w:val="19BD31DA"/>
    <w:rsid w:val="19BE215E"/>
    <w:rsid w:val="19C21C4E"/>
    <w:rsid w:val="19C50978"/>
    <w:rsid w:val="19C544CF"/>
    <w:rsid w:val="19C61B17"/>
    <w:rsid w:val="19D35C0A"/>
    <w:rsid w:val="19D379B8"/>
    <w:rsid w:val="19D572A1"/>
    <w:rsid w:val="19D63004"/>
    <w:rsid w:val="19D90D46"/>
    <w:rsid w:val="19DB2D10"/>
    <w:rsid w:val="19DC3AAE"/>
    <w:rsid w:val="19DE18DB"/>
    <w:rsid w:val="19DE5F7A"/>
    <w:rsid w:val="19DF151F"/>
    <w:rsid w:val="19E10B5E"/>
    <w:rsid w:val="19E16A10"/>
    <w:rsid w:val="19E902F7"/>
    <w:rsid w:val="19EC6CCB"/>
    <w:rsid w:val="19ED5BDC"/>
    <w:rsid w:val="19EF056A"/>
    <w:rsid w:val="19F0407C"/>
    <w:rsid w:val="19F618F8"/>
    <w:rsid w:val="19F8127B"/>
    <w:rsid w:val="19F910D8"/>
    <w:rsid w:val="19FB6F0E"/>
    <w:rsid w:val="19FE2F92"/>
    <w:rsid w:val="1A033DE1"/>
    <w:rsid w:val="1A0538E9"/>
    <w:rsid w:val="1A0C111B"/>
    <w:rsid w:val="1A0D61F5"/>
    <w:rsid w:val="1A11457C"/>
    <w:rsid w:val="1A1A55E6"/>
    <w:rsid w:val="1A1B135F"/>
    <w:rsid w:val="1A1B310D"/>
    <w:rsid w:val="1A1E3DB4"/>
    <w:rsid w:val="1A1E5CE3"/>
    <w:rsid w:val="1A2024D1"/>
    <w:rsid w:val="1A205D8D"/>
    <w:rsid w:val="1A257C3A"/>
    <w:rsid w:val="1A271AB1"/>
    <w:rsid w:val="1A2C531A"/>
    <w:rsid w:val="1A2F312E"/>
    <w:rsid w:val="1A332204"/>
    <w:rsid w:val="1A380A27"/>
    <w:rsid w:val="1A3A7A37"/>
    <w:rsid w:val="1A3D643F"/>
    <w:rsid w:val="1A3D7492"/>
    <w:rsid w:val="1A3F329F"/>
    <w:rsid w:val="1A404921"/>
    <w:rsid w:val="1A405C97"/>
    <w:rsid w:val="1A4C32C6"/>
    <w:rsid w:val="1A4C776A"/>
    <w:rsid w:val="1A4F0D0E"/>
    <w:rsid w:val="1A510EDF"/>
    <w:rsid w:val="1A530AF8"/>
    <w:rsid w:val="1A545102"/>
    <w:rsid w:val="1A546D31"/>
    <w:rsid w:val="1A5A3649"/>
    <w:rsid w:val="1A5D54D3"/>
    <w:rsid w:val="1A5F56EF"/>
    <w:rsid w:val="1A642D06"/>
    <w:rsid w:val="1A66082C"/>
    <w:rsid w:val="1A6A7BF0"/>
    <w:rsid w:val="1A6B4094"/>
    <w:rsid w:val="1A6E5932"/>
    <w:rsid w:val="1A7016AA"/>
    <w:rsid w:val="1A725422"/>
    <w:rsid w:val="1A736EBF"/>
    <w:rsid w:val="1A770ECC"/>
    <w:rsid w:val="1A7A42D7"/>
    <w:rsid w:val="1A7A6085"/>
    <w:rsid w:val="1A7B4AAD"/>
    <w:rsid w:val="1A7F18ED"/>
    <w:rsid w:val="1A7F1CED"/>
    <w:rsid w:val="1A815D2D"/>
    <w:rsid w:val="1A8213DE"/>
    <w:rsid w:val="1A82318C"/>
    <w:rsid w:val="1A840CB2"/>
    <w:rsid w:val="1A882AFB"/>
    <w:rsid w:val="1A8A5FE5"/>
    <w:rsid w:val="1A8B0292"/>
    <w:rsid w:val="1A8F4218"/>
    <w:rsid w:val="1A955654"/>
    <w:rsid w:val="1A9609E5"/>
    <w:rsid w:val="1A9A0036"/>
    <w:rsid w:val="1A9A68F5"/>
    <w:rsid w:val="1A9F0A62"/>
    <w:rsid w:val="1AA03612"/>
    <w:rsid w:val="1AA204E8"/>
    <w:rsid w:val="1AA650CC"/>
    <w:rsid w:val="1AA80E44"/>
    <w:rsid w:val="1AA90718"/>
    <w:rsid w:val="1AA9696A"/>
    <w:rsid w:val="1AAB26E2"/>
    <w:rsid w:val="1AAB623F"/>
    <w:rsid w:val="1AB0225C"/>
    <w:rsid w:val="1AB07CF9"/>
    <w:rsid w:val="1AB53561"/>
    <w:rsid w:val="1AB76AAD"/>
    <w:rsid w:val="1ABB1346"/>
    <w:rsid w:val="1AC11F06"/>
    <w:rsid w:val="1AC35C7E"/>
    <w:rsid w:val="1AC41FC9"/>
    <w:rsid w:val="1ACC4407"/>
    <w:rsid w:val="1ACD6814"/>
    <w:rsid w:val="1ACE28E7"/>
    <w:rsid w:val="1ACE63D1"/>
    <w:rsid w:val="1AD27C6F"/>
    <w:rsid w:val="1AD35795"/>
    <w:rsid w:val="1AD43080"/>
    <w:rsid w:val="1AD516DC"/>
    <w:rsid w:val="1AD55133"/>
    <w:rsid w:val="1AD5775F"/>
    <w:rsid w:val="1AD87250"/>
    <w:rsid w:val="1ADD6F59"/>
    <w:rsid w:val="1ADF238C"/>
    <w:rsid w:val="1AE001AD"/>
    <w:rsid w:val="1AE259D8"/>
    <w:rsid w:val="1AE57390"/>
    <w:rsid w:val="1AEB3784"/>
    <w:rsid w:val="1AED268F"/>
    <w:rsid w:val="1AF000F5"/>
    <w:rsid w:val="1AF4365D"/>
    <w:rsid w:val="1AF51A1D"/>
    <w:rsid w:val="1AF5395E"/>
    <w:rsid w:val="1AF84F09"/>
    <w:rsid w:val="1AFA7B99"/>
    <w:rsid w:val="1AFF5D54"/>
    <w:rsid w:val="1B014ABE"/>
    <w:rsid w:val="1B03607B"/>
    <w:rsid w:val="1B045F93"/>
    <w:rsid w:val="1B0B621A"/>
    <w:rsid w:val="1B0C6C17"/>
    <w:rsid w:val="1B0D0CA7"/>
    <w:rsid w:val="1B0E7584"/>
    <w:rsid w:val="1B116090"/>
    <w:rsid w:val="1B1437C1"/>
    <w:rsid w:val="1B155DAE"/>
    <w:rsid w:val="1B1B0227"/>
    <w:rsid w:val="1B1C713C"/>
    <w:rsid w:val="1B1D5AC2"/>
    <w:rsid w:val="1B1E1106"/>
    <w:rsid w:val="1B212358"/>
    <w:rsid w:val="1B216501"/>
    <w:rsid w:val="1B221E9E"/>
    <w:rsid w:val="1B2424F0"/>
    <w:rsid w:val="1B282341"/>
    <w:rsid w:val="1B2B737F"/>
    <w:rsid w:val="1B2C0B11"/>
    <w:rsid w:val="1B2C7D7E"/>
    <w:rsid w:val="1B323548"/>
    <w:rsid w:val="1B342B96"/>
    <w:rsid w:val="1B357992"/>
    <w:rsid w:val="1B373F76"/>
    <w:rsid w:val="1B3B1CB8"/>
    <w:rsid w:val="1B3F2E2B"/>
    <w:rsid w:val="1B414DF5"/>
    <w:rsid w:val="1B417FDB"/>
    <w:rsid w:val="1B4264FF"/>
    <w:rsid w:val="1B4346C9"/>
    <w:rsid w:val="1B4474E1"/>
    <w:rsid w:val="1B46240B"/>
    <w:rsid w:val="1B4D19EC"/>
    <w:rsid w:val="1B505038"/>
    <w:rsid w:val="1B5468D6"/>
    <w:rsid w:val="1B556A54"/>
    <w:rsid w:val="1B5E3F05"/>
    <w:rsid w:val="1B5F527B"/>
    <w:rsid w:val="1B650AE3"/>
    <w:rsid w:val="1B670D90"/>
    <w:rsid w:val="1B677821"/>
    <w:rsid w:val="1B69543A"/>
    <w:rsid w:val="1B721452"/>
    <w:rsid w:val="1B741E25"/>
    <w:rsid w:val="1B755866"/>
    <w:rsid w:val="1B772AA5"/>
    <w:rsid w:val="1B7B0BAB"/>
    <w:rsid w:val="1B7B430B"/>
    <w:rsid w:val="1B7C05B7"/>
    <w:rsid w:val="1B7E3953"/>
    <w:rsid w:val="1B801268"/>
    <w:rsid w:val="1B8076CB"/>
    <w:rsid w:val="1B843392"/>
    <w:rsid w:val="1B8927C2"/>
    <w:rsid w:val="1B8A054A"/>
    <w:rsid w:val="1B8A679C"/>
    <w:rsid w:val="1B8F790E"/>
    <w:rsid w:val="1B91111F"/>
    <w:rsid w:val="1B917B2A"/>
    <w:rsid w:val="1B925650"/>
    <w:rsid w:val="1B9430AA"/>
    <w:rsid w:val="1B972C67"/>
    <w:rsid w:val="1B974A15"/>
    <w:rsid w:val="1B99078D"/>
    <w:rsid w:val="1B9B2757"/>
    <w:rsid w:val="1B9E6579"/>
    <w:rsid w:val="1BA77269"/>
    <w:rsid w:val="1BAB226E"/>
    <w:rsid w:val="1BAC167D"/>
    <w:rsid w:val="1BB158AD"/>
    <w:rsid w:val="1BB6579E"/>
    <w:rsid w:val="1BB92BDD"/>
    <w:rsid w:val="1BB9498B"/>
    <w:rsid w:val="1BBC26CD"/>
    <w:rsid w:val="1BC03F6C"/>
    <w:rsid w:val="1BC14165"/>
    <w:rsid w:val="1BC41121"/>
    <w:rsid w:val="1BC53330"/>
    <w:rsid w:val="1BC86BBE"/>
    <w:rsid w:val="1BC872C4"/>
    <w:rsid w:val="1BCA6B98"/>
    <w:rsid w:val="1BCE4B75"/>
    <w:rsid w:val="1BD043A9"/>
    <w:rsid w:val="1BD41DDD"/>
    <w:rsid w:val="1BD45C69"/>
    <w:rsid w:val="1BD67990"/>
    <w:rsid w:val="1BD73063"/>
    <w:rsid w:val="1BD91B5A"/>
    <w:rsid w:val="1BD9502D"/>
    <w:rsid w:val="1BDA688A"/>
    <w:rsid w:val="1BDB138D"/>
    <w:rsid w:val="1BDB1F5B"/>
    <w:rsid w:val="1BDD4B1E"/>
    <w:rsid w:val="1BDF5CE8"/>
    <w:rsid w:val="1BE37C5A"/>
    <w:rsid w:val="1BE51C24"/>
    <w:rsid w:val="1BE7370A"/>
    <w:rsid w:val="1BE7774A"/>
    <w:rsid w:val="1BE834C2"/>
    <w:rsid w:val="1BE91714"/>
    <w:rsid w:val="1BEC2FB3"/>
    <w:rsid w:val="1BED0AD9"/>
    <w:rsid w:val="1BEE1DE7"/>
    <w:rsid w:val="1BEF2AA3"/>
    <w:rsid w:val="1BEF3BB1"/>
    <w:rsid w:val="1BF06CD1"/>
    <w:rsid w:val="1BF260EF"/>
    <w:rsid w:val="1BF50E83"/>
    <w:rsid w:val="1BF81957"/>
    <w:rsid w:val="1BF91C24"/>
    <w:rsid w:val="1BFF0CFB"/>
    <w:rsid w:val="1C091BBA"/>
    <w:rsid w:val="1C151C98"/>
    <w:rsid w:val="1C161DDD"/>
    <w:rsid w:val="1C185B56"/>
    <w:rsid w:val="1C204A0A"/>
    <w:rsid w:val="1C220782"/>
    <w:rsid w:val="1C24274C"/>
    <w:rsid w:val="1C250273"/>
    <w:rsid w:val="1C252021"/>
    <w:rsid w:val="1C2A3ADB"/>
    <w:rsid w:val="1C2C7853"/>
    <w:rsid w:val="1C3A1F70"/>
    <w:rsid w:val="1C3B5CE8"/>
    <w:rsid w:val="1C404D4C"/>
    <w:rsid w:val="1C4050AC"/>
    <w:rsid w:val="1C420E24"/>
    <w:rsid w:val="1C43089F"/>
    <w:rsid w:val="1C4526C3"/>
    <w:rsid w:val="1C4701E9"/>
    <w:rsid w:val="1C485D0F"/>
    <w:rsid w:val="1C4E0B38"/>
    <w:rsid w:val="1C4F3541"/>
    <w:rsid w:val="1C556DAA"/>
    <w:rsid w:val="1C5618DF"/>
    <w:rsid w:val="1C5824A9"/>
    <w:rsid w:val="1C5A1971"/>
    <w:rsid w:val="1C6012AB"/>
    <w:rsid w:val="1C603326"/>
    <w:rsid w:val="1C624730"/>
    <w:rsid w:val="1C64440A"/>
    <w:rsid w:val="1C654B13"/>
    <w:rsid w:val="1C66287A"/>
    <w:rsid w:val="1C69015F"/>
    <w:rsid w:val="1C6A2129"/>
    <w:rsid w:val="1C6E39C8"/>
    <w:rsid w:val="1C7560A0"/>
    <w:rsid w:val="1C7A627F"/>
    <w:rsid w:val="1C7B60E4"/>
    <w:rsid w:val="1C7C30D0"/>
    <w:rsid w:val="1C7D1E5D"/>
    <w:rsid w:val="1C8256C5"/>
    <w:rsid w:val="1C8431EB"/>
    <w:rsid w:val="1C857FF6"/>
    <w:rsid w:val="1C881008"/>
    <w:rsid w:val="1C8834C4"/>
    <w:rsid w:val="1C9571A6"/>
    <w:rsid w:val="1C962F1E"/>
    <w:rsid w:val="1C980A44"/>
    <w:rsid w:val="1C990C93"/>
    <w:rsid w:val="1C9A47BD"/>
    <w:rsid w:val="1C9D42AD"/>
    <w:rsid w:val="1C9F1954"/>
    <w:rsid w:val="1C9F202D"/>
    <w:rsid w:val="1C9F7B87"/>
    <w:rsid w:val="1CA37410"/>
    <w:rsid w:val="1CA41682"/>
    <w:rsid w:val="1CAC1EB3"/>
    <w:rsid w:val="1CAC629E"/>
    <w:rsid w:val="1CAE2016"/>
    <w:rsid w:val="1CAF7D92"/>
    <w:rsid w:val="1CB02929"/>
    <w:rsid w:val="1CB300A0"/>
    <w:rsid w:val="1CB735C0"/>
    <w:rsid w:val="1CB76446"/>
    <w:rsid w:val="1CB97E31"/>
    <w:rsid w:val="1CBA1E81"/>
    <w:rsid w:val="1CBB26A3"/>
    <w:rsid w:val="1CC161ED"/>
    <w:rsid w:val="1CC30AE4"/>
    <w:rsid w:val="1CC4027F"/>
    <w:rsid w:val="1CC52EAF"/>
    <w:rsid w:val="1CC63804"/>
    <w:rsid w:val="1CD13F56"/>
    <w:rsid w:val="1CD23CA0"/>
    <w:rsid w:val="1CD51C99"/>
    <w:rsid w:val="1CD6156D"/>
    <w:rsid w:val="1CD81789"/>
    <w:rsid w:val="1CDA365B"/>
    <w:rsid w:val="1CDC0F50"/>
    <w:rsid w:val="1CDD6D9F"/>
    <w:rsid w:val="1CDF3B0E"/>
    <w:rsid w:val="1CE04199"/>
    <w:rsid w:val="1CE343B6"/>
    <w:rsid w:val="1CE3451B"/>
    <w:rsid w:val="1CE76C97"/>
    <w:rsid w:val="1CEB5018"/>
    <w:rsid w:val="1CED60A0"/>
    <w:rsid w:val="1CEF74C6"/>
    <w:rsid w:val="1CF00880"/>
    <w:rsid w:val="1CF354CB"/>
    <w:rsid w:val="1CF71C0F"/>
    <w:rsid w:val="1CFA16FF"/>
    <w:rsid w:val="1CFC21E3"/>
    <w:rsid w:val="1CFC5477"/>
    <w:rsid w:val="1CFD7FD7"/>
    <w:rsid w:val="1D047E88"/>
    <w:rsid w:val="1D077978"/>
    <w:rsid w:val="1D09303E"/>
    <w:rsid w:val="1D0D46B3"/>
    <w:rsid w:val="1D0E0D07"/>
    <w:rsid w:val="1D0E51AB"/>
    <w:rsid w:val="1D126A49"/>
    <w:rsid w:val="1D1560FE"/>
    <w:rsid w:val="1D1849F2"/>
    <w:rsid w:val="1D1C3A6C"/>
    <w:rsid w:val="1D230C56"/>
    <w:rsid w:val="1D247EFE"/>
    <w:rsid w:val="1D28626C"/>
    <w:rsid w:val="1D317B3D"/>
    <w:rsid w:val="1D3201F7"/>
    <w:rsid w:val="1D362733"/>
    <w:rsid w:val="1D366B78"/>
    <w:rsid w:val="1D3A70D8"/>
    <w:rsid w:val="1D412E8A"/>
    <w:rsid w:val="1D46179F"/>
    <w:rsid w:val="1D464944"/>
    <w:rsid w:val="1D4B3D09"/>
    <w:rsid w:val="1D4D7A81"/>
    <w:rsid w:val="1D50470D"/>
    <w:rsid w:val="1D540E0F"/>
    <w:rsid w:val="1D556936"/>
    <w:rsid w:val="1D5726AE"/>
    <w:rsid w:val="1D5D48F4"/>
    <w:rsid w:val="1D5D7E30"/>
    <w:rsid w:val="1D5F0955"/>
    <w:rsid w:val="1D640059"/>
    <w:rsid w:val="1D6476E9"/>
    <w:rsid w:val="1D691F29"/>
    <w:rsid w:val="1D6A254F"/>
    <w:rsid w:val="1D6B43AB"/>
    <w:rsid w:val="1D6E40DF"/>
    <w:rsid w:val="1D70376F"/>
    <w:rsid w:val="1D707EA3"/>
    <w:rsid w:val="1D772D50"/>
    <w:rsid w:val="1D7E13B7"/>
    <w:rsid w:val="1D807281"/>
    <w:rsid w:val="1D824F52"/>
    <w:rsid w:val="1D833476"/>
    <w:rsid w:val="1D87315D"/>
    <w:rsid w:val="1D880AB9"/>
    <w:rsid w:val="1D8965DF"/>
    <w:rsid w:val="1D8C7870"/>
    <w:rsid w:val="1D8D32B3"/>
    <w:rsid w:val="1D8F1DC9"/>
    <w:rsid w:val="1D927B8A"/>
    <w:rsid w:val="1D951428"/>
    <w:rsid w:val="1D9A07EC"/>
    <w:rsid w:val="1D9B6A3E"/>
    <w:rsid w:val="1D9C0C57"/>
    <w:rsid w:val="1DA022A7"/>
    <w:rsid w:val="1DA04055"/>
    <w:rsid w:val="1DA344B8"/>
    <w:rsid w:val="1DA36E00"/>
    <w:rsid w:val="1DA5259A"/>
    <w:rsid w:val="1DA84CB7"/>
    <w:rsid w:val="1DB00010"/>
    <w:rsid w:val="1DB16262"/>
    <w:rsid w:val="1DB4365C"/>
    <w:rsid w:val="1DB96EC4"/>
    <w:rsid w:val="1DBC4C07"/>
    <w:rsid w:val="1DBF0627"/>
    <w:rsid w:val="1DC24BDC"/>
    <w:rsid w:val="1DC33AA2"/>
    <w:rsid w:val="1DC44F32"/>
    <w:rsid w:val="1DC468FB"/>
    <w:rsid w:val="1DC5602F"/>
    <w:rsid w:val="1DC6338F"/>
    <w:rsid w:val="1DC81622"/>
    <w:rsid w:val="1DC84414"/>
    <w:rsid w:val="1DD22A1F"/>
    <w:rsid w:val="1DD2442A"/>
    <w:rsid w:val="1DD64874"/>
    <w:rsid w:val="1DD85D04"/>
    <w:rsid w:val="1DD957B9"/>
    <w:rsid w:val="1DDA6E3B"/>
    <w:rsid w:val="1DDB1D29"/>
    <w:rsid w:val="1DDB7295"/>
    <w:rsid w:val="1DDE4AA5"/>
    <w:rsid w:val="1DE972FF"/>
    <w:rsid w:val="1DEB30B8"/>
    <w:rsid w:val="1DED4DC0"/>
    <w:rsid w:val="1DEF6D8A"/>
    <w:rsid w:val="1DF0208C"/>
    <w:rsid w:val="1DF13F4F"/>
    <w:rsid w:val="1DF446DA"/>
    <w:rsid w:val="1DFB572F"/>
    <w:rsid w:val="1E007B0D"/>
    <w:rsid w:val="1E030F35"/>
    <w:rsid w:val="1E075E82"/>
    <w:rsid w:val="1E0A3BC4"/>
    <w:rsid w:val="1E0F74D8"/>
    <w:rsid w:val="1E110FD6"/>
    <w:rsid w:val="1E19488F"/>
    <w:rsid w:val="1E1C5081"/>
    <w:rsid w:val="1E1E31CB"/>
    <w:rsid w:val="1E2D4A07"/>
    <w:rsid w:val="1E340C41"/>
    <w:rsid w:val="1E37603B"/>
    <w:rsid w:val="1E3824DF"/>
    <w:rsid w:val="1E3A44F0"/>
    <w:rsid w:val="1E3D5D47"/>
    <w:rsid w:val="1E3E2B08"/>
    <w:rsid w:val="1E3F273C"/>
    <w:rsid w:val="1E432C32"/>
    <w:rsid w:val="1E4833B2"/>
    <w:rsid w:val="1E4914A3"/>
    <w:rsid w:val="1E4916E0"/>
    <w:rsid w:val="1E4C7D38"/>
    <w:rsid w:val="1E51006A"/>
    <w:rsid w:val="1E51534F"/>
    <w:rsid w:val="1E5170FD"/>
    <w:rsid w:val="1E56548E"/>
    <w:rsid w:val="1E566E09"/>
    <w:rsid w:val="1E5B7F7C"/>
    <w:rsid w:val="1E5D3CF4"/>
    <w:rsid w:val="1E5E01A3"/>
    <w:rsid w:val="1E636E30"/>
    <w:rsid w:val="1E682698"/>
    <w:rsid w:val="1E751E58"/>
    <w:rsid w:val="1E76021D"/>
    <w:rsid w:val="1E763007"/>
    <w:rsid w:val="1E7A6715"/>
    <w:rsid w:val="1E7D6A7A"/>
    <w:rsid w:val="1E8079E2"/>
    <w:rsid w:val="1E810889"/>
    <w:rsid w:val="1E851F92"/>
    <w:rsid w:val="1E8632EE"/>
    <w:rsid w:val="1E875215"/>
    <w:rsid w:val="1E8C45D9"/>
    <w:rsid w:val="1E8C6387"/>
    <w:rsid w:val="1E8D076B"/>
    <w:rsid w:val="1E8F5E77"/>
    <w:rsid w:val="1E937715"/>
    <w:rsid w:val="1E941C0E"/>
    <w:rsid w:val="1E944404"/>
    <w:rsid w:val="1E951303"/>
    <w:rsid w:val="1E957931"/>
    <w:rsid w:val="1E965458"/>
    <w:rsid w:val="1E9F430C"/>
    <w:rsid w:val="1EA31ED1"/>
    <w:rsid w:val="1EA443A6"/>
    <w:rsid w:val="1EAA2CB1"/>
    <w:rsid w:val="1EAA4A5F"/>
    <w:rsid w:val="1EAE5386"/>
    <w:rsid w:val="1EAE69F9"/>
    <w:rsid w:val="1EB1403F"/>
    <w:rsid w:val="1EB6153E"/>
    <w:rsid w:val="1EBF050A"/>
    <w:rsid w:val="1EBF4546"/>
    <w:rsid w:val="1EBF49AE"/>
    <w:rsid w:val="1EC5130A"/>
    <w:rsid w:val="1ECE074D"/>
    <w:rsid w:val="1ED146E2"/>
    <w:rsid w:val="1ED25977"/>
    <w:rsid w:val="1ED41ADC"/>
    <w:rsid w:val="1ED664BA"/>
    <w:rsid w:val="1ED9143E"/>
    <w:rsid w:val="1EDA1B77"/>
    <w:rsid w:val="1EDA5344"/>
    <w:rsid w:val="1EDB10BC"/>
    <w:rsid w:val="1EDB779E"/>
    <w:rsid w:val="1EDC730E"/>
    <w:rsid w:val="1EDD3086"/>
    <w:rsid w:val="1EDD4E34"/>
    <w:rsid w:val="1EE00481"/>
    <w:rsid w:val="1EE14925"/>
    <w:rsid w:val="1EE402F0"/>
    <w:rsid w:val="1EE7180F"/>
    <w:rsid w:val="1EEB7551"/>
    <w:rsid w:val="1EEE0DF0"/>
    <w:rsid w:val="1EEE2B9E"/>
    <w:rsid w:val="1EEF1A82"/>
    <w:rsid w:val="1EEF2040"/>
    <w:rsid w:val="1EFA027C"/>
    <w:rsid w:val="1EFA3C4B"/>
    <w:rsid w:val="1EFA7794"/>
    <w:rsid w:val="1EFD54D7"/>
    <w:rsid w:val="1EFD7285"/>
    <w:rsid w:val="1EFF2FFD"/>
    <w:rsid w:val="1F066139"/>
    <w:rsid w:val="1F075D1B"/>
    <w:rsid w:val="1F0A4C02"/>
    <w:rsid w:val="1F0B3750"/>
    <w:rsid w:val="1F0C571A"/>
    <w:rsid w:val="1F0C74C8"/>
    <w:rsid w:val="1F120F82"/>
    <w:rsid w:val="1F130856"/>
    <w:rsid w:val="1F152820"/>
    <w:rsid w:val="1F1A1BE5"/>
    <w:rsid w:val="1F1A3993"/>
    <w:rsid w:val="1F1A7E37"/>
    <w:rsid w:val="1F1B770B"/>
    <w:rsid w:val="1F1C595D"/>
    <w:rsid w:val="1F1D3483"/>
    <w:rsid w:val="1F204D21"/>
    <w:rsid w:val="1F2512EC"/>
    <w:rsid w:val="1F26058A"/>
    <w:rsid w:val="1F276D6D"/>
    <w:rsid w:val="1F285593"/>
    <w:rsid w:val="1F38206B"/>
    <w:rsid w:val="1F3909A6"/>
    <w:rsid w:val="1F3D3B25"/>
    <w:rsid w:val="1F422183"/>
    <w:rsid w:val="1F45212D"/>
    <w:rsid w:val="1F47353F"/>
    <w:rsid w:val="1F4E188E"/>
    <w:rsid w:val="1F4F101A"/>
    <w:rsid w:val="1F5570C1"/>
    <w:rsid w:val="1F574BE7"/>
    <w:rsid w:val="1F5F556B"/>
    <w:rsid w:val="1F603ED3"/>
    <w:rsid w:val="1F620065"/>
    <w:rsid w:val="1F63410E"/>
    <w:rsid w:val="1F680BA2"/>
    <w:rsid w:val="1F685131"/>
    <w:rsid w:val="1F6F1A43"/>
    <w:rsid w:val="1F703EFB"/>
    <w:rsid w:val="1F720DC5"/>
    <w:rsid w:val="1F745799"/>
    <w:rsid w:val="1F794E23"/>
    <w:rsid w:val="1F7A6B27"/>
    <w:rsid w:val="1F7B7B2E"/>
    <w:rsid w:val="1F7E044C"/>
    <w:rsid w:val="1F8A2B30"/>
    <w:rsid w:val="1F8B2AE2"/>
    <w:rsid w:val="1F8C3E0D"/>
    <w:rsid w:val="1F901EA7"/>
    <w:rsid w:val="1F90634B"/>
    <w:rsid w:val="1F95570F"/>
    <w:rsid w:val="1F974FE3"/>
    <w:rsid w:val="1FA0658E"/>
    <w:rsid w:val="1FAA7EF8"/>
    <w:rsid w:val="1FAB284B"/>
    <w:rsid w:val="1FAE057F"/>
    <w:rsid w:val="1FAF5501"/>
    <w:rsid w:val="1FAF67D1"/>
    <w:rsid w:val="1FB07AC3"/>
    <w:rsid w:val="1FB81E2D"/>
    <w:rsid w:val="1FBA5A4B"/>
    <w:rsid w:val="1FBA6F24"/>
    <w:rsid w:val="1FBB21C0"/>
    <w:rsid w:val="1FBB6A79"/>
    <w:rsid w:val="1FBE6A14"/>
    <w:rsid w:val="1FBF0B48"/>
    <w:rsid w:val="1FBF36A9"/>
    <w:rsid w:val="1FC0007F"/>
    <w:rsid w:val="1FC00617"/>
    <w:rsid w:val="1FC03E53"/>
    <w:rsid w:val="1FC414DC"/>
    <w:rsid w:val="1FC57DA2"/>
    <w:rsid w:val="1FC87893"/>
    <w:rsid w:val="1FCA067F"/>
    <w:rsid w:val="1FCC2803"/>
    <w:rsid w:val="1FCF6E73"/>
    <w:rsid w:val="1FD47FE6"/>
    <w:rsid w:val="1FDE25A1"/>
    <w:rsid w:val="1FE2222E"/>
    <w:rsid w:val="1FE24AC6"/>
    <w:rsid w:val="1FE346CD"/>
    <w:rsid w:val="1FE43FA1"/>
    <w:rsid w:val="1FE745E4"/>
    <w:rsid w:val="1FEF4E1F"/>
    <w:rsid w:val="1FF42436"/>
    <w:rsid w:val="1FF57F5C"/>
    <w:rsid w:val="1FF70178"/>
    <w:rsid w:val="1FFC4879"/>
    <w:rsid w:val="1FFC578E"/>
    <w:rsid w:val="200143C1"/>
    <w:rsid w:val="20020FF7"/>
    <w:rsid w:val="20032679"/>
    <w:rsid w:val="200A54D4"/>
    <w:rsid w:val="200C39E0"/>
    <w:rsid w:val="200D799B"/>
    <w:rsid w:val="200F6F52"/>
    <w:rsid w:val="20110742"/>
    <w:rsid w:val="20142AD8"/>
    <w:rsid w:val="201A79C2"/>
    <w:rsid w:val="201E00C7"/>
    <w:rsid w:val="201E16E6"/>
    <w:rsid w:val="201E305A"/>
    <w:rsid w:val="20210D51"/>
    <w:rsid w:val="202251F5"/>
    <w:rsid w:val="20241274"/>
    <w:rsid w:val="20254CE5"/>
    <w:rsid w:val="202A5E57"/>
    <w:rsid w:val="202F7912"/>
    <w:rsid w:val="203211B0"/>
    <w:rsid w:val="20390790"/>
    <w:rsid w:val="203B0065"/>
    <w:rsid w:val="203C3DDD"/>
    <w:rsid w:val="203D4679"/>
    <w:rsid w:val="203D770B"/>
    <w:rsid w:val="20407429"/>
    <w:rsid w:val="20482782"/>
    <w:rsid w:val="204A7CD2"/>
    <w:rsid w:val="204B7C27"/>
    <w:rsid w:val="204D1B46"/>
    <w:rsid w:val="204F107E"/>
    <w:rsid w:val="204F1D62"/>
    <w:rsid w:val="20531852"/>
    <w:rsid w:val="20564772"/>
    <w:rsid w:val="20580C17"/>
    <w:rsid w:val="20586E69"/>
    <w:rsid w:val="205B0707"/>
    <w:rsid w:val="205D7C87"/>
    <w:rsid w:val="205E01F7"/>
    <w:rsid w:val="205E50FF"/>
    <w:rsid w:val="20653333"/>
    <w:rsid w:val="20784E15"/>
    <w:rsid w:val="207E1E45"/>
    <w:rsid w:val="2080016D"/>
    <w:rsid w:val="20803CC9"/>
    <w:rsid w:val="209168D5"/>
    <w:rsid w:val="209239FD"/>
    <w:rsid w:val="20971013"/>
    <w:rsid w:val="20982361"/>
    <w:rsid w:val="209A3254"/>
    <w:rsid w:val="209D487B"/>
    <w:rsid w:val="209E7FCE"/>
    <w:rsid w:val="20A50C14"/>
    <w:rsid w:val="20A756FA"/>
    <w:rsid w:val="20A83220"/>
    <w:rsid w:val="20A91472"/>
    <w:rsid w:val="20AE6A88"/>
    <w:rsid w:val="20AF2801"/>
    <w:rsid w:val="20B756C4"/>
    <w:rsid w:val="20BB2F53"/>
    <w:rsid w:val="20BD1259"/>
    <w:rsid w:val="20BD4225"/>
    <w:rsid w:val="20BF4361"/>
    <w:rsid w:val="20C20D80"/>
    <w:rsid w:val="20C91B14"/>
    <w:rsid w:val="20CE0ED9"/>
    <w:rsid w:val="20D44015"/>
    <w:rsid w:val="20D65FDF"/>
    <w:rsid w:val="20D77924"/>
    <w:rsid w:val="20DB35F6"/>
    <w:rsid w:val="20DB75CF"/>
    <w:rsid w:val="20E424AA"/>
    <w:rsid w:val="20E52C40"/>
    <w:rsid w:val="20E634F8"/>
    <w:rsid w:val="20E65881"/>
    <w:rsid w:val="20E81DD4"/>
    <w:rsid w:val="20EC5803"/>
    <w:rsid w:val="20ED20DF"/>
    <w:rsid w:val="20F052F3"/>
    <w:rsid w:val="20F326ED"/>
    <w:rsid w:val="20FB5A46"/>
    <w:rsid w:val="20FE67FB"/>
    <w:rsid w:val="20FF1092"/>
    <w:rsid w:val="210112AE"/>
    <w:rsid w:val="21020207"/>
    <w:rsid w:val="21025026"/>
    <w:rsid w:val="2105070B"/>
    <w:rsid w:val="210668C5"/>
    <w:rsid w:val="210743EB"/>
    <w:rsid w:val="21086CE7"/>
    <w:rsid w:val="210E39CB"/>
    <w:rsid w:val="210E677C"/>
    <w:rsid w:val="21123A4F"/>
    <w:rsid w:val="211C6108"/>
    <w:rsid w:val="211D59BC"/>
    <w:rsid w:val="211E048A"/>
    <w:rsid w:val="211E7E58"/>
    <w:rsid w:val="212925B3"/>
    <w:rsid w:val="212B00D9"/>
    <w:rsid w:val="21303941"/>
    <w:rsid w:val="21325FDD"/>
    <w:rsid w:val="213276BA"/>
    <w:rsid w:val="21333432"/>
    <w:rsid w:val="21352D06"/>
    <w:rsid w:val="21387EC4"/>
    <w:rsid w:val="213B3D2C"/>
    <w:rsid w:val="213B4094"/>
    <w:rsid w:val="213D1BBA"/>
    <w:rsid w:val="213D6E0B"/>
    <w:rsid w:val="213F1DD6"/>
    <w:rsid w:val="21415B4F"/>
    <w:rsid w:val="21464F13"/>
    <w:rsid w:val="214B40DB"/>
    <w:rsid w:val="215313DE"/>
    <w:rsid w:val="215557EB"/>
    <w:rsid w:val="215869F4"/>
    <w:rsid w:val="215B0293"/>
    <w:rsid w:val="215D7884"/>
    <w:rsid w:val="2165164A"/>
    <w:rsid w:val="21670FC9"/>
    <w:rsid w:val="21674E89"/>
    <w:rsid w:val="21697186"/>
    <w:rsid w:val="21703D3E"/>
    <w:rsid w:val="21731FC6"/>
    <w:rsid w:val="21744FAF"/>
    <w:rsid w:val="21823A71"/>
    <w:rsid w:val="21837856"/>
    <w:rsid w:val="21861804"/>
    <w:rsid w:val="218912A4"/>
    <w:rsid w:val="21892883"/>
    <w:rsid w:val="218B0B78"/>
    <w:rsid w:val="218D48F0"/>
    <w:rsid w:val="219519F6"/>
    <w:rsid w:val="219A0DBB"/>
    <w:rsid w:val="219B2D93"/>
    <w:rsid w:val="219B7B9C"/>
    <w:rsid w:val="219D4381"/>
    <w:rsid w:val="219F2875"/>
    <w:rsid w:val="21A460DD"/>
    <w:rsid w:val="21AD4F92"/>
    <w:rsid w:val="21B068A5"/>
    <w:rsid w:val="21B4189E"/>
    <w:rsid w:val="21B50629"/>
    <w:rsid w:val="21B74498"/>
    <w:rsid w:val="21B750CD"/>
    <w:rsid w:val="21BE791C"/>
    <w:rsid w:val="21BF0821"/>
    <w:rsid w:val="21C61BB0"/>
    <w:rsid w:val="21C83E17"/>
    <w:rsid w:val="21D02A2F"/>
    <w:rsid w:val="21D45042"/>
    <w:rsid w:val="21D9026F"/>
    <w:rsid w:val="21DC215E"/>
    <w:rsid w:val="21DD7294"/>
    <w:rsid w:val="21DE28C7"/>
    <w:rsid w:val="21E34627"/>
    <w:rsid w:val="21E35565"/>
    <w:rsid w:val="21E40288"/>
    <w:rsid w:val="21E44B37"/>
    <w:rsid w:val="21E45F5E"/>
    <w:rsid w:val="21E477EC"/>
    <w:rsid w:val="21E672AB"/>
    <w:rsid w:val="21E72F11"/>
    <w:rsid w:val="21ED5FBC"/>
    <w:rsid w:val="21EE07BA"/>
    <w:rsid w:val="21EF5706"/>
    <w:rsid w:val="21EF6CC3"/>
    <w:rsid w:val="21F1456A"/>
    <w:rsid w:val="21F42BC1"/>
    <w:rsid w:val="21FA7AAB"/>
    <w:rsid w:val="21FC3413"/>
    <w:rsid w:val="21FD3C75"/>
    <w:rsid w:val="21FF059B"/>
    <w:rsid w:val="21FF559A"/>
    <w:rsid w:val="2201740A"/>
    <w:rsid w:val="22032F8D"/>
    <w:rsid w:val="2208666C"/>
    <w:rsid w:val="220D3C83"/>
    <w:rsid w:val="220D5A31"/>
    <w:rsid w:val="220F1328"/>
    <w:rsid w:val="220F17A9"/>
    <w:rsid w:val="221021A7"/>
    <w:rsid w:val="2210613F"/>
    <w:rsid w:val="22160D89"/>
    <w:rsid w:val="22190BC7"/>
    <w:rsid w:val="2219492B"/>
    <w:rsid w:val="221E4CC8"/>
    <w:rsid w:val="221F7512"/>
    <w:rsid w:val="222263B6"/>
    <w:rsid w:val="222334A6"/>
    <w:rsid w:val="222608A0"/>
    <w:rsid w:val="22296994"/>
    <w:rsid w:val="222B46FB"/>
    <w:rsid w:val="2234679B"/>
    <w:rsid w:val="22347461"/>
    <w:rsid w:val="223B6DC1"/>
    <w:rsid w:val="22433E12"/>
    <w:rsid w:val="22453670"/>
    <w:rsid w:val="225278E7"/>
    <w:rsid w:val="22543660"/>
    <w:rsid w:val="22591FF1"/>
    <w:rsid w:val="22596EC8"/>
    <w:rsid w:val="225E6657"/>
    <w:rsid w:val="22617B2B"/>
    <w:rsid w:val="22633D03"/>
    <w:rsid w:val="2263736E"/>
    <w:rsid w:val="22654B18"/>
    <w:rsid w:val="22673393"/>
    <w:rsid w:val="2268710B"/>
    <w:rsid w:val="226A2E83"/>
    <w:rsid w:val="226D0917"/>
    <w:rsid w:val="227E06DD"/>
    <w:rsid w:val="2283045E"/>
    <w:rsid w:val="22843C29"/>
    <w:rsid w:val="22857CBD"/>
    <w:rsid w:val="22877591"/>
    <w:rsid w:val="22883309"/>
    <w:rsid w:val="228A05B9"/>
    <w:rsid w:val="228A7081"/>
    <w:rsid w:val="228E7026"/>
    <w:rsid w:val="228F4698"/>
    <w:rsid w:val="2290068D"/>
    <w:rsid w:val="229138A9"/>
    <w:rsid w:val="22965A26"/>
    <w:rsid w:val="229B303C"/>
    <w:rsid w:val="229C1B6E"/>
    <w:rsid w:val="229C685B"/>
    <w:rsid w:val="229E2B2D"/>
    <w:rsid w:val="22A04AF7"/>
    <w:rsid w:val="22A3088F"/>
    <w:rsid w:val="22AB3233"/>
    <w:rsid w:val="22B97967"/>
    <w:rsid w:val="22BA4E19"/>
    <w:rsid w:val="22BB64B9"/>
    <w:rsid w:val="22BF31CF"/>
    <w:rsid w:val="22C349B5"/>
    <w:rsid w:val="22C3649B"/>
    <w:rsid w:val="22C75BE0"/>
    <w:rsid w:val="22C87B17"/>
    <w:rsid w:val="22CC1448"/>
    <w:rsid w:val="22CD5B33"/>
    <w:rsid w:val="22D14CB0"/>
    <w:rsid w:val="22D35196"/>
    <w:rsid w:val="22D569A0"/>
    <w:rsid w:val="22D62EEB"/>
    <w:rsid w:val="22D87A48"/>
    <w:rsid w:val="22D87DED"/>
    <w:rsid w:val="22D9426C"/>
    <w:rsid w:val="22E06DFF"/>
    <w:rsid w:val="22E36792"/>
    <w:rsid w:val="22E551A7"/>
    <w:rsid w:val="22E569AE"/>
    <w:rsid w:val="22E76C82"/>
    <w:rsid w:val="22EA7B20"/>
    <w:rsid w:val="22F10EAE"/>
    <w:rsid w:val="22F17100"/>
    <w:rsid w:val="22F866E1"/>
    <w:rsid w:val="22FB7F7F"/>
    <w:rsid w:val="22FF2430"/>
    <w:rsid w:val="23033BCA"/>
    <w:rsid w:val="23054138"/>
    <w:rsid w:val="23055AE2"/>
    <w:rsid w:val="23137077"/>
    <w:rsid w:val="231D1CA3"/>
    <w:rsid w:val="231F3BAE"/>
    <w:rsid w:val="2322642E"/>
    <w:rsid w:val="2322731E"/>
    <w:rsid w:val="23241284"/>
    <w:rsid w:val="23243032"/>
    <w:rsid w:val="23272FA5"/>
    <w:rsid w:val="232925E4"/>
    <w:rsid w:val="232B5F57"/>
    <w:rsid w:val="232C662D"/>
    <w:rsid w:val="232E0B15"/>
    <w:rsid w:val="232E3DE8"/>
    <w:rsid w:val="23337719"/>
    <w:rsid w:val="23386ADD"/>
    <w:rsid w:val="233E2454"/>
    <w:rsid w:val="2342170A"/>
    <w:rsid w:val="2343715D"/>
    <w:rsid w:val="23445482"/>
    <w:rsid w:val="23474F72"/>
    <w:rsid w:val="23476D20"/>
    <w:rsid w:val="23481084"/>
    <w:rsid w:val="23481728"/>
    <w:rsid w:val="234C0C7F"/>
    <w:rsid w:val="234C2589"/>
    <w:rsid w:val="234C58D0"/>
    <w:rsid w:val="235760D8"/>
    <w:rsid w:val="236478D2"/>
    <w:rsid w:val="2366364A"/>
    <w:rsid w:val="23675615"/>
    <w:rsid w:val="2369111C"/>
    <w:rsid w:val="236E69A3"/>
    <w:rsid w:val="23700878"/>
    <w:rsid w:val="23764A11"/>
    <w:rsid w:val="2377085B"/>
    <w:rsid w:val="23770DEF"/>
    <w:rsid w:val="237B69CA"/>
    <w:rsid w:val="237D0994"/>
    <w:rsid w:val="2381355B"/>
    <w:rsid w:val="2383701D"/>
    <w:rsid w:val="23863CED"/>
    <w:rsid w:val="23865A9B"/>
    <w:rsid w:val="23865D19"/>
    <w:rsid w:val="23877818"/>
    <w:rsid w:val="23953194"/>
    <w:rsid w:val="23977CA8"/>
    <w:rsid w:val="23983A20"/>
    <w:rsid w:val="239E7DA3"/>
    <w:rsid w:val="239F6B5C"/>
    <w:rsid w:val="23A06C09"/>
    <w:rsid w:val="23A54119"/>
    <w:rsid w:val="23A60388"/>
    <w:rsid w:val="23A777BF"/>
    <w:rsid w:val="23A91789"/>
    <w:rsid w:val="23A93537"/>
    <w:rsid w:val="23A96090"/>
    <w:rsid w:val="23AC4C9C"/>
    <w:rsid w:val="23AD5BA4"/>
    <w:rsid w:val="23B00D6A"/>
    <w:rsid w:val="23B15BB5"/>
    <w:rsid w:val="23B172CD"/>
    <w:rsid w:val="23B26C7F"/>
    <w:rsid w:val="23B96EBD"/>
    <w:rsid w:val="23BF71FF"/>
    <w:rsid w:val="23C15BDE"/>
    <w:rsid w:val="23C56EF3"/>
    <w:rsid w:val="23C87E61"/>
    <w:rsid w:val="23CB16FF"/>
    <w:rsid w:val="23CC2E83"/>
    <w:rsid w:val="23D2714E"/>
    <w:rsid w:val="23D305B4"/>
    <w:rsid w:val="23D37171"/>
    <w:rsid w:val="23D47EC3"/>
    <w:rsid w:val="23D54BEF"/>
    <w:rsid w:val="23D67367"/>
    <w:rsid w:val="23D74548"/>
    <w:rsid w:val="23D762F6"/>
    <w:rsid w:val="23DE2549"/>
    <w:rsid w:val="23DE58D7"/>
    <w:rsid w:val="23E427C1"/>
    <w:rsid w:val="23E6791D"/>
    <w:rsid w:val="23E80503"/>
    <w:rsid w:val="23E944F0"/>
    <w:rsid w:val="23F24EDE"/>
    <w:rsid w:val="23F8626D"/>
    <w:rsid w:val="23F944BF"/>
    <w:rsid w:val="23F94F55"/>
    <w:rsid w:val="24001A2F"/>
    <w:rsid w:val="24015121"/>
    <w:rsid w:val="24020CA0"/>
    <w:rsid w:val="240A66CC"/>
    <w:rsid w:val="240D3AC6"/>
    <w:rsid w:val="24101808"/>
    <w:rsid w:val="24134E54"/>
    <w:rsid w:val="241471CA"/>
    <w:rsid w:val="2415065A"/>
    <w:rsid w:val="2419690F"/>
    <w:rsid w:val="241A2687"/>
    <w:rsid w:val="241E7C1F"/>
    <w:rsid w:val="24255939"/>
    <w:rsid w:val="24263443"/>
    <w:rsid w:val="24286B52"/>
    <w:rsid w:val="242A44A8"/>
    <w:rsid w:val="242B03F0"/>
    <w:rsid w:val="242B219E"/>
    <w:rsid w:val="242C7218"/>
    <w:rsid w:val="242D23BA"/>
    <w:rsid w:val="24307E33"/>
    <w:rsid w:val="24310EB8"/>
    <w:rsid w:val="2432177F"/>
    <w:rsid w:val="24327310"/>
    <w:rsid w:val="2434268D"/>
    <w:rsid w:val="2435301D"/>
    <w:rsid w:val="24385BBE"/>
    <w:rsid w:val="243D2A20"/>
    <w:rsid w:val="24477E11"/>
    <w:rsid w:val="244B7874"/>
    <w:rsid w:val="24507E57"/>
    <w:rsid w:val="245272C7"/>
    <w:rsid w:val="245331E2"/>
    <w:rsid w:val="24537C49"/>
    <w:rsid w:val="245416F5"/>
    <w:rsid w:val="24547E3C"/>
    <w:rsid w:val="2455546D"/>
    <w:rsid w:val="24565E52"/>
    <w:rsid w:val="24572B1C"/>
    <w:rsid w:val="245931AF"/>
    <w:rsid w:val="245B0CD5"/>
    <w:rsid w:val="245E2574"/>
    <w:rsid w:val="24613453"/>
    <w:rsid w:val="24613E12"/>
    <w:rsid w:val="24656A71"/>
    <w:rsid w:val="24663F6E"/>
    <w:rsid w:val="246D19F7"/>
    <w:rsid w:val="246D2BAA"/>
    <w:rsid w:val="246E4488"/>
    <w:rsid w:val="246F328A"/>
    <w:rsid w:val="246F4781"/>
    <w:rsid w:val="24704055"/>
    <w:rsid w:val="24724271"/>
    <w:rsid w:val="2472601F"/>
    <w:rsid w:val="24734A89"/>
    <w:rsid w:val="247B4ED4"/>
    <w:rsid w:val="247E49C4"/>
    <w:rsid w:val="24806E3B"/>
    <w:rsid w:val="248550D7"/>
    <w:rsid w:val="248A0711"/>
    <w:rsid w:val="249064A5"/>
    <w:rsid w:val="2493042F"/>
    <w:rsid w:val="24952ED0"/>
    <w:rsid w:val="249850A2"/>
    <w:rsid w:val="24A7216D"/>
    <w:rsid w:val="24A81A41"/>
    <w:rsid w:val="24A87A4A"/>
    <w:rsid w:val="24AA3A0B"/>
    <w:rsid w:val="24AA57B9"/>
    <w:rsid w:val="24AB3823"/>
    <w:rsid w:val="24B108F5"/>
    <w:rsid w:val="24B65F0C"/>
    <w:rsid w:val="24B959FC"/>
    <w:rsid w:val="24BA7805"/>
    <w:rsid w:val="24BB1774"/>
    <w:rsid w:val="24BE1264"/>
    <w:rsid w:val="24C20D54"/>
    <w:rsid w:val="24C543A1"/>
    <w:rsid w:val="24C724C9"/>
    <w:rsid w:val="24C745BD"/>
    <w:rsid w:val="24C820E3"/>
    <w:rsid w:val="24C8729E"/>
    <w:rsid w:val="24D171E9"/>
    <w:rsid w:val="24D21968"/>
    <w:rsid w:val="24D64800"/>
    <w:rsid w:val="24D80578"/>
    <w:rsid w:val="24D942F0"/>
    <w:rsid w:val="24DE36B4"/>
    <w:rsid w:val="24E133A2"/>
    <w:rsid w:val="24E63869"/>
    <w:rsid w:val="24E64A4C"/>
    <w:rsid w:val="24E97D18"/>
    <w:rsid w:val="24EB4FB4"/>
    <w:rsid w:val="24F03756"/>
    <w:rsid w:val="24F44C86"/>
    <w:rsid w:val="24F5384A"/>
    <w:rsid w:val="24F57E59"/>
    <w:rsid w:val="24F66C50"/>
    <w:rsid w:val="24F829C8"/>
    <w:rsid w:val="24FB1724"/>
    <w:rsid w:val="24FB2989"/>
    <w:rsid w:val="24FB6014"/>
    <w:rsid w:val="24FC0490"/>
    <w:rsid w:val="24FE78B3"/>
    <w:rsid w:val="250023CA"/>
    <w:rsid w:val="25002580"/>
    <w:rsid w:val="25004B0F"/>
    <w:rsid w:val="250255F5"/>
    <w:rsid w:val="2503084B"/>
    <w:rsid w:val="2503311B"/>
    <w:rsid w:val="25096983"/>
    <w:rsid w:val="250E05A3"/>
    <w:rsid w:val="250E5D48"/>
    <w:rsid w:val="25126CA9"/>
    <w:rsid w:val="25186BC6"/>
    <w:rsid w:val="251929C3"/>
    <w:rsid w:val="251A293E"/>
    <w:rsid w:val="251B66B7"/>
    <w:rsid w:val="251C76EF"/>
    <w:rsid w:val="25247D78"/>
    <w:rsid w:val="25311A36"/>
    <w:rsid w:val="25357778"/>
    <w:rsid w:val="25381017"/>
    <w:rsid w:val="253A3592"/>
    <w:rsid w:val="253E5245"/>
    <w:rsid w:val="253F0B12"/>
    <w:rsid w:val="25414AB3"/>
    <w:rsid w:val="254774AC"/>
    <w:rsid w:val="254A2AF8"/>
    <w:rsid w:val="25513E86"/>
    <w:rsid w:val="25524EF5"/>
    <w:rsid w:val="25537BFE"/>
    <w:rsid w:val="25545725"/>
    <w:rsid w:val="25581728"/>
    <w:rsid w:val="255D282B"/>
    <w:rsid w:val="255F1E5A"/>
    <w:rsid w:val="256040C9"/>
    <w:rsid w:val="2561605E"/>
    <w:rsid w:val="2564005E"/>
    <w:rsid w:val="25657932"/>
    <w:rsid w:val="256B1914"/>
    <w:rsid w:val="256C6F12"/>
    <w:rsid w:val="2573204F"/>
    <w:rsid w:val="257411BF"/>
    <w:rsid w:val="257B4A53"/>
    <w:rsid w:val="257B7155"/>
    <w:rsid w:val="257D4C7B"/>
    <w:rsid w:val="2580476C"/>
    <w:rsid w:val="25824E1D"/>
    <w:rsid w:val="25840626"/>
    <w:rsid w:val="2584600A"/>
    <w:rsid w:val="25853B30"/>
    <w:rsid w:val="25875AFA"/>
    <w:rsid w:val="258B7398"/>
    <w:rsid w:val="258D054C"/>
    <w:rsid w:val="258E7E8F"/>
    <w:rsid w:val="2593624D"/>
    <w:rsid w:val="25953622"/>
    <w:rsid w:val="25956469"/>
    <w:rsid w:val="25956EDC"/>
    <w:rsid w:val="259B5DBD"/>
    <w:rsid w:val="25A20B86"/>
    <w:rsid w:val="25A90276"/>
    <w:rsid w:val="25AB4F81"/>
    <w:rsid w:val="25AC5561"/>
    <w:rsid w:val="25AF3901"/>
    <w:rsid w:val="25B05051"/>
    <w:rsid w:val="25B4065F"/>
    <w:rsid w:val="25BC404B"/>
    <w:rsid w:val="25C33A18"/>
    <w:rsid w:val="25C36537"/>
    <w:rsid w:val="25C401C6"/>
    <w:rsid w:val="25C97EC1"/>
    <w:rsid w:val="25CD79B1"/>
    <w:rsid w:val="25CE3729"/>
    <w:rsid w:val="25D24FC7"/>
    <w:rsid w:val="25D901D1"/>
    <w:rsid w:val="25DC72DF"/>
    <w:rsid w:val="25DE1BBE"/>
    <w:rsid w:val="25E03591"/>
    <w:rsid w:val="25E22D30"/>
    <w:rsid w:val="25E35426"/>
    <w:rsid w:val="25E371D4"/>
    <w:rsid w:val="25E406F1"/>
    <w:rsid w:val="25E42F4C"/>
    <w:rsid w:val="25E76599"/>
    <w:rsid w:val="25E94A13"/>
    <w:rsid w:val="25EF7DB2"/>
    <w:rsid w:val="25F50CB6"/>
    <w:rsid w:val="25F807A6"/>
    <w:rsid w:val="25FB6821"/>
    <w:rsid w:val="25FD5DBC"/>
    <w:rsid w:val="260158AC"/>
    <w:rsid w:val="260333D3"/>
    <w:rsid w:val="26040EF9"/>
    <w:rsid w:val="26050CD5"/>
    <w:rsid w:val="26070D88"/>
    <w:rsid w:val="26094761"/>
    <w:rsid w:val="260C4D75"/>
    <w:rsid w:val="260E7883"/>
    <w:rsid w:val="260E7FC9"/>
    <w:rsid w:val="26123616"/>
    <w:rsid w:val="261307EB"/>
    <w:rsid w:val="26144478"/>
    <w:rsid w:val="26151358"/>
    <w:rsid w:val="261A696E"/>
    <w:rsid w:val="26207557"/>
    <w:rsid w:val="26211AAB"/>
    <w:rsid w:val="26213859"/>
    <w:rsid w:val="26233A75"/>
    <w:rsid w:val="26235823"/>
    <w:rsid w:val="26263565"/>
    <w:rsid w:val="2627095A"/>
    <w:rsid w:val="262D044F"/>
    <w:rsid w:val="262D7636"/>
    <w:rsid w:val="262E5DFC"/>
    <w:rsid w:val="26307F40"/>
    <w:rsid w:val="26321F0A"/>
    <w:rsid w:val="26324D1C"/>
    <w:rsid w:val="26331252"/>
    <w:rsid w:val="263712CE"/>
    <w:rsid w:val="263729DC"/>
    <w:rsid w:val="263A0DBE"/>
    <w:rsid w:val="263A491A"/>
    <w:rsid w:val="263C2CF8"/>
    <w:rsid w:val="263D712B"/>
    <w:rsid w:val="2641214D"/>
    <w:rsid w:val="26413D08"/>
    <w:rsid w:val="26436930"/>
    <w:rsid w:val="264834DB"/>
    <w:rsid w:val="264A2952"/>
    <w:rsid w:val="264B4D7A"/>
    <w:rsid w:val="264D08CA"/>
    <w:rsid w:val="265005E2"/>
    <w:rsid w:val="26526108"/>
    <w:rsid w:val="26527EB6"/>
    <w:rsid w:val="26546733"/>
    <w:rsid w:val="265515CF"/>
    <w:rsid w:val="26597496"/>
    <w:rsid w:val="265A4FBD"/>
    <w:rsid w:val="265A7519"/>
    <w:rsid w:val="265C2AE3"/>
    <w:rsid w:val="266100F9"/>
    <w:rsid w:val="26644641"/>
    <w:rsid w:val="2665408D"/>
    <w:rsid w:val="2666570F"/>
    <w:rsid w:val="266B085C"/>
    <w:rsid w:val="266F783C"/>
    <w:rsid w:val="26725D2E"/>
    <w:rsid w:val="267321E5"/>
    <w:rsid w:val="2674607E"/>
    <w:rsid w:val="26751DF6"/>
    <w:rsid w:val="26774493"/>
    <w:rsid w:val="26793695"/>
    <w:rsid w:val="26797B39"/>
    <w:rsid w:val="267B6F5A"/>
    <w:rsid w:val="267C3185"/>
    <w:rsid w:val="267E6EFD"/>
    <w:rsid w:val="26832765"/>
    <w:rsid w:val="26867B60"/>
    <w:rsid w:val="268A0303"/>
    <w:rsid w:val="268A784D"/>
    <w:rsid w:val="268C2457"/>
    <w:rsid w:val="268D0EEE"/>
    <w:rsid w:val="268D5392"/>
    <w:rsid w:val="269404CF"/>
    <w:rsid w:val="2694381F"/>
    <w:rsid w:val="26993D37"/>
    <w:rsid w:val="269A66B7"/>
    <w:rsid w:val="269B0840"/>
    <w:rsid w:val="269F0C21"/>
    <w:rsid w:val="26A37F72"/>
    <w:rsid w:val="26A605B4"/>
    <w:rsid w:val="26AA35DB"/>
    <w:rsid w:val="26AA7CF2"/>
    <w:rsid w:val="26AB116E"/>
    <w:rsid w:val="26AC3A6A"/>
    <w:rsid w:val="26AF5308"/>
    <w:rsid w:val="26AF70B6"/>
    <w:rsid w:val="26B40B71"/>
    <w:rsid w:val="26B446CD"/>
    <w:rsid w:val="26B84056"/>
    <w:rsid w:val="26B93BC7"/>
    <w:rsid w:val="26BB1EFF"/>
    <w:rsid w:val="26BD0AC1"/>
    <w:rsid w:val="26BE19EF"/>
    <w:rsid w:val="26C37006"/>
    <w:rsid w:val="26C863CA"/>
    <w:rsid w:val="26CC622E"/>
    <w:rsid w:val="26D0706A"/>
    <w:rsid w:val="26D33C77"/>
    <w:rsid w:val="26DC646A"/>
    <w:rsid w:val="26E03277"/>
    <w:rsid w:val="26E03714"/>
    <w:rsid w:val="26E103E2"/>
    <w:rsid w:val="26E1530D"/>
    <w:rsid w:val="26E8758B"/>
    <w:rsid w:val="26EA4592"/>
    <w:rsid w:val="26EC030B"/>
    <w:rsid w:val="26EF3957"/>
    <w:rsid w:val="26EF7563"/>
    <w:rsid w:val="26F103E2"/>
    <w:rsid w:val="26F370FE"/>
    <w:rsid w:val="26F62F37"/>
    <w:rsid w:val="26FA5700"/>
    <w:rsid w:val="26FE6031"/>
    <w:rsid w:val="26FF760A"/>
    <w:rsid w:val="27000A25"/>
    <w:rsid w:val="270309FF"/>
    <w:rsid w:val="27030E49"/>
    <w:rsid w:val="270513CC"/>
    <w:rsid w:val="27064D37"/>
    <w:rsid w:val="270B215E"/>
    <w:rsid w:val="270F77E1"/>
    <w:rsid w:val="27127645"/>
    <w:rsid w:val="27135897"/>
    <w:rsid w:val="27142AF8"/>
    <w:rsid w:val="27147861"/>
    <w:rsid w:val="27162708"/>
    <w:rsid w:val="271B75ED"/>
    <w:rsid w:val="271C7879"/>
    <w:rsid w:val="271E1789"/>
    <w:rsid w:val="27257853"/>
    <w:rsid w:val="27265B39"/>
    <w:rsid w:val="27292910"/>
    <w:rsid w:val="272D447F"/>
    <w:rsid w:val="272E26D1"/>
    <w:rsid w:val="272F597E"/>
    <w:rsid w:val="27301B74"/>
    <w:rsid w:val="27337CE7"/>
    <w:rsid w:val="27361586"/>
    <w:rsid w:val="27364176"/>
    <w:rsid w:val="27390A41"/>
    <w:rsid w:val="273A72C8"/>
    <w:rsid w:val="273E668C"/>
    <w:rsid w:val="27442996"/>
    <w:rsid w:val="274517C9"/>
    <w:rsid w:val="27455C6D"/>
    <w:rsid w:val="274A6DDF"/>
    <w:rsid w:val="274E7C63"/>
    <w:rsid w:val="27505492"/>
    <w:rsid w:val="27534580"/>
    <w:rsid w:val="27545EB0"/>
    <w:rsid w:val="27547711"/>
    <w:rsid w:val="27547C5E"/>
    <w:rsid w:val="27550294"/>
    <w:rsid w:val="27552BF7"/>
    <w:rsid w:val="2756002D"/>
    <w:rsid w:val="27595274"/>
    <w:rsid w:val="275B0FEC"/>
    <w:rsid w:val="275B2D9A"/>
    <w:rsid w:val="275B723E"/>
    <w:rsid w:val="275D2FB6"/>
    <w:rsid w:val="27604B2F"/>
    <w:rsid w:val="27644345"/>
    <w:rsid w:val="276500BD"/>
    <w:rsid w:val="276915A8"/>
    <w:rsid w:val="276E6F72"/>
    <w:rsid w:val="27702CEA"/>
    <w:rsid w:val="27753D15"/>
    <w:rsid w:val="27762045"/>
    <w:rsid w:val="27797D3D"/>
    <w:rsid w:val="277C287E"/>
    <w:rsid w:val="27814EF7"/>
    <w:rsid w:val="27822A1D"/>
    <w:rsid w:val="278422F1"/>
    <w:rsid w:val="27847E6F"/>
    <w:rsid w:val="27851763"/>
    <w:rsid w:val="27873B8F"/>
    <w:rsid w:val="27897907"/>
    <w:rsid w:val="278E13C2"/>
    <w:rsid w:val="279066BB"/>
    <w:rsid w:val="27940A30"/>
    <w:rsid w:val="279552E1"/>
    <w:rsid w:val="2795596F"/>
    <w:rsid w:val="27972B89"/>
    <w:rsid w:val="279B588D"/>
    <w:rsid w:val="279C2835"/>
    <w:rsid w:val="279D3F33"/>
    <w:rsid w:val="27A02EA3"/>
    <w:rsid w:val="27A41B81"/>
    <w:rsid w:val="27A55E44"/>
    <w:rsid w:val="27A726E1"/>
    <w:rsid w:val="27AC35F6"/>
    <w:rsid w:val="27AE3812"/>
    <w:rsid w:val="27AF52F7"/>
    <w:rsid w:val="27B00A7D"/>
    <w:rsid w:val="27B23302"/>
    <w:rsid w:val="27B83BA0"/>
    <w:rsid w:val="27BA71EE"/>
    <w:rsid w:val="27BC2C3B"/>
    <w:rsid w:val="27BF40EE"/>
    <w:rsid w:val="27C052F3"/>
    <w:rsid w:val="27C070A1"/>
    <w:rsid w:val="27CA2B5B"/>
    <w:rsid w:val="27CD0097"/>
    <w:rsid w:val="27CE2870"/>
    <w:rsid w:val="27D12F0E"/>
    <w:rsid w:val="27D25752"/>
    <w:rsid w:val="27D537E2"/>
    <w:rsid w:val="27D54F23"/>
    <w:rsid w:val="27D74B17"/>
    <w:rsid w:val="27D94221"/>
    <w:rsid w:val="27E45486"/>
    <w:rsid w:val="27E47234"/>
    <w:rsid w:val="27E9799E"/>
    <w:rsid w:val="27EB2370"/>
    <w:rsid w:val="27EB4249"/>
    <w:rsid w:val="27EB4A15"/>
    <w:rsid w:val="27F12EFE"/>
    <w:rsid w:val="27F136FF"/>
    <w:rsid w:val="27F751B9"/>
    <w:rsid w:val="27F82693"/>
    <w:rsid w:val="27FB6C3E"/>
    <w:rsid w:val="27FD02F5"/>
    <w:rsid w:val="27FD5A98"/>
    <w:rsid w:val="27FF2AD4"/>
    <w:rsid w:val="27FF33E8"/>
    <w:rsid w:val="27FF5E1C"/>
    <w:rsid w:val="28010E6E"/>
    <w:rsid w:val="28047F36"/>
    <w:rsid w:val="28055CF5"/>
    <w:rsid w:val="28096C9A"/>
    <w:rsid w:val="280B656E"/>
    <w:rsid w:val="280C1D9A"/>
    <w:rsid w:val="280C22E7"/>
    <w:rsid w:val="280C6C7B"/>
    <w:rsid w:val="280D49D2"/>
    <w:rsid w:val="280D678A"/>
    <w:rsid w:val="280E42B1"/>
    <w:rsid w:val="28153891"/>
    <w:rsid w:val="281637F0"/>
    <w:rsid w:val="281D62A2"/>
    <w:rsid w:val="282835C4"/>
    <w:rsid w:val="28283647"/>
    <w:rsid w:val="282A4BA6"/>
    <w:rsid w:val="282B4E63"/>
    <w:rsid w:val="282E6701"/>
    <w:rsid w:val="282F3359"/>
    <w:rsid w:val="283033C9"/>
    <w:rsid w:val="283101DC"/>
    <w:rsid w:val="28327F9F"/>
    <w:rsid w:val="28357A8F"/>
    <w:rsid w:val="28373807"/>
    <w:rsid w:val="28397580"/>
    <w:rsid w:val="283A32F8"/>
    <w:rsid w:val="283A50A6"/>
    <w:rsid w:val="283B343B"/>
    <w:rsid w:val="283B4CDA"/>
    <w:rsid w:val="283D6944"/>
    <w:rsid w:val="283F2A53"/>
    <w:rsid w:val="28427CBE"/>
    <w:rsid w:val="284303FE"/>
    <w:rsid w:val="28445F24"/>
    <w:rsid w:val="28467136"/>
    <w:rsid w:val="28485A15"/>
    <w:rsid w:val="284E28FF"/>
    <w:rsid w:val="28506677"/>
    <w:rsid w:val="28510CB4"/>
    <w:rsid w:val="285223EF"/>
    <w:rsid w:val="2859377E"/>
    <w:rsid w:val="285A74F6"/>
    <w:rsid w:val="285C326E"/>
    <w:rsid w:val="285C501C"/>
    <w:rsid w:val="285D2B42"/>
    <w:rsid w:val="285E0D94"/>
    <w:rsid w:val="28602A0B"/>
    <w:rsid w:val="28610884"/>
    <w:rsid w:val="286615C8"/>
    <w:rsid w:val="286C2C91"/>
    <w:rsid w:val="286E4DBC"/>
    <w:rsid w:val="28702875"/>
    <w:rsid w:val="2874680A"/>
    <w:rsid w:val="28760DB1"/>
    <w:rsid w:val="287721C5"/>
    <w:rsid w:val="287C1A3D"/>
    <w:rsid w:val="287E4F92"/>
    <w:rsid w:val="288001DF"/>
    <w:rsid w:val="28803712"/>
    <w:rsid w:val="28814DDD"/>
    <w:rsid w:val="288307FB"/>
    <w:rsid w:val="28856053"/>
    <w:rsid w:val="28885E11"/>
    <w:rsid w:val="28891598"/>
    <w:rsid w:val="288B5901"/>
    <w:rsid w:val="28926C90"/>
    <w:rsid w:val="289447B6"/>
    <w:rsid w:val="289A5B44"/>
    <w:rsid w:val="289B3D96"/>
    <w:rsid w:val="28A15125"/>
    <w:rsid w:val="28A17421"/>
    <w:rsid w:val="28A8200F"/>
    <w:rsid w:val="28A95D87"/>
    <w:rsid w:val="28AA02DF"/>
    <w:rsid w:val="28AB15F7"/>
    <w:rsid w:val="28AB7D51"/>
    <w:rsid w:val="28AD1D1C"/>
    <w:rsid w:val="28B210E0"/>
    <w:rsid w:val="28B27332"/>
    <w:rsid w:val="28B5472C"/>
    <w:rsid w:val="28B57B53"/>
    <w:rsid w:val="28B74948"/>
    <w:rsid w:val="28BC18CA"/>
    <w:rsid w:val="28BF60DD"/>
    <w:rsid w:val="28C07C97"/>
    <w:rsid w:val="28C222B1"/>
    <w:rsid w:val="28C36E49"/>
    <w:rsid w:val="28C7783A"/>
    <w:rsid w:val="28C826B1"/>
    <w:rsid w:val="28CB469C"/>
    <w:rsid w:val="28CE6FB2"/>
    <w:rsid w:val="28CE7064"/>
    <w:rsid w:val="28CF1C92"/>
    <w:rsid w:val="28CF3A40"/>
    <w:rsid w:val="28D15A0A"/>
    <w:rsid w:val="28D250D0"/>
    <w:rsid w:val="28D31A42"/>
    <w:rsid w:val="28D43097"/>
    <w:rsid w:val="28D63020"/>
    <w:rsid w:val="28D64DCE"/>
    <w:rsid w:val="28D81F58"/>
    <w:rsid w:val="28D93D94"/>
    <w:rsid w:val="28DE6843"/>
    <w:rsid w:val="28DF7C3C"/>
    <w:rsid w:val="28E03E9F"/>
    <w:rsid w:val="28E13773"/>
    <w:rsid w:val="28E374EB"/>
    <w:rsid w:val="28E55011"/>
    <w:rsid w:val="28E72633"/>
    <w:rsid w:val="28E850A3"/>
    <w:rsid w:val="28EA4406"/>
    <w:rsid w:val="28EC6C80"/>
    <w:rsid w:val="28EF5E90"/>
    <w:rsid w:val="28F25980"/>
    <w:rsid w:val="28F47B14"/>
    <w:rsid w:val="28F65471"/>
    <w:rsid w:val="28F712C4"/>
    <w:rsid w:val="28F96D0F"/>
    <w:rsid w:val="28FB0259"/>
    <w:rsid w:val="28FB094B"/>
    <w:rsid w:val="28FC235B"/>
    <w:rsid w:val="2903193C"/>
    <w:rsid w:val="29070055"/>
    <w:rsid w:val="290D27BA"/>
    <w:rsid w:val="290F208E"/>
    <w:rsid w:val="29153060"/>
    <w:rsid w:val="29187E15"/>
    <w:rsid w:val="29192782"/>
    <w:rsid w:val="29220014"/>
    <w:rsid w:val="292201CC"/>
    <w:rsid w:val="292875F4"/>
    <w:rsid w:val="292C49EE"/>
    <w:rsid w:val="292F2731"/>
    <w:rsid w:val="292F44DF"/>
    <w:rsid w:val="293011E8"/>
    <w:rsid w:val="293045B0"/>
    <w:rsid w:val="2936586D"/>
    <w:rsid w:val="29385A89"/>
    <w:rsid w:val="29395340"/>
    <w:rsid w:val="293A3F52"/>
    <w:rsid w:val="2940493E"/>
    <w:rsid w:val="294206B6"/>
    <w:rsid w:val="294A30C6"/>
    <w:rsid w:val="294C5091"/>
    <w:rsid w:val="295034D9"/>
    <w:rsid w:val="29534671"/>
    <w:rsid w:val="29544DC6"/>
    <w:rsid w:val="29553353"/>
    <w:rsid w:val="29583A35"/>
    <w:rsid w:val="29585B15"/>
    <w:rsid w:val="295959FF"/>
    <w:rsid w:val="295977AD"/>
    <w:rsid w:val="295A750B"/>
    <w:rsid w:val="295B1778"/>
    <w:rsid w:val="295D54F0"/>
    <w:rsid w:val="295F55E0"/>
    <w:rsid w:val="295F6FD6"/>
    <w:rsid w:val="29613FA7"/>
    <w:rsid w:val="296251B3"/>
    <w:rsid w:val="29626662"/>
    <w:rsid w:val="296B32C2"/>
    <w:rsid w:val="296C74E1"/>
    <w:rsid w:val="297168A5"/>
    <w:rsid w:val="29736AC1"/>
    <w:rsid w:val="29752839"/>
    <w:rsid w:val="29763DAA"/>
    <w:rsid w:val="29763EBB"/>
    <w:rsid w:val="297840D8"/>
    <w:rsid w:val="297939AC"/>
    <w:rsid w:val="297A7E50"/>
    <w:rsid w:val="297B7724"/>
    <w:rsid w:val="297D392E"/>
    <w:rsid w:val="297D524A"/>
    <w:rsid w:val="29806A9C"/>
    <w:rsid w:val="29833C38"/>
    <w:rsid w:val="298760C9"/>
    <w:rsid w:val="298C7B83"/>
    <w:rsid w:val="299014FC"/>
    <w:rsid w:val="29916F47"/>
    <w:rsid w:val="29943847"/>
    <w:rsid w:val="299454BE"/>
    <w:rsid w:val="29995DFC"/>
    <w:rsid w:val="299D58EC"/>
    <w:rsid w:val="29A26448"/>
    <w:rsid w:val="29A924E3"/>
    <w:rsid w:val="29A94291"/>
    <w:rsid w:val="29AC1FD3"/>
    <w:rsid w:val="29AE5D4B"/>
    <w:rsid w:val="29AF561F"/>
    <w:rsid w:val="29B260BA"/>
    <w:rsid w:val="29B55CD9"/>
    <w:rsid w:val="29B638BF"/>
    <w:rsid w:val="29B844D4"/>
    <w:rsid w:val="29B952F7"/>
    <w:rsid w:val="29BD5F8E"/>
    <w:rsid w:val="29BF1D06"/>
    <w:rsid w:val="29C130D3"/>
    <w:rsid w:val="29C23BBC"/>
    <w:rsid w:val="29C45588"/>
    <w:rsid w:val="29C4731D"/>
    <w:rsid w:val="29C63095"/>
    <w:rsid w:val="29CA4207"/>
    <w:rsid w:val="29CB06AB"/>
    <w:rsid w:val="29CE5AA6"/>
    <w:rsid w:val="29D12335"/>
    <w:rsid w:val="29D3130E"/>
    <w:rsid w:val="29D71EB6"/>
    <w:rsid w:val="29D86924"/>
    <w:rsid w:val="29DA269C"/>
    <w:rsid w:val="29DB4666"/>
    <w:rsid w:val="29E31034"/>
    <w:rsid w:val="29E51041"/>
    <w:rsid w:val="29E67293"/>
    <w:rsid w:val="29E76122"/>
    <w:rsid w:val="29EB2AFB"/>
    <w:rsid w:val="29EC23D0"/>
    <w:rsid w:val="29EC6874"/>
    <w:rsid w:val="29EE439A"/>
    <w:rsid w:val="29F63F49"/>
    <w:rsid w:val="29F72C2F"/>
    <w:rsid w:val="29F76442"/>
    <w:rsid w:val="29FA4AED"/>
    <w:rsid w:val="29FC5D05"/>
    <w:rsid w:val="29FF7106"/>
    <w:rsid w:val="2A065B1F"/>
    <w:rsid w:val="2A07545B"/>
    <w:rsid w:val="2A133E00"/>
    <w:rsid w:val="2A13795C"/>
    <w:rsid w:val="2A161968"/>
    <w:rsid w:val="2A1738F0"/>
    <w:rsid w:val="2A1D56FE"/>
    <w:rsid w:val="2A27165A"/>
    <w:rsid w:val="2A293624"/>
    <w:rsid w:val="2A2C39B7"/>
    <w:rsid w:val="2A335204"/>
    <w:rsid w:val="2A357B24"/>
    <w:rsid w:val="2A3A313B"/>
    <w:rsid w:val="2A3B562F"/>
    <w:rsid w:val="2A3D7746"/>
    <w:rsid w:val="2A3E0FCD"/>
    <w:rsid w:val="2A3E70CF"/>
    <w:rsid w:val="2A3E7B1D"/>
    <w:rsid w:val="2A4144C9"/>
    <w:rsid w:val="2A44045E"/>
    <w:rsid w:val="2A465F84"/>
    <w:rsid w:val="2A49212A"/>
    <w:rsid w:val="2A4D0CD8"/>
    <w:rsid w:val="2A5022EE"/>
    <w:rsid w:val="2A5561C7"/>
    <w:rsid w:val="2A580F9F"/>
    <w:rsid w:val="2A5A1A2F"/>
    <w:rsid w:val="2A5B72A5"/>
    <w:rsid w:val="2A5C5058"/>
    <w:rsid w:val="2A5C6434"/>
    <w:rsid w:val="2A60296B"/>
    <w:rsid w:val="2A615DEC"/>
    <w:rsid w:val="2A685EFA"/>
    <w:rsid w:val="2A69045A"/>
    <w:rsid w:val="2A6B59EA"/>
    <w:rsid w:val="2A6D1762"/>
    <w:rsid w:val="2A7523C5"/>
    <w:rsid w:val="2A77466A"/>
    <w:rsid w:val="2A7A79DB"/>
    <w:rsid w:val="2A7E46CB"/>
    <w:rsid w:val="2A866380"/>
    <w:rsid w:val="2A88034A"/>
    <w:rsid w:val="2A8A2314"/>
    <w:rsid w:val="2A8B59E4"/>
    <w:rsid w:val="2A997129"/>
    <w:rsid w:val="2A9A007E"/>
    <w:rsid w:val="2AA003BE"/>
    <w:rsid w:val="2AA1765E"/>
    <w:rsid w:val="2AA26E06"/>
    <w:rsid w:val="2AA35184"/>
    <w:rsid w:val="2AA50A12"/>
    <w:rsid w:val="2AA64A4A"/>
    <w:rsid w:val="2AAA4765"/>
    <w:rsid w:val="2AAD7DB1"/>
    <w:rsid w:val="2AB729DE"/>
    <w:rsid w:val="2AB949A8"/>
    <w:rsid w:val="2ABA427C"/>
    <w:rsid w:val="2ABC6246"/>
    <w:rsid w:val="2ACA0963"/>
    <w:rsid w:val="2ACC6349"/>
    <w:rsid w:val="2ACF41CB"/>
    <w:rsid w:val="2AD0640E"/>
    <w:rsid w:val="2AD91E05"/>
    <w:rsid w:val="2ADB2B70"/>
    <w:rsid w:val="2ADB491E"/>
    <w:rsid w:val="2ADE02F6"/>
    <w:rsid w:val="2AE41EC1"/>
    <w:rsid w:val="2AE74787"/>
    <w:rsid w:val="2AEB08D9"/>
    <w:rsid w:val="2AEC2013"/>
    <w:rsid w:val="2AEC6883"/>
    <w:rsid w:val="2AED28A3"/>
    <w:rsid w:val="2AEE5702"/>
    <w:rsid w:val="2AEF2177"/>
    <w:rsid w:val="2AF163C6"/>
    <w:rsid w:val="2AF32E1F"/>
    <w:rsid w:val="2AF4778E"/>
    <w:rsid w:val="2AF60D6D"/>
    <w:rsid w:val="2AF92FF6"/>
    <w:rsid w:val="2AFA28CA"/>
    <w:rsid w:val="2AFA72B8"/>
    <w:rsid w:val="2AFE098F"/>
    <w:rsid w:val="2B0100FD"/>
    <w:rsid w:val="2B033E75"/>
    <w:rsid w:val="2B041741"/>
    <w:rsid w:val="2B05199B"/>
    <w:rsid w:val="2B0E732B"/>
    <w:rsid w:val="2B125E66"/>
    <w:rsid w:val="2B146C5A"/>
    <w:rsid w:val="2B147E30"/>
    <w:rsid w:val="2B153A3F"/>
    <w:rsid w:val="2B177920"/>
    <w:rsid w:val="2B1B509E"/>
    <w:rsid w:val="2B200583"/>
    <w:rsid w:val="2B2135BB"/>
    <w:rsid w:val="2B22254D"/>
    <w:rsid w:val="2B235AE2"/>
    <w:rsid w:val="2B261911"/>
    <w:rsid w:val="2B2838DB"/>
    <w:rsid w:val="2B2B6F28"/>
    <w:rsid w:val="2B2D2106"/>
    <w:rsid w:val="2B3202B6"/>
    <w:rsid w:val="2B326266"/>
    <w:rsid w:val="2B333C80"/>
    <w:rsid w:val="2B342280"/>
    <w:rsid w:val="2B34402E"/>
    <w:rsid w:val="2B365FF8"/>
    <w:rsid w:val="2B3E30FF"/>
    <w:rsid w:val="2B4226CD"/>
    <w:rsid w:val="2B455B9B"/>
    <w:rsid w:val="2B490ACC"/>
    <w:rsid w:val="2B49240F"/>
    <w:rsid w:val="2B4C75CA"/>
    <w:rsid w:val="2B4F2EB5"/>
    <w:rsid w:val="2B4F50F4"/>
    <w:rsid w:val="2B52044E"/>
    <w:rsid w:val="2B5D6A7B"/>
    <w:rsid w:val="2B641431"/>
    <w:rsid w:val="2B642E36"/>
    <w:rsid w:val="2B674404"/>
    <w:rsid w:val="2B68125F"/>
    <w:rsid w:val="2B694C8C"/>
    <w:rsid w:val="2B6F2C13"/>
    <w:rsid w:val="2B6F5066"/>
    <w:rsid w:val="2B7360F7"/>
    <w:rsid w:val="2B760580"/>
    <w:rsid w:val="2B764647"/>
    <w:rsid w:val="2B772D87"/>
    <w:rsid w:val="2B7803BF"/>
    <w:rsid w:val="2B7D3C27"/>
    <w:rsid w:val="2B7D59D5"/>
    <w:rsid w:val="2B7F799F"/>
    <w:rsid w:val="2B801021"/>
    <w:rsid w:val="2B82123D"/>
    <w:rsid w:val="2B851EA2"/>
    <w:rsid w:val="2B85488A"/>
    <w:rsid w:val="2B8609F4"/>
    <w:rsid w:val="2B870ED7"/>
    <w:rsid w:val="2B882739"/>
    <w:rsid w:val="2B8E1990"/>
    <w:rsid w:val="2B914308"/>
    <w:rsid w:val="2B920D55"/>
    <w:rsid w:val="2B942D1F"/>
    <w:rsid w:val="2B98280F"/>
    <w:rsid w:val="2B9B3F1D"/>
    <w:rsid w:val="2B9D6077"/>
    <w:rsid w:val="2BA7136D"/>
    <w:rsid w:val="2BB8061C"/>
    <w:rsid w:val="2BBB64FD"/>
    <w:rsid w:val="2BBD04C8"/>
    <w:rsid w:val="2BBE0747"/>
    <w:rsid w:val="2BBE7D9C"/>
    <w:rsid w:val="2BC03B14"/>
    <w:rsid w:val="2BC453B2"/>
    <w:rsid w:val="2BC52ED8"/>
    <w:rsid w:val="2BCC0D2E"/>
    <w:rsid w:val="2BCE354A"/>
    <w:rsid w:val="2BCE4483"/>
    <w:rsid w:val="2BD17ACF"/>
    <w:rsid w:val="2BD6638E"/>
    <w:rsid w:val="2BD8582F"/>
    <w:rsid w:val="2BDB23DA"/>
    <w:rsid w:val="2BDD46C6"/>
    <w:rsid w:val="2BE340D3"/>
    <w:rsid w:val="2BE76212"/>
    <w:rsid w:val="2BE772F2"/>
    <w:rsid w:val="2BE81E29"/>
    <w:rsid w:val="2BED37C5"/>
    <w:rsid w:val="2BEE03F9"/>
    <w:rsid w:val="2BEE6A13"/>
    <w:rsid w:val="2BEF0B9E"/>
    <w:rsid w:val="2BF043F9"/>
    <w:rsid w:val="2BF57C61"/>
    <w:rsid w:val="2BF93170"/>
    <w:rsid w:val="2BFF63EA"/>
    <w:rsid w:val="2C004054"/>
    <w:rsid w:val="2C027C88"/>
    <w:rsid w:val="2C0359EB"/>
    <w:rsid w:val="2C0D3244"/>
    <w:rsid w:val="2C1005F7"/>
    <w:rsid w:val="2C10541E"/>
    <w:rsid w:val="2C112D05"/>
    <w:rsid w:val="2C1520B2"/>
    <w:rsid w:val="2C161986"/>
    <w:rsid w:val="2C1D2D14"/>
    <w:rsid w:val="2C22657D"/>
    <w:rsid w:val="2C250D85"/>
    <w:rsid w:val="2C267E1B"/>
    <w:rsid w:val="2C283529"/>
    <w:rsid w:val="2C2916B9"/>
    <w:rsid w:val="2C2B2B40"/>
    <w:rsid w:val="2C2B5431"/>
    <w:rsid w:val="2C2C02C2"/>
    <w:rsid w:val="2C2F17F0"/>
    <w:rsid w:val="2C321063"/>
    <w:rsid w:val="2C346710"/>
    <w:rsid w:val="2C3B13EC"/>
    <w:rsid w:val="2C3C22C6"/>
    <w:rsid w:val="2C4709BC"/>
    <w:rsid w:val="2C495476"/>
    <w:rsid w:val="2C4B7881"/>
    <w:rsid w:val="2C5129BE"/>
    <w:rsid w:val="2C534988"/>
    <w:rsid w:val="2C5430A3"/>
    <w:rsid w:val="2C5460E7"/>
    <w:rsid w:val="2C555D4A"/>
    <w:rsid w:val="2C570C58"/>
    <w:rsid w:val="2C5B2393"/>
    <w:rsid w:val="2C5C269F"/>
    <w:rsid w:val="2C5D75B5"/>
    <w:rsid w:val="2C5F50DB"/>
    <w:rsid w:val="2C610E53"/>
    <w:rsid w:val="2C6214B3"/>
    <w:rsid w:val="2C646BB5"/>
    <w:rsid w:val="2C66335D"/>
    <w:rsid w:val="2C670FF8"/>
    <w:rsid w:val="2C695F59"/>
    <w:rsid w:val="2C6B7F24"/>
    <w:rsid w:val="2C6C77F8"/>
    <w:rsid w:val="2C6D600B"/>
    <w:rsid w:val="2C7072E8"/>
    <w:rsid w:val="2C770676"/>
    <w:rsid w:val="2C7C7A3B"/>
    <w:rsid w:val="2C7D37B3"/>
    <w:rsid w:val="2C88722D"/>
    <w:rsid w:val="2C8C25FE"/>
    <w:rsid w:val="2C923C0A"/>
    <w:rsid w:val="2C9A25B7"/>
    <w:rsid w:val="2C9B4E57"/>
    <w:rsid w:val="2C9C0DDF"/>
    <w:rsid w:val="2C9D6B41"/>
    <w:rsid w:val="2CA64AB8"/>
    <w:rsid w:val="2CA90A4C"/>
    <w:rsid w:val="2CA945A8"/>
    <w:rsid w:val="2CAB494C"/>
    <w:rsid w:val="2CAB6572"/>
    <w:rsid w:val="2CB0732E"/>
    <w:rsid w:val="2CB35427"/>
    <w:rsid w:val="2CB43679"/>
    <w:rsid w:val="2CB531A0"/>
    <w:rsid w:val="2CBD0053"/>
    <w:rsid w:val="2CC43190"/>
    <w:rsid w:val="2CC972B0"/>
    <w:rsid w:val="2CD0422B"/>
    <w:rsid w:val="2CD07D87"/>
    <w:rsid w:val="2CD8587C"/>
    <w:rsid w:val="2CDA05B1"/>
    <w:rsid w:val="2CDA6E57"/>
    <w:rsid w:val="2CDE24A4"/>
    <w:rsid w:val="2CDE7055"/>
    <w:rsid w:val="2CDF446E"/>
    <w:rsid w:val="2CDF614E"/>
    <w:rsid w:val="2CE11F94"/>
    <w:rsid w:val="2CE35D0C"/>
    <w:rsid w:val="2CE4784F"/>
    <w:rsid w:val="2CE61358"/>
    <w:rsid w:val="2CE81574"/>
    <w:rsid w:val="2CE850D0"/>
    <w:rsid w:val="2CE91B01"/>
    <w:rsid w:val="2CEB696E"/>
    <w:rsid w:val="2CF06633"/>
    <w:rsid w:val="2CF27769"/>
    <w:rsid w:val="2CF40CE2"/>
    <w:rsid w:val="2CF57321"/>
    <w:rsid w:val="2CF77A09"/>
    <w:rsid w:val="2CFA4FD6"/>
    <w:rsid w:val="2D067C4C"/>
    <w:rsid w:val="2D0B0DBF"/>
    <w:rsid w:val="2D0B303C"/>
    <w:rsid w:val="2D0C299F"/>
    <w:rsid w:val="2D0D4B37"/>
    <w:rsid w:val="2D1071E5"/>
    <w:rsid w:val="2D157E8F"/>
    <w:rsid w:val="2D173C07"/>
    <w:rsid w:val="2D17796B"/>
    <w:rsid w:val="2D1A7526"/>
    <w:rsid w:val="2D1B36F8"/>
    <w:rsid w:val="2D1C121E"/>
    <w:rsid w:val="2D216834"/>
    <w:rsid w:val="2D2500D2"/>
    <w:rsid w:val="2D256324"/>
    <w:rsid w:val="2D281971"/>
    <w:rsid w:val="2D2B1461"/>
    <w:rsid w:val="2D2F4DAB"/>
    <w:rsid w:val="2D2F71A3"/>
    <w:rsid w:val="2D325E70"/>
    <w:rsid w:val="2D36055E"/>
    <w:rsid w:val="2D371BB4"/>
    <w:rsid w:val="2D391DD0"/>
    <w:rsid w:val="2D404F0C"/>
    <w:rsid w:val="2D413D39"/>
    <w:rsid w:val="2D4154DE"/>
    <w:rsid w:val="2D430559"/>
    <w:rsid w:val="2D4D587B"/>
    <w:rsid w:val="2D522E91"/>
    <w:rsid w:val="2D5409B8"/>
    <w:rsid w:val="2D55028C"/>
    <w:rsid w:val="2D5657EB"/>
    <w:rsid w:val="2D5B3CEB"/>
    <w:rsid w:val="2D5C4CDB"/>
    <w:rsid w:val="2D614E83"/>
    <w:rsid w:val="2D6469D9"/>
    <w:rsid w:val="2D666534"/>
    <w:rsid w:val="2D67693D"/>
    <w:rsid w:val="2D6A4EA9"/>
    <w:rsid w:val="2D6D30CA"/>
    <w:rsid w:val="2D6F57F1"/>
    <w:rsid w:val="2D711F30"/>
    <w:rsid w:val="2D7158B8"/>
    <w:rsid w:val="2D7579BD"/>
    <w:rsid w:val="2D7626DC"/>
    <w:rsid w:val="2D7B4196"/>
    <w:rsid w:val="2D7B6ABD"/>
    <w:rsid w:val="2D80355B"/>
    <w:rsid w:val="2D804B4B"/>
    <w:rsid w:val="2D8079FF"/>
    <w:rsid w:val="2D8461A3"/>
    <w:rsid w:val="2D855015"/>
    <w:rsid w:val="2D865769"/>
    <w:rsid w:val="2D880661"/>
    <w:rsid w:val="2D8D5C78"/>
    <w:rsid w:val="2D8F379E"/>
    <w:rsid w:val="2D9139BA"/>
    <w:rsid w:val="2D945258"/>
    <w:rsid w:val="2D9708A4"/>
    <w:rsid w:val="2D984D48"/>
    <w:rsid w:val="2D985794"/>
    <w:rsid w:val="2D9E7E85"/>
    <w:rsid w:val="2DA21723"/>
    <w:rsid w:val="2DA32C44"/>
    <w:rsid w:val="2DA41E97"/>
    <w:rsid w:val="2DA44895"/>
    <w:rsid w:val="2DA46EE3"/>
    <w:rsid w:val="2DA61179"/>
    <w:rsid w:val="2DAA4A7C"/>
    <w:rsid w:val="2DAA682A"/>
    <w:rsid w:val="2DB256DE"/>
    <w:rsid w:val="2DB31B82"/>
    <w:rsid w:val="2DB43204"/>
    <w:rsid w:val="2DB45D05"/>
    <w:rsid w:val="2DB710C5"/>
    <w:rsid w:val="2DB92928"/>
    <w:rsid w:val="2DBD655D"/>
    <w:rsid w:val="2DC23BEB"/>
    <w:rsid w:val="2DC5530F"/>
    <w:rsid w:val="2DCC4BF8"/>
    <w:rsid w:val="2DCD2AB1"/>
    <w:rsid w:val="2DCD42C6"/>
    <w:rsid w:val="2DCF6290"/>
    <w:rsid w:val="2DD37B2E"/>
    <w:rsid w:val="2DD438A6"/>
    <w:rsid w:val="2DD52E33"/>
    <w:rsid w:val="2DD5310F"/>
    <w:rsid w:val="2DD90EBD"/>
    <w:rsid w:val="2DDA4154"/>
    <w:rsid w:val="2DDB4C35"/>
    <w:rsid w:val="2DDD26D3"/>
    <w:rsid w:val="2DE167D7"/>
    <w:rsid w:val="2DE27D71"/>
    <w:rsid w:val="2DE55AB4"/>
    <w:rsid w:val="2DE77B9B"/>
    <w:rsid w:val="2DEC78FA"/>
    <w:rsid w:val="2DEE09C8"/>
    <w:rsid w:val="2DF357BC"/>
    <w:rsid w:val="2DF81343"/>
    <w:rsid w:val="2DF83A39"/>
    <w:rsid w:val="2DF87595"/>
    <w:rsid w:val="2DFC4F77"/>
    <w:rsid w:val="2DFD2DFD"/>
    <w:rsid w:val="2DFD4BAB"/>
    <w:rsid w:val="2DFE7E52"/>
    <w:rsid w:val="2E074870"/>
    <w:rsid w:val="2E0C5980"/>
    <w:rsid w:val="2E0E7F1C"/>
    <w:rsid w:val="2E163EBF"/>
    <w:rsid w:val="2E165C6D"/>
    <w:rsid w:val="2E1819E5"/>
    <w:rsid w:val="2E184226"/>
    <w:rsid w:val="2E1A39AF"/>
    <w:rsid w:val="2E1B14D5"/>
    <w:rsid w:val="2E1B7727"/>
    <w:rsid w:val="2E20089A"/>
    <w:rsid w:val="2E204D3E"/>
    <w:rsid w:val="2E2317F5"/>
    <w:rsid w:val="2E2356E6"/>
    <w:rsid w:val="2E2760CC"/>
    <w:rsid w:val="2E2959A0"/>
    <w:rsid w:val="2E2A34C6"/>
    <w:rsid w:val="2E2C5491"/>
    <w:rsid w:val="2E2D64DC"/>
    <w:rsid w:val="2E2D78E7"/>
    <w:rsid w:val="2E2E1209"/>
    <w:rsid w:val="2E304F81"/>
    <w:rsid w:val="2E3217BF"/>
    <w:rsid w:val="2E3310F8"/>
    <w:rsid w:val="2E344345"/>
    <w:rsid w:val="2E3507E9"/>
    <w:rsid w:val="2E356F57"/>
    <w:rsid w:val="2E3D7221"/>
    <w:rsid w:val="2E3F51C4"/>
    <w:rsid w:val="2E402CEA"/>
    <w:rsid w:val="2E424CB4"/>
    <w:rsid w:val="2E443808"/>
    <w:rsid w:val="2E47051C"/>
    <w:rsid w:val="2E4C1EAC"/>
    <w:rsid w:val="2E4C5FC1"/>
    <w:rsid w:val="2E4F45B2"/>
    <w:rsid w:val="2E516CA5"/>
    <w:rsid w:val="2E54141A"/>
    <w:rsid w:val="2E552C39"/>
    <w:rsid w:val="2E5952C2"/>
    <w:rsid w:val="2E5B7B24"/>
    <w:rsid w:val="2E5D3029"/>
    <w:rsid w:val="2E5F5866"/>
    <w:rsid w:val="2E6469D8"/>
    <w:rsid w:val="2E652751"/>
    <w:rsid w:val="2E666F6E"/>
    <w:rsid w:val="2E684101"/>
    <w:rsid w:val="2E690493"/>
    <w:rsid w:val="2E692241"/>
    <w:rsid w:val="2E6A2FDD"/>
    <w:rsid w:val="2E6A345C"/>
    <w:rsid w:val="2E6C3F2E"/>
    <w:rsid w:val="2E6D7F83"/>
    <w:rsid w:val="2E6E7857"/>
    <w:rsid w:val="2E701821"/>
    <w:rsid w:val="2E794F10"/>
    <w:rsid w:val="2E7B1445"/>
    <w:rsid w:val="2E7B1F74"/>
    <w:rsid w:val="2E7C1F9C"/>
    <w:rsid w:val="2E7D5CEC"/>
    <w:rsid w:val="2E84707B"/>
    <w:rsid w:val="2E8E7EF9"/>
    <w:rsid w:val="2E9436D8"/>
    <w:rsid w:val="2E951288"/>
    <w:rsid w:val="2E9512DC"/>
    <w:rsid w:val="2E9A4AF0"/>
    <w:rsid w:val="2E9B3D7B"/>
    <w:rsid w:val="2EA76356"/>
    <w:rsid w:val="2EA94D33"/>
    <w:rsid w:val="2EAB0526"/>
    <w:rsid w:val="2EAB2859"/>
    <w:rsid w:val="2EAB3DD0"/>
    <w:rsid w:val="2EAC69E5"/>
    <w:rsid w:val="2EAE40F8"/>
    <w:rsid w:val="2EB42C35"/>
    <w:rsid w:val="2EB65306"/>
    <w:rsid w:val="2EB76CAF"/>
    <w:rsid w:val="2EBA1709"/>
    <w:rsid w:val="2EBA2A9C"/>
    <w:rsid w:val="2EBF6DB8"/>
    <w:rsid w:val="2EC15BD9"/>
    <w:rsid w:val="2ECB2366"/>
    <w:rsid w:val="2ED718A0"/>
    <w:rsid w:val="2ED816BC"/>
    <w:rsid w:val="2ED95618"/>
    <w:rsid w:val="2EDB7FA0"/>
    <w:rsid w:val="2EDC0C65"/>
    <w:rsid w:val="2EDD0385"/>
    <w:rsid w:val="2EDF69A7"/>
    <w:rsid w:val="2EE45178"/>
    <w:rsid w:val="2EE81E7A"/>
    <w:rsid w:val="2EED4C20"/>
    <w:rsid w:val="2EF04710"/>
    <w:rsid w:val="2EF20132"/>
    <w:rsid w:val="2EF35FAE"/>
    <w:rsid w:val="2EF57F78"/>
    <w:rsid w:val="2EF7784D"/>
    <w:rsid w:val="2EFA558F"/>
    <w:rsid w:val="2EFF2BA5"/>
    <w:rsid w:val="2EFF4953"/>
    <w:rsid w:val="2F014590"/>
    <w:rsid w:val="2F01691D"/>
    <w:rsid w:val="2F0404C8"/>
    <w:rsid w:val="2F05640D"/>
    <w:rsid w:val="2F065CE2"/>
    <w:rsid w:val="2F0B154A"/>
    <w:rsid w:val="2F1321AD"/>
    <w:rsid w:val="2F141D40"/>
    <w:rsid w:val="2F162BDB"/>
    <w:rsid w:val="2F1A353B"/>
    <w:rsid w:val="2F1C3757"/>
    <w:rsid w:val="2F1D0BCF"/>
    <w:rsid w:val="2F205E8F"/>
    <w:rsid w:val="2F273BF1"/>
    <w:rsid w:val="2F294217"/>
    <w:rsid w:val="2F2B74F6"/>
    <w:rsid w:val="2F2F5238"/>
    <w:rsid w:val="2F325FCB"/>
    <w:rsid w:val="2F3A3BDD"/>
    <w:rsid w:val="2F3E36CD"/>
    <w:rsid w:val="2F407445"/>
    <w:rsid w:val="2F4131BE"/>
    <w:rsid w:val="2F414F6C"/>
    <w:rsid w:val="2F454A5C"/>
    <w:rsid w:val="2F462582"/>
    <w:rsid w:val="2F4862FA"/>
    <w:rsid w:val="2F4F0640"/>
    <w:rsid w:val="2F4F1437"/>
    <w:rsid w:val="2F4F58DB"/>
    <w:rsid w:val="2F4F77A5"/>
    <w:rsid w:val="2F557AE7"/>
    <w:rsid w:val="2F5B427F"/>
    <w:rsid w:val="2F607032"/>
    <w:rsid w:val="2F647BB9"/>
    <w:rsid w:val="2F656CFC"/>
    <w:rsid w:val="2F661BCB"/>
    <w:rsid w:val="2F69589E"/>
    <w:rsid w:val="2F6E315F"/>
    <w:rsid w:val="2F715851"/>
    <w:rsid w:val="2F770CD5"/>
    <w:rsid w:val="2F7964B4"/>
    <w:rsid w:val="2F7A474D"/>
    <w:rsid w:val="2F7A658B"/>
    <w:rsid w:val="2F824686"/>
    <w:rsid w:val="2F8310E0"/>
    <w:rsid w:val="2F860BD0"/>
    <w:rsid w:val="2F896F93"/>
    <w:rsid w:val="2F8A246F"/>
    <w:rsid w:val="2F8D01B1"/>
    <w:rsid w:val="2F8F4121"/>
    <w:rsid w:val="2F921323"/>
    <w:rsid w:val="2F923A19"/>
    <w:rsid w:val="2F9C03F4"/>
    <w:rsid w:val="2FA86D99"/>
    <w:rsid w:val="2FA954D2"/>
    <w:rsid w:val="2FA964D4"/>
    <w:rsid w:val="2FAA4649"/>
    <w:rsid w:val="2FB120F1"/>
    <w:rsid w:val="2FB224B2"/>
    <w:rsid w:val="2FB32EEE"/>
    <w:rsid w:val="2FB35E69"/>
    <w:rsid w:val="2FB43990"/>
    <w:rsid w:val="2FB67708"/>
    <w:rsid w:val="2FB83480"/>
    <w:rsid w:val="2FBB4D1E"/>
    <w:rsid w:val="2FBD0952"/>
    <w:rsid w:val="2FC00586"/>
    <w:rsid w:val="2FC71915"/>
    <w:rsid w:val="2FCC0CD9"/>
    <w:rsid w:val="2FCF07C9"/>
    <w:rsid w:val="2FD22068"/>
    <w:rsid w:val="2FD302BA"/>
    <w:rsid w:val="2FD66F3F"/>
    <w:rsid w:val="2FDD6AFF"/>
    <w:rsid w:val="2FDE18E9"/>
    <w:rsid w:val="2FE054BF"/>
    <w:rsid w:val="2FE140FD"/>
    <w:rsid w:val="2FE204FD"/>
    <w:rsid w:val="2FE53B49"/>
    <w:rsid w:val="2FE73D65"/>
    <w:rsid w:val="2FE813FF"/>
    <w:rsid w:val="2FEC3129"/>
    <w:rsid w:val="2FEF2C1A"/>
    <w:rsid w:val="2FF137E8"/>
    <w:rsid w:val="2FF36512"/>
    <w:rsid w:val="2FF965E7"/>
    <w:rsid w:val="2FFC44A6"/>
    <w:rsid w:val="2FFD5337"/>
    <w:rsid w:val="300179CC"/>
    <w:rsid w:val="300214A1"/>
    <w:rsid w:val="3006389F"/>
    <w:rsid w:val="3006424D"/>
    <w:rsid w:val="30071D11"/>
    <w:rsid w:val="30093CDB"/>
    <w:rsid w:val="300A3C81"/>
    <w:rsid w:val="300C37CC"/>
    <w:rsid w:val="300E37E3"/>
    <w:rsid w:val="300F0BC6"/>
    <w:rsid w:val="301306B6"/>
    <w:rsid w:val="30183F1E"/>
    <w:rsid w:val="30191A45"/>
    <w:rsid w:val="301B57BD"/>
    <w:rsid w:val="301D1535"/>
    <w:rsid w:val="30201025"/>
    <w:rsid w:val="3021158F"/>
    <w:rsid w:val="30216F4F"/>
    <w:rsid w:val="302223CF"/>
    <w:rsid w:val="30273D1D"/>
    <w:rsid w:val="30291B42"/>
    <w:rsid w:val="3029612C"/>
    <w:rsid w:val="30297EDA"/>
    <w:rsid w:val="302A1EA4"/>
    <w:rsid w:val="302A5C70"/>
    <w:rsid w:val="30314FE0"/>
    <w:rsid w:val="3033211E"/>
    <w:rsid w:val="30360848"/>
    <w:rsid w:val="303643A5"/>
    <w:rsid w:val="303B19BB"/>
    <w:rsid w:val="3048473A"/>
    <w:rsid w:val="3049232A"/>
    <w:rsid w:val="304B42F4"/>
    <w:rsid w:val="304F31A6"/>
    <w:rsid w:val="305667F5"/>
    <w:rsid w:val="305B02AF"/>
    <w:rsid w:val="30663AD5"/>
    <w:rsid w:val="306857E4"/>
    <w:rsid w:val="306C719C"/>
    <w:rsid w:val="307015F8"/>
    <w:rsid w:val="30705B08"/>
    <w:rsid w:val="30711881"/>
    <w:rsid w:val="307355F9"/>
    <w:rsid w:val="3078676B"/>
    <w:rsid w:val="307A24E3"/>
    <w:rsid w:val="307C26FF"/>
    <w:rsid w:val="307D1FD3"/>
    <w:rsid w:val="307F5D4C"/>
    <w:rsid w:val="308011DE"/>
    <w:rsid w:val="30806998"/>
    <w:rsid w:val="3082583C"/>
    <w:rsid w:val="308415B4"/>
    <w:rsid w:val="30850E88"/>
    <w:rsid w:val="3085613B"/>
    <w:rsid w:val="3086532C"/>
    <w:rsid w:val="308A1EA7"/>
    <w:rsid w:val="309A66CF"/>
    <w:rsid w:val="309C46FA"/>
    <w:rsid w:val="309C4B4F"/>
    <w:rsid w:val="30A06F6A"/>
    <w:rsid w:val="30A9726C"/>
    <w:rsid w:val="30AD0BCC"/>
    <w:rsid w:val="30B33C47"/>
    <w:rsid w:val="30B654E5"/>
    <w:rsid w:val="30B67293"/>
    <w:rsid w:val="30B73737"/>
    <w:rsid w:val="30BA35CC"/>
    <w:rsid w:val="30BD4AC6"/>
    <w:rsid w:val="30BF31E6"/>
    <w:rsid w:val="30BF439A"/>
    <w:rsid w:val="30C01A26"/>
    <w:rsid w:val="30C61B6F"/>
    <w:rsid w:val="30C65728"/>
    <w:rsid w:val="30CD3A07"/>
    <w:rsid w:val="30D339B1"/>
    <w:rsid w:val="30D453DD"/>
    <w:rsid w:val="30D75B88"/>
    <w:rsid w:val="30DA11D4"/>
    <w:rsid w:val="30DB345E"/>
    <w:rsid w:val="30DE6145"/>
    <w:rsid w:val="30DF6CF7"/>
    <w:rsid w:val="30E20088"/>
    <w:rsid w:val="30E42053"/>
    <w:rsid w:val="30E43E01"/>
    <w:rsid w:val="30EA2565"/>
    <w:rsid w:val="30EC0F07"/>
    <w:rsid w:val="30ED4B60"/>
    <w:rsid w:val="30EE5E45"/>
    <w:rsid w:val="30F06C49"/>
    <w:rsid w:val="30F229C1"/>
    <w:rsid w:val="30F2476F"/>
    <w:rsid w:val="30F32296"/>
    <w:rsid w:val="30F6750D"/>
    <w:rsid w:val="30F754F2"/>
    <w:rsid w:val="30F90559"/>
    <w:rsid w:val="31003A4B"/>
    <w:rsid w:val="31010E56"/>
    <w:rsid w:val="310224D9"/>
    <w:rsid w:val="31053F63"/>
    <w:rsid w:val="310F3573"/>
    <w:rsid w:val="31102E48"/>
    <w:rsid w:val="31107E22"/>
    <w:rsid w:val="31135456"/>
    <w:rsid w:val="31140B8A"/>
    <w:rsid w:val="311521D3"/>
    <w:rsid w:val="3116429F"/>
    <w:rsid w:val="31192A31"/>
    <w:rsid w:val="311A1F18"/>
    <w:rsid w:val="311A3B8A"/>
    <w:rsid w:val="311B7BE1"/>
    <w:rsid w:val="311E5564"/>
    <w:rsid w:val="31216E03"/>
    <w:rsid w:val="31281E11"/>
    <w:rsid w:val="312D39F9"/>
    <w:rsid w:val="312D57A8"/>
    <w:rsid w:val="313034EA"/>
    <w:rsid w:val="31314381"/>
    <w:rsid w:val="313308E4"/>
    <w:rsid w:val="31344D88"/>
    <w:rsid w:val="313649A0"/>
    <w:rsid w:val="3138043D"/>
    <w:rsid w:val="313F372D"/>
    <w:rsid w:val="3140197F"/>
    <w:rsid w:val="3143321D"/>
    <w:rsid w:val="31457A4F"/>
    <w:rsid w:val="3146720F"/>
    <w:rsid w:val="314E7E9A"/>
    <w:rsid w:val="314F1BC2"/>
    <w:rsid w:val="31506ACE"/>
    <w:rsid w:val="31523460"/>
    <w:rsid w:val="315D4627"/>
    <w:rsid w:val="315F185A"/>
    <w:rsid w:val="3160085A"/>
    <w:rsid w:val="316118F5"/>
    <w:rsid w:val="3163741B"/>
    <w:rsid w:val="31644F41"/>
    <w:rsid w:val="31655EA7"/>
    <w:rsid w:val="3166437B"/>
    <w:rsid w:val="31666F0B"/>
    <w:rsid w:val="316742A2"/>
    <w:rsid w:val="316743E2"/>
    <w:rsid w:val="316C561B"/>
    <w:rsid w:val="316D3DF6"/>
    <w:rsid w:val="31704932"/>
    <w:rsid w:val="31712AE9"/>
    <w:rsid w:val="31750EFD"/>
    <w:rsid w:val="31751562"/>
    <w:rsid w:val="31787827"/>
    <w:rsid w:val="31796C3F"/>
    <w:rsid w:val="317A0B68"/>
    <w:rsid w:val="317C5CA4"/>
    <w:rsid w:val="317E4255"/>
    <w:rsid w:val="317F3D85"/>
    <w:rsid w:val="31837ABD"/>
    <w:rsid w:val="318420FC"/>
    <w:rsid w:val="31895C4A"/>
    <w:rsid w:val="318A0E4C"/>
    <w:rsid w:val="318A2BFA"/>
    <w:rsid w:val="319121DA"/>
    <w:rsid w:val="3199108F"/>
    <w:rsid w:val="31994BEB"/>
    <w:rsid w:val="319B15C5"/>
    <w:rsid w:val="319B4E07"/>
    <w:rsid w:val="319B7EF5"/>
    <w:rsid w:val="319E66A5"/>
    <w:rsid w:val="31A16195"/>
    <w:rsid w:val="31A17E1B"/>
    <w:rsid w:val="31A571F5"/>
    <w:rsid w:val="31AA0D22"/>
    <w:rsid w:val="31AA504A"/>
    <w:rsid w:val="31AA7143"/>
    <w:rsid w:val="31AD0696"/>
    <w:rsid w:val="31BD2FCF"/>
    <w:rsid w:val="31C44710"/>
    <w:rsid w:val="31C51E84"/>
    <w:rsid w:val="31C854D0"/>
    <w:rsid w:val="31CC380F"/>
    <w:rsid w:val="31CD6F8B"/>
    <w:rsid w:val="31CF2D03"/>
    <w:rsid w:val="31CF4AB1"/>
    <w:rsid w:val="31D2040B"/>
    <w:rsid w:val="31D5442E"/>
    <w:rsid w:val="31D65E3F"/>
    <w:rsid w:val="31DB3455"/>
    <w:rsid w:val="31DB5204"/>
    <w:rsid w:val="31DE4F7B"/>
    <w:rsid w:val="31E247E4"/>
    <w:rsid w:val="31E3230A"/>
    <w:rsid w:val="31EC5663"/>
    <w:rsid w:val="31F03E72"/>
    <w:rsid w:val="31F2254D"/>
    <w:rsid w:val="31F70635"/>
    <w:rsid w:val="31FB3AF8"/>
    <w:rsid w:val="31FE7144"/>
    <w:rsid w:val="3202637A"/>
    <w:rsid w:val="320D55D9"/>
    <w:rsid w:val="320F1351"/>
    <w:rsid w:val="32132BEF"/>
    <w:rsid w:val="3216448E"/>
    <w:rsid w:val="32170EB9"/>
    <w:rsid w:val="32193F7E"/>
    <w:rsid w:val="321A1EB2"/>
    <w:rsid w:val="321A2B4A"/>
    <w:rsid w:val="32231D9E"/>
    <w:rsid w:val="3224240A"/>
    <w:rsid w:val="322546D1"/>
    <w:rsid w:val="322841C1"/>
    <w:rsid w:val="322A618B"/>
    <w:rsid w:val="322E5CA4"/>
    <w:rsid w:val="32332E35"/>
    <w:rsid w:val="323647F8"/>
    <w:rsid w:val="323975D3"/>
    <w:rsid w:val="323B129D"/>
    <w:rsid w:val="323B3EF4"/>
    <w:rsid w:val="323C5A5D"/>
    <w:rsid w:val="32406EF5"/>
    <w:rsid w:val="3240775C"/>
    <w:rsid w:val="324113D9"/>
    <w:rsid w:val="32427031"/>
    <w:rsid w:val="32432DA9"/>
    <w:rsid w:val="3243337E"/>
    <w:rsid w:val="324523C1"/>
    <w:rsid w:val="324D0E73"/>
    <w:rsid w:val="3250432D"/>
    <w:rsid w:val="32586854"/>
    <w:rsid w:val="325925CC"/>
    <w:rsid w:val="325D030E"/>
    <w:rsid w:val="32673AA2"/>
    <w:rsid w:val="32690A61"/>
    <w:rsid w:val="32715B68"/>
    <w:rsid w:val="32737B32"/>
    <w:rsid w:val="32745926"/>
    <w:rsid w:val="32796888"/>
    <w:rsid w:val="327E20C3"/>
    <w:rsid w:val="32802A6C"/>
    <w:rsid w:val="3280427B"/>
    <w:rsid w:val="328238D1"/>
    <w:rsid w:val="32843AED"/>
    <w:rsid w:val="32851613"/>
    <w:rsid w:val="328A09D8"/>
    <w:rsid w:val="328D4AC7"/>
    <w:rsid w:val="32917FB8"/>
    <w:rsid w:val="32923034"/>
    <w:rsid w:val="32981616"/>
    <w:rsid w:val="329C52D3"/>
    <w:rsid w:val="329D4BAF"/>
    <w:rsid w:val="32A210B9"/>
    <w:rsid w:val="32A24ADF"/>
    <w:rsid w:val="32A25D21"/>
    <w:rsid w:val="32A45E26"/>
    <w:rsid w:val="32A777DC"/>
    <w:rsid w:val="32A92DDD"/>
    <w:rsid w:val="32AB72CC"/>
    <w:rsid w:val="32AC3044"/>
    <w:rsid w:val="32AD3CDF"/>
    <w:rsid w:val="32AE4EBA"/>
    <w:rsid w:val="32B048E2"/>
    <w:rsid w:val="32B12408"/>
    <w:rsid w:val="32B207B9"/>
    <w:rsid w:val="32B334A9"/>
    <w:rsid w:val="32B37F2E"/>
    <w:rsid w:val="32B670C6"/>
    <w:rsid w:val="32BA1751"/>
    <w:rsid w:val="32BB5035"/>
    <w:rsid w:val="32BC3287"/>
    <w:rsid w:val="32BF42E1"/>
    <w:rsid w:val="32C055C3"/>
    <w:rsid w:val="32C10194"/>
    <w:rsid w:val="32C20171"/>
    <w:rsid w:val="32C21E98"/>
    <w:rsid w:val="32C75788"/>
    <w:rsid w:val="32CB3495"/>
    <w:rsid w:val="32D305D1"/>
    <w:rsid w:val="32D409E7"/>
    <w:rsid w:val="32D560F7"/>
    <w:rsid w:val="32D56F9A"/>
    <w:rsid w:val="32DE6C84"/>
    <w:rsid w:val="32DF36C5"/>
    <w:rsid w:val="32E16012"/>
    <w:rsid w:val="32E262C1"/>
    <w:rsid w:val="32E620B2"/>
    <w:rsid w:val="32EB76C8"/>
    <w:rsid w:val="32EC3DF8"/>
    <w:rsid w:val="32F01183"/>
    <w:rsid w:val="32F17B7D"/>
    <w:rsid w:val="32F537BA"/>
    <w:rsid w:val="32F96543"/>
    <w:rsid w:val="32FA495D"/>
    <w:rsid w:val="33030EB6"/>
    <w:rsid w:val="3304078A"/>
    <w:rsid w:val="33042538"/>
    <w:rsid w:val="33092244"/>
    <w:rsid w:val="33093FF2"/>
    <w:rsid w:val="330B6037"/>
    <w:rsid w:val="330F5A41"/>
    <w:rsid w:val="33100E2A"/>
    <w:rsid w:val="331353AD"/>
    <w:rsid w:val="331979EA"/>
    <w:rsid w:val="331A61FF"/>
    <w:rsid w:val="331D7A9E"/>
    <w:rsid w:val="331F3816"/>
    <w:rsid w:val="33201165"/>
    <w:rsid w:val="33210A3F"/>
    <w:rsid w:val="33252886"/>
    <w:rsid w:val="33266952"/>
    <w:rsid w:val="3328091C"/>
    <w:rsid w:val="33294832"/>
    <w:rsid w:val="332F60A6"/>
    <w:rsid w:val="333746BC"/>
    <w:rsid w:val="33380434"/>
    <w:rsid w:val="333C43C8"/>
    <w:rsid w:val="333D4F79"/>
    <w:rsid w:val="333F7A14"/>
    <w:rsid w:val="33412253"/>
    <w:rsid w:val="3341378C"/>
    <w:rsid w:val="33423060"/>
    <w:rsid w:val="3344502A"/>
    <w:rsid w:val="3346533B"/>
    <w:rsid w:val="33482D6D"/>
    <w:rsid w:val="334C3C43"/>
    <w:rsid w:val="33525999"/>
    <w:rsid w:val="33530D9F"/>
    <w:rsid w:val="33550FE6"/>
    <w:rsid w:val="33552D94"/>
    <w:rsid w:val="33590AD6"/>
    <w:rsid w:val="335A2AA0"/>
    <w:rsid w:val="335A558A"/>
    <w:rsid w:val="335C5F80"/>
    <w:rsid w:val="335F1A70"/>
    <w:rsid w:val="33613E2E"/>
    <w:rsid w:val="33686F6B"/>
    <w:rsid w:val="336A2CE3"/>
    <w:rsid w:val="33723946"/>
    <w:rsid w:val="33784CD4"/>
    <w:rsid w:val="337A3A69"/>
    <w:rsid w:val="338565F1"/>
    <w:rsid w:val="33863895"/>
    <w:rsid w:val="33883169"/>
    <w:rsid w:val="338B442F"/>
    <w:rsid w:val="338B796E"/>
    <w:rsid w:val="339202FD"/>
    <w:rsid w:val="33925D96"/>
    <w:rsid w:val="33951EF8"/>
    <w:rsid w:val="339935C8"/>
    <w:rsid w:val="339B1188"/>
    <w:rsid w:val="339C4E66"/>
    <w:rsid w:val="339E473B"/>
    <w:rsid w:val="33A04957"/>
    <w:rsid w:val="33A06705"/>
    <w:rsid w:val="33A61841"/>
    <w:rsid w:val="33A67A93"/>
    <w:rsid w:val="33AC2F08"/>
    <w:rsid w:val="33AD7074"/>
    <w:rsid w:val="33AE08E1"/>
    <w:rsid w:val="33B40CA7"/>
    <w:rsid w:val="33BB353F"/>
    <w:rsid w:val="33BD1848"/>
    <w:rsid w:val="33BF0E37"/>
    <w:rsid w:val="33C06DA7"/>
    <w:rsid w:val="33C134E0"/>
    <w:rsid w:val="33C323F3"/>
    <w:rsid w:val="33C70135"/>
    <w:rsid w:val="33C91F5D"/>
    <w:rsid w:val="33C938B7"/>
    <w:rsid w:val="33CA5B87"/>
    <w:rsid w:val="33D508FE"/>
    <w:rsid w:val="33D83AD1"/>
    <w:rsid w:val="33DD41F7"/>
    <w:rsid w:val="33DE559C"/>
    <w:rsid w:val="33E43627"/>
    <w:rsid w:val="33E505BB"/>
    <w:rsid w:val="33E54F7B"/>
    <w:rsid w:val="33E92D70"/>
    <w:rsid w:val="33EA3E24"/>
    <w:rsid w:val="33EC194A"/>
    <w:rsid w:val="33EE588C"/>
    <w:rsid w:val="33F64CAC"/>
    <w:rsid w:val="33F7209D"/>
    <w:rsid w:val="33F76CAB"/>
    <w:rsid w:val="33F93716"/>
    <w:rsid w:val="33FE78CF"/>
    <w:rsid w:val="340053F5"/>
    <w:rsid w:val="34032FB4"/>
    <w:rsid w:val="34034EE6"/>
    <w:rsid w:val="340547BA"/>
    <w:rsid w:val="34064B39"/>
    <w:rsid w:val="34081D1C"/>
    <w:rsid w:val="3409528C"/>
    <w:rsid w:val="34096C9F"/>
    <w:rsid w:val="340D76D4"/>
    <w:rsid w:val="340F089F"/>
    <w:rsid w:val="34117602"/>
    <w:rsid w:val="3417273F"/>
    <w:rsid w:val="34190265"/>
    <w:rsid w:val="3419267D"/>
    <w:rsid w:val="341964B7"/>
    <w:rsid w:val="341C1B03"/>
    <w:rsid w:val="341D7D55"/>
    <w:rsid w:val="3421711A"/>
    <w:rsid w:val="342A73B3"/>
    <w:rsid w:val="342E1F62"/>
    <w:rsid w:val="342E299F"/>
    <w:rsid w:val="342F247D"/>
    <w:rsid w:val="3432329E"/>
    <w:rsid w:val="3437693D"/>
    <w:rsid w:val="343E5F1E"/>
    <w:rsid w:val="34401C96"/>
    <w:rsid w:val="34402AC1"/>
    <w:rsid w:val="34425A0E"/>
    <w:rsid w:val="344828F8"/>
    <w:rsid w:val="34483A8F"/>
    <w:rsid w:val="344D4B67"/>
    <w:rsid w:val="344F1ED9"/>
    <w:rsid w:val="3453364B"/>
    <w:rsid w:val="34541BFA"/>
    <w:rsid w:val="34545E84"/>
    <w:rsid w:val="34555CF1"/>
    <w:rsid w:val="34577D4D"/>
    <w:rsid w:val="345968B4"/>
    <w:rsid w:val="34597AD9"/>
    <w:rsid w:val="345A4A9B"/>
    <w:rsid w:val="345A624E"/>
    <w:rsid w:val="345E3ECA"/>
    <w:rsid w:val="3462703E"/>
    <w:rsid w:val="34645984"/>
    <w:rsid w:val="34684D49"/>
    <w:rsid w:val="34692F9B"/>
    <w:rsid w:val="346F1AA8"/>
    <w:rsid w:val="346F257B"/>
    <w:rsid w:val="3474171E"/>
    <w:rsid w:val="34754F29"/>
    <w:rsid w:val="34790D04"/>
    <w:rsid w:val="347A3B83"/>
    <w:rsid w:val="347D07F4"/>
    <w:rsid w:val="34833930"/>
    <w:rsid w:val="34844B3D"/>
    <w:rsid w:val="348558FB"/>
    <w:rsid w:val="34873421"/>
    <w:rsid w:val="34876910"/>
    <w:rsid w:val="34876ADB"/>
    <w:rsid w:val="348778C5"/>
    <w:rsid w:val="348C0A37"/>
    <w:rsid w:val="348D1893"/>
    <w:rsid w:val="348E0C53"/>
    <w:rsid w:val="348E2A01"/>
    <w:rsid w:val="348F6779"/>
    <w:rsid w:val="3492022F"/>
    <w:rsid w:val="34980548"/>
    <w:rsid w:val="34983880"/>
    <w:rsid w:val="349B20EF"/>
    <w:rsid w:val="349D70A9"/>
    <w:rsid w:val="34A02734"/>
    <w:rsid w:val="34A20A69"/>
    <w:rsid w:val="34A246FE"/>
    <w:rsid w:val="34A43FD3"/>
    <w:rsid w:val="34A51AF9"/>
    <w:rsid w:val="34A915E9"/>
    <w:rsid w:val="34AA5361"/>
    <w:rsid w:val="34AD1434"/>
    <w:rsid w:val="34AE58A6"/>
    <w:rsid w:val="34B47F8E"/>
    <w:rsid w:val="34B63D06"/>
    <w:rsid w:val="34B709DC"/>
    <w:rsid w:val="34B96014"/>
    <w:rsid w:val="34BB2155"/>
    <w:rsid w:val="34BB42B0"/>
    <w:rsid w:val="34BE6E91"/>
    <w:rsid w:val="34BF2BBB"/>
    <w:rsid w:val="34C11F07"/>
    <w:rsid w:val="34C1615C"/>
    <w:rsid w:val="34C52C0E"/>
    <w:rsid w:val="34C603ED"/>
    <w:rsid w:val="34CE54F3"/>
    <w:rsid w:val="34CF092F"/>
    <w:rsid w:val="34D07778"/>
    <w:rsid w:val="34D11112"/>
    <w:rsid w:val="34D33C65"/>
    <w:rsid w:val="34D348B8"/>
    <w:rsid w:val="34D36666"/>
    <w:rsid w:val="34DA79F4"/>
    <w:rsid w:val="34DB551B"/>
    <w:rsid w:val="34DF14AF"/>
    <w:rsid w:val="34E02B31"/>
    <w:rsid w:val="34E16D92"/>
    <w:rsid w:val="34E56021"/>
    <w:rsid w:val="34E6283D"/>
    <w:rsid w:val="34E645EB"/>
    <w:rsid w:val="34EA60CD"/>
    <w:rsid w:val="34EC7728"/>
    <w:rsid w:val="34EE5E90"/>
    <w:rsid w:val="34FB1776"/>
    <w:rsid w:val="34FF6B06"/>
    <w:rsid w:val="34FF713B"/>
    <w:rsid w:val="34FF745B"/>
    <w:rsid w:val="35004F81"/>
    <w:rsid w:val="3502519D"/>
    <w:rsid w:val="35095E0B"/>
    <w:rsid w:val="350E6EE7"/>
    <w:rsid w:val="35131E80"/>
    <w:rsid w:val="35133C86"/>
    <w:rsid w:val="351522E2"/>
    <w:rsid w:val="351729F7"/>
    <w:rsid w:val="351A6043"/>
    <w:rsid w:val="351B1DBB"/>
    <w:rsid w:val="351E300B"/>
    <w:rsid w:val="35213875"/>
    <w:rsid w:val="352B46F4"/>
    <w:rsid w:val="352B64A2"/>
    <w:rsid w:val="3533663A"/>
    <w:rsid w:val="35357321"/>
    <w:rsid w:val="35374E47"/>
    <w:rsid w:val="353A0493"/>
    <w:rsid w:val="353A66E5"/>
    <w:rsid w:val="353B7D94"/>
    <w:rsid w:val="353D61D5"/>
    <w:rsid w:val="353E374D"/>
    <w:rsid w:val="353F1F4D"/>
    <w:rsid w:val="35471076"/>
    <w:rsid w:val="354F32F4"/>
    <w:rsid w:val="3550313F"/>
    <w:rsid w:val="35550544"/>
    <w:rsid w:val="355A28E3"/>
    <w:rsid w:val="35610116"/>
    <w:rsid w:val="35635B24"/>
    <w:rsid w:val="35635C3C"/>
    <w:rsid w:val="356674DA"/>
    <w:rsid w:val="356814A4"/>
    <w:rsid w:val="356A411F"/>
    <w:rsid w:val="356B4AF0"/>
    <w:rsid w:val="356D6ABA"/>
    <w:rsid w:val="356E2833"/>
    <w:rsid w:val="356F15B7"/>
    <w:rsid w:val="35702107"/>
    <w:rsid w:val="35731D6B"/>
    <w:rsid w:val="35751505"/>
    <w:rsid w:val="35753BC1"/>
    <w:rsid w:val="357716E7"/>
    <w:rsid w:val="35773495"/>
    <w:rsid w:val="357A1208"/>
    <w:rsid w:val="357A5A91"/>
    <w:rsid w:val="357D4824"/>
    <w:rsid w:val="35803E13"/>
    <w:rsid w:val="35812566"/>
    <w:rsid w:val="358679B4"/>
    <w:rsid w:val="35891A89"/>
    <w:rsid w:val="358931C8"/>
    <w:rsid w:val="358A766C"/>
    <w:rsid w:val="358B1D54"/>
    <w:rsid w:val="358D0F0B"/>
    <w:rsid w:val="358F4C83"/>
    <w:rsid w:val="35906305"/>
    <w:rsid w:val="35926521"/>
    <w:rsid w:val="359857BE"/>
    <w:rsid w:val="359B3E03"/>
    <w:rsid w:val="359E15E2"/>
    <w:rsid w:val="359E6C74"/>
    <w:rsid w:val="359F479A"/>
    <w:rsid w:val="35A10512"/>
    <w:rsid w:val="35A16764"/>
    <w:rsid w:val="35A31B70"/>
    <w:rsid w:val="35AD6EB7"/>
    <w:rsid w:val="35AF114F"/>
    <w:rsid w:val="35B0255C"/>
    <w:rsid w:val="35B04BF9"/>
    <w:rsid w:val="35B46497"/>
    <w:rsid w:val="35B50461"/>
    <w:rsid w:val="35B71AE4"/>
    <w:rsid w:val="35BC0625"/>
    <w:rsid w:val="35C10BEA"/>
    <w:rsid w:val="35C54200"/>
    <w:rsid w:val="35C6377B"/>
    <w:rsid w:val="35C81F43"/>
    <w:rsid w:val="35C96809"/>
    <w:rsid w:val="35CA5CBB"/>
    <w:rsid w:val="35CB1A33"/>
    <w:rsid w:val="35D040D0"/>
    <w:rsid w:val="35D07049"/>
    <w:rsid w:val="35D22DC1"/>
    <w:rsid w:val="35D271A0"/>
    <w:rsid w:val="35D32FF0"/>
    <w:rsid w:val="35D46B3A"/>
    <w:rsid w:val="35D97593"/>
    <w:rsid w:val="35DE3514"/>
    <w:rsid w:val="35DE52C2"/>
    <w:rsid w:val="35DF103A"/>
    <w:rsid w:val="35E12C8E"/>
    <w:rsid w:val="35E55EBD"/>
    <w:rsid w:val="35E77E4F"/>
    <w:rsid w:val="35EF74CF"/>
    <w:rsid w:val="35F62C8A"/>
    <w:rsid w:val="35F72828"/>
    <w:rsid w:val="35F745D6"/>
    <w:rsid w:val="35FB3217"/>
    <w:rsid w:val="35FD7A3A"/>
    <w:rsid w:val="35FE5964"/>
    <w:rsid w:val="36003C3B"/>
    <w:rsid w:val="36056CF3"/>
    <w:rsid w:val="360C2177"/>
    <w:rsid w:val="360D204B"/>
    <w:rsid w:val="36146F36"/>
    <w:rsid w:val="36183502"/>
    <w:rsid w:val="361C228F"/>
    <w:rsid w:val="361E6007"/>
    <w:rsid w:val="361E7DB5"/>
    <w:rsid w:val="36203B2D"/>
    <w:rsid w:val="36274EBB"/>
    <w:rsid w:val="362829E1"/>
    <w:rsid w:val="3628478F"/>
    <w:rsid w:val="36286E2C"/>
    <w:rsid w:val="36287A94"/>
    <w:rsid w:val="363419D7"/>
    <w:rsid w:val="36356EAC"/>
    <w:rsid w:val="363A19D3"/>
    <w:rsid w:val="363B44C3"/>
    <w:rsid w:val="363E3FB3"/>
    <w:rsid w:val="36421CF5"/>
    <w:rsid w:val="3645237C"/>
    <w:rsid w:val="364B0F2B"/>
    <w:rsid w:val="364D2448"/>
    <w:rsid w:val="364D442C"/>
    <w:rsid w:val="36534A99"/>
    <w:rsid w:val="36541A28"/>
    <w:rsid w:val="365467A2"/>
    <w:rsid w:val="365612FD"/>
    <w:rsid w:val="36580294"/>
    <w:rsid w:val="36581519"/>
    <w:rsid w:val="36593393"/>
    <w:rsid w:val="365B2DB7"/>
    <w:rsid w:val="365D08DD"/>
    <w:rsid w:val="3660217B"/>
    <w:rsid w:val="36617CA1"/>
    <w:rsid w:val="366559E4"/>
    <w:rsid w:val="36681030"/>
    <w:rsid w:val="366A146E"/>
    <w:rsid w:val="366C2122"/>
    <w:rsid w:val="36714388"/>
    <w:rsid w:val="3676374D"/>
    <w:rsid w:val="367A7F3D"/>
    <w:rsid w:val="367B6FB5"/>
    <w:rsid w:val="367D2D2D"/>
    <w:rsid w:val="36835E6A"/>
    <w:rsid w:val="3684230E"/>
    <w:rsid w:val="36857E34"/>
    <w:rsid w:val="36872C23"/>
    <w:rsid w:val="36874873"/>
    <w:rsid w:val="368A544A"/>
    <w:rsid w:val="368B5410"/>
    <w:rsid w:val="368D049B"/>
    <w:rsid w:val="368F6DB0"/>
    <w:rsid w:val="36931ED8"/>
    <w:rsid w:val="369938DF"/>
    <w:rsid w:val="369E4A52"/>
    <w:rsid w:val="369E56BC"/>
    <w:rsid w:val="36A77DAA"/>
    <w:rsid w:val="36A979BD"/>
    <w:rsid w:val="36AE738B"/>
    <w:rsid w:val="36B129D7"/>
    <w:rsid w:val="36B35DB0"/>
    <w:rsid w:val="36B41D7F"/>
    <w:rsid w:val="36B424C7"/>
    <w:rsid w:val="36B808A5"/>
    <w:rsid w:val="36B81FB7"/>
    <w:rsid w:val="36B96B1A"/>
    <w:rsid w:val="36B9755C"/>
    <w:rsid w:val="36BA5D2F"/>
    <w:rsid w:val="36BD5820"/>
    <w:rsid w:val="36BD725D"/>
    <w:rsid w:val="36BE184E"/>
    <w:rsid w:val="36BE68D3"/>
    <w:rsid w:val="36C02C1A"/>
    <w:rsid w:val="36C3670B"/>
    <w:rsid w:val="36CB3157"/>
    <w:rsid w:val="36D05553"/>
    <w:rsid w:val="36DA3853"/>
    <w:rsid w:val="36DB5CA6"/>
    <w:rsid w:val="36DD4332"/>
    <w:rsid w:val="36DF3D38"/>
    <w:rsid w:val="36DF7544"/>
    <w:rsid w:val="36F11025"/>
    <w:rsid w:val="36F31241"/>
    <w:rsid w:val="36F54FB9"/>
    <w:rsid w:val="36F66F2D"/>
    <w:rsid w:val="36F712A1"/>
    <w:rsid w:val="36FA25D0"/>
    <w:rsid w:val="36FC3260"/>
    <w:rsid w:val="3700570C"/>
    <w:rsid w:val="37074CED"/>
    <w:rsid w:val="37076A9B"/>
    <w:rsid w:val="370C2303"/>
    <w:rsid w:val="370E1BD7"/>
    <w:rsid w:val="370E7BA0"/>
    <w:rsid w:val="370F76FD"/>
    <w:rsid w:val="371140A5"/>
    <w:rsid w:val="3712275F"/>
    <w:rsid w:val="37123024"/>
    <w:rsid w:val="37144D14"/>
    <w:rsid w:val="37164FDC"/>
    <w:rsid w:val="371A057C"/>
    <w:rsid w:val="371A4A20"/>
    <w:rsid w:val="371B60A2"/>
    <w:rsid w:val="371D62BE"/>
    <w:rsid w:val="37215DAE"/>
    <w:rsid w:val="37256E3E"/>
    <w:rsid w:val="372749F3"/>
    <w:rsid w:val="37372126"/>
    <w:rsid w:val="37384EA6"/>
    <w:rsid w:val="37386C54"/>
    <w:rsid w:val="373B04F2"/>
    <w:rsid w:val="37451E8B"/>
    <w:rsid w:val="3748158D"/>
    <w:rsid w:val="374B4BD9"/>
    <w:rsid w:val="374C14FE"/>
    <w:rsid w:val="374E17D6"/>
    <w:rsid w:val="374F6B69"/>
    <w:rsid w:val="37503F9E"/>
    <w:rsid w:val="37533EB5"/>
    <w:rsid w:val="37557806"/>
    <w:rsid w:val="375D2B5F"/>
    <w:rsid w:val="37621F23"/>
    <w:rsid w:val="37691EBB"/>
    <w:rsid w:val="376D126F"/>
    <w:rsid w:val="3774310E"/>
    <w:rsid w:val="37743447"/>
    <w:rsid w:val="37802EB4"/>
    <w:rsid w:val="3781684D"/>
    <w:rsid w:val="378308F6"/>
    <w:rsid w:val="3783111E"/>
    <w:rsid w:val="378400EB"/>
    <w:rsid w:val="37841E99"/>
    <w:rsid w:val="37857C22"/>
    <w:rsid w:val="378620B5"/>
    <w:rsid w:val="378700C7"/>
    <w:rsid w:val="37881E0E"/>
    <w:rsid w:val="37885244"/>
    <w:rsid w:val="378D6FA0"/>
    <w:rsid w:val="378E0F6A"/>
    <w:rsid w:val="378E2D18"/>
    <w:rsid w:val="379245B6"/>
    <w:rsid w:val="3794253C"/>
    <w:rsid w:val="379441F2"/>
    <w:rsid w:val="37971BCD"/>
    <w:rsid w:val="379E1E99"/>
    <w:rsid w:val="379F5137"/>
    <w:rsid w:val="37A4078E"/>
    <w:rsid w:val="37A60062"/>
    <w:rsid w:val="37A662B4"/>
    <w:rsid w:val="37A95DA4"/>
    <w:rsid w:val="37AB362A"/>
    <w:rsid w:val="37AE183F"/>
    <w:rsid w:val="37B645D5"/>
    <w:rsid w:val="37B70636"/>
    <w:rsid w:val="37B71EE9"/>
    <w:rsid w:val="37BC1633"/>
    <w:rsid w:val="37BF7375"/>
    <w:rsid w:val="37C329C2"/>
    <w:rsid w:val="37C624B2"/>
    <w:rsid w:val="37C91FA2"/>
    <w:rsid w:val="37D050DF"/>
    <w:rsid w:val="37D22C05"/>
    <w:rsid w:val="37D34491"/>
    <w:rsid w:val="37D44BCF"/>
    <w:rsid w:val="37D50947"/>
    <w:rsid w:val="37D90437"/>
    <w:rsid w:val="37D96E47"/>
    <w:rsid w:val="37DA41AF"/>
    <w:rsid w:val="37DA5F5D"/>
    <w:rsid w:val="37DC1CD5"/>
    <w:rsid w:val="37DC3A83"/>
    <w:rsid w:val="37DC7F27"/>
    <w:rsid w:val="37DE77FC"/>
    <w:rsid w:val="37DF7AAB"/>
    <w:rsid w:val="37E62B54"/>
    <w:rsid w:val="37E66CE8"/>
    <w:rsid w:val="37E81549"/>
    <w:rsid w:val="37EC35F3"/>
    <w:rsid w:val="37F07549"/>
    <w:rsid w:val="37F442AD"/>
    <w:rsid w:val="38037262"/>
    <w:rsid w:val="38042FDA"/>
    <w:rsid w:val="38084878"/>
    <w:rsid w:val="38085751"/>
    <w:rsid w:val="380B6117"/>
    <w:rsid w:val="380E4E7F"/>
    <w:rsid w:val="380F5C07"/>
    <w:rsid w:val="3810197F"/>
    <w:rsid w:val="38163439"/>
    <w:rsid w:val="381A327B"/>
    <w:rsid w:val="381C0324"/>
    <w:rsid w:val="381C20D2"/>
    <w:rsid w:val="381E5E4A"/>
    <w:rsid w:val="38207E14"/>
    <w:rsid w:val="38213B8C"/>
    <w:rsid w:val="38244A09"/>
    <w:rsid w:val="3825367C"/>
    <w:rsid w:val="3829268B"/>
    <w:rsid w:val="382A0C93"/>
    <w:rsid w:val="382A2A41"/>
    <w:rsid w:val="382C3278"/>
    <w:rsid w:val="382C4A0B"/>
    <w:rsid w:val="38303DCF"/>
    <w:rsid w:val="38305B7D"/>
    <w:rsid w:val="38333D70"/>
    <w:rsid w:val="38367638"/>
    <w:rsid w:val="383A53F2"/>
    <w:rsid w:val="383C2774"/>
    <w:rsid w:val="38431D54"/>
    <w:rsid w:val="38455ACD"/>
    <w:rsid w:val="38467699"/>
    <w:rsid w:val="384719F6"/>
    <w:rsid w:val="384A45F0"/>
    <w:rsid w:val="384D3002"/>
    <w:rsid w:val="384E202A"/>
    <w:rsid w:val="384E7D53"/>
    <w:rsid w:val="3851222B"/>
    <w:rsid w:val="38523D46"/>
    <w:rsid w:val="38575800"/>
    <w:rsid w:val="3858581B"/>
    <w:rsid w:val="38593326"/>
    <w:rsid w:val="386121DB"/>
    <w:rsid w:val="386341A5"/>
    <w:rsid w:val="386912CE"/>
    <w:rsid w:val="386C6343"/>
    <w:rsid w:val="386D0B7F"/>
    <w:rsid w:val="386E2DF5"/>
    <w:rsid w:val="386F3B58"/>
    <w:rsid w:val="38762516"/>
    <w:rsid w:val="387B0939"/>
    <w:rsid w:val="387B504A"/>
    <w:rsid w:val="38863AC2"/>
    <w:rsid w:val="388760E5"/>
    <w:rsid w:val="38877EE4"/>
    <w:rsid w:val="38887E99"/>
    <w:rsid w:val="388C7258"/>
    <w:rsid w:val="38926838"/>
    <w:rsid w:val="38966328"/>
    <w:rsid w:val="38991974"/>
    <w:rsid w:val="389B2134"/>
    <w:rsid w:val="389C7BC9"/>
    <w:rsid w:val="389D1465"/>
    <w:rsid w:val="389E51DD"/>
    <w:rsid w:val="38A00F55"/>
    <w:rsid w:val="38A04AB1"/>
    <w:rsid w:val="38A24CCD"/>
    <w:rsid w:val="38A30A45"/>
    <w:rsid w:val="38A31D4E"/>
    <w:rsid w:val="38A70954"/>
    <w:rsid w:val="38AA1DD4"/>
    <w:rsid w:val="38AF2A34"/>
    <w:rsid w:val="38B866AC"/>
    <w:rsid w:val="38B90269"/>
    <w:rsid w:val="38B92017"/>
    <w:rsid w:val="38BA3252"/>
    <w:rsid w:val="38BB5D8F"/>
    <w:rsid w:val="38BE51CF"/>
    <w:rsid w:val="38C22C79"/>
    <w:rsid w:val="38C67F71"/>
    <w:rsid w:val="38C70CF9"/>
    <w:rsid w:val="38C763F5"/>
    <w:rsid w:val="38CA5FD2"/>
    <w:rsid w:val="38CC7F9C"/>
    <w:rsid w:val="38CD618A"/>
    <w:rsid w:val="38D2355B"/>
    <w:rsid w:val="38D35896"/>
    <w:rsid w:val="38D6218C"/>
    <w:rsid w:val="38D66725"/>
    <w:rsid w:val="38D86A19"/>
    <w:rsid w:val="38DB1F8D"/>
    <w:rsid w:val="38DC0DE7"/>
    <w:rsid w:val="38DE4E7C"/>
    <w:rsid w:val="38E52E0C"/>
    <w:rsid w:val="38E54BBA"/>
    <w:rsid w:val="38EE1296"/>
    <w:rsid w:val="38F31085"/>
    <w:rsid w:val="38F92B32"/>
    <w:rsid w:val="38FB262F"/>
    <w:rsid w:val="38FD5265"/>
    <w:rsid w:val="38FD63A7"/>
    <w:rsid w:val="38FD6EBD"/>
    <w:rsid w:val="390239BE"/>
    <w:rsid w:val="3902473C"/>
    <w:rsid w:val="3902576C"/>
    <w:rsid w:val="390436A9"/>
    <w:rsid w:val="3905700A"/>
    <w:rsid w:val="390867A2"/>
    <w:rsid w:val="39096AFA"/>
    <w:rsid w:val="390B0AC4"/>
    <w:rsid w:val="390E4110"/>
    <w:rsid w:val="391060DB"/>
    <w:rsid w:val="39180EE5"/>
    <w:rsid w:val="391B4A7F"/>
    <w:rsid w:val="39213BBD"/>
    <w:rsid w:val="39243934"/>
    <w:rsid w:val="39262329"/>
    <w:rsid w:val="39264651"/>
    <w:rsid w:val="392E2526"/>
    <w:rsid w:val="392E47B3"/>
    <w:rsid w:val="392E6561"/>
    <w:rsid w:val="39382F3B"/>
    <w:rsid w:val="39390772"/>
    <w:rsid w:val="393B61C6"/>
    <w:rsid w:val="393C6ED0"/>
    <w:rsid w:val="394445BA"/>
    <w:rsid w:val="39455658"/>
    <w:rsid w:val="394B7113"/>
    <w:rsid w:val="394C4C39"/>
    <w:rsid w:val="394D77FC"/>
    <w:rsid w:val="39504729"/>
    <w:rsid w:val="39553AED"/>
    <w:rsid w:val="39561614"/>
    <w:rsid w:val="39565080"/>
    <w:rsid w:val="395D29A2"/>
    <w:rsid w:val="396605BD"/>
    <w:rsid w:val="396854CF"/>
    <w:rsid w:val="39690EDF"/>
    <w:rsid w:val="396B3311"/>
    <w:rsid w:val="396C52DB"/>
    <w:rsid w:val="396C7089"/>
    <w:rsid w:val="396E2E01"/>
    <w:rsid w:val="3975654A"/>
    <w:rsid w:val="39763A64"/>
    <w:rsid w:val="39783C80"/>
    <w:rsid w:val="39795389"/>
    <w:rsid w:val="39796E04"/>
    <w:rsid w:val="397A3554"/>
    <w:rsid w:val="397A79F8"/>
    <w:rsid w:val="397C7659"/>
    <w:rsid w:val="397D1296"/>
    <w:rsid w:val="397D4DF2"/>
    <w:rsid w:val="397E49AE"/>
    <w:rsid w:val="39800C8F"/>
    <w:rsid w:val="39832396"/>
    <w:rsid w:val="398A0EDF"/>
    <w:rsid w:val="39930ABA"/>
    <w:rsid w:val="3995038E"/>
    <w:rsid w:val="3995135A"/>
    <w:rsid w:val="39974106"/>
    <w:rsid w:val="399F745E"/>
    <w:rsid w:val="39A55AE7"/>
    <w:rsid w:val="39A6259B"/>
    <w:rsid w:val="39A86313"/>
    <w:rsid w:val="39AD5A62"/>
    <w:rsid w:val="39AE31FE"/>
    <w:rsid w:val="39B01DDC"/>
    <w:rsid w:val="39B23055"/>
    <w:rsid w:val="39BB1206"/>
    <w:rsid w:val="39BE5B37"/>
    <w:rsid w:val="39BF365D"/>
    <w:rsid w:val="39CE19B2"/>
    <w:rsid w:val="39CE2BC6"/>
    <w:rsid w:val="39CE684A"/>
    <w:rsid w:val="39CF4A42"/>
    <w:rsid w:val="39D03040"/>
    <w:rsid w:val="39D37108"/>
    <w:rsid w:val="39D4559A"/>
    <w:rsid w:val="39D54C2E"/>
    <w:rsid w:val="39D569DC"/>
    <w:rsid w:val="39D679A3"/>
    <w:rsid w:val="39D72754"/>
    <w:rsid w:val="39D74761"/>
    <w:rsid w:val="39D7609D"/>
    <w:rsid w:val="39D76BE6"/>
    <w:rsid w:val="39D8471E"/>
    <w:rsid w:val="39E14F80"/>
    <w:rsid w:val="39E15381"/>
    <w:rsid w:val="39E25E3E"/>
    <w:rsid w:val="39E430C3"/>
    <w:rsid w:val="39E62997"/>
    <w:rsid w:val="39E66E3B"/>
    <w:rsid w:val="39F07CBA"/>
    <w:rsid w:val="39F22FF2"/>
    <w:rsid w:val="39F50E2C"/>
    <w:rsid w:val="39F84DF5"/>
    <w:rsid w:val="39F95ACD"/>
    <w:rsid w:val="39F96B6F"/>
    <w:rsid w:val="3A003653"/>
    <w:rsid w:val="3A014855"/>
    <w:rsid w:val="3A024B77"/>
    <w:rsid w:val="3A033549"/>
    <w:rsid w:val="3A053765"/>
    <w:rsid w:val="3A080B60"/>
    <w:rsid w:val="3A0A0D7C"/>
    <w:rsid w:val="3A0A236E"/>
    <w:rsid w:val="3A0B0650"/>
    <w:rsid w:val="3A147C15"/>
    <w:rsid w:val="3A1731F1"/>
    <w:rsid w:val="3A192D6D"/>
    <w:rsid w:val="3A1C3745"/>
    <w:rsid w:val="3A1E0383"/>
    <w:rsid w:val="3A23599A"/>
    <w:rsid w:val="3A2443AC"/>
    <w:rsid w:val="3A281202"/>
    <w:rsid w:val="3A284DEF"/>
    <w:rsid w:val="3A2A442B"/>
    <w:rsid w:val="3A2D4A6A"/>
    <w:rsid w:val="3A2F32A9"/>
    <w:rsid w:val="3A304D85"/>
    <w:rsid w:val="3A3157E3"/>
    <w:rsid w:val="3A327036"/>
    <w:rsid w:val="3A35391F"/>
    <w:rsid w:val="3A3758E9"/>
    <w:rsid w:val="3A377697"/>
    <w:rsid w:val="3A3E2771"/>
    <w:rsid w:val="3A402444"/>
    <w:rsid w:val="3A405D74"/>
    <w:rsid w:val="3A414072"/>
    <w:rsid w:val="3A431AAB"/>
    <w:rsid w:val="3A434ABC"/>
    <w:rsid w:val="3A43663F"/>
    <w:rsid w:val="3A464B75"/>
    <w:rsid w:val="3A4A73CA"/>
    <w:rsid w:val="3A4B4EF0"/>
    <w:rsid w:val="3A4F2C33"/>
    <w:rsid w:val="3A4F77A4"/>
    <w:rsid w:val="3A52627F"/>
    <w:rsid w:val="3A526FCD"/>
    <w:rsid w:val="3A5529DE"/>
    <w:rsid w:val="3A563FC1"/>
    <w:rsid w:val="3A5B2B4D"/>
    <w:rsid w:val="3A5B5D7C"/>
    <w:rsid w:val="3A632DE5"/>
    <w:rsid w:val="3A633EFE"/>
    <w:rsid w:val="3A647D60"/>
    <w:rsid w:val="3A6A7A6C"/>
    <w:rsid w:val="3A6F21FD"/>
    <w:rsid w:val="3A712BA9"/>
    <w:rsid w:val="3A725515"/>
    <w:rsid w:val="3A726921"/>
    <w:rsid w:val="3A763356"/>
    <w:rsid w:val="3A766411"/>
    <w:rsid w:val="3A7C154E"/>
    <w:rsid w:val="3A816B64"/>
    <w:rsid w:val="3A850402"/>
    <w:rsid w:val="3A891719"/>
    <w:rsid w:val="3A8D4CF2"/>
    <w:rsid w:val="3A8D72B7"/>
    <w:rsid w:val="3A8E52DD"/>
    <w:rsid w:val="3A9105D6"/>
    <w:rsid w:val="3A96323D"/>
    <w:rsid w:val="3A970446"/>
    <w:rsid w:val="3A974951"/>
    <w:rsid w:val="3A9A5D18"/>
    <w:rsid w:val="3AA20FB4"/>
    <w:rsid w:val="3AA24B9D"/>
    <w:rsid w:val="3AA36FE6"/>
    <w:rsid w:val="3AA500E7"/>
    <w:rsid w:val="3AA60379"/>
    <w:rsid w:val="3AA840F1"/>
    <w:rsid w:val="3AB147DF"/>
    <w:rsid w:val="3AB17449"/>
    <w:rsid w:val="3AB807D8"/>
    <w:rsid w:val="3AB83571"/>
    <w:rsid w:val="3ABE3914"/>
    <w:rsid w:val="3AC058DE"/>
    <w:rsid w:val="3AC151B3"/>
    <w:rsid w:val="3AC90836"/>
    <w:rsid w:val="3AC96ADB"/>
    <w:rsid w:val="3ACF5B21"/>
    <w:rsid w:val="3AD2116E"/>
    <w:rsid w:val="3AD34B24"/>
    <w:rsid w:val="3ADB44C6"/>
    <w:rsid w:val="3AE079E8"/>
    <w:rsid w:val="3AE27603"/>
    <w:rsid w:val="3AE72E6B"/>
    <w:rsid w:val="3AEA64B7"/>
    <w:rsid w:val="3AEE3DE2"/>
    <w:rsid w:val="3AF51DB2"/>
    <w:rsid w:val="3AF71142"/>
    <w:rsid w:val="3AF71D22"/>
    <w:rsid w:val="3AFB1BA9"/>
    <w:rsid w:val="3AFB5CD8"/>
    <w:rsid w:val="3B017003"/>
    <w:rsid w:val="3B021A53"/>
    <w:rsid w:val="3B035BC1"/>
    <w:rsid w:val="3B036DFF"/>
    <w:rsid w:val="3B05373E"/>
    <w:rsid w:val="3B07537F"/>
    <w:rsid w:val="3B077069"/>
    <w:rsid w:val="3B082BD3"/>
    <w:rsid w:val="3B0A6B5A"/>
    <w:rsid w:val="3B0D6725"/>
    <w:rsid w:val="3B0F5F1E"/>
    <w:rsid w:val="3B0F7D1B"/>
    <w:rsid w:val="3B112AB2"/>
    <w:rsid w:val="3B117EE8"/>
    <w:rsid w:val="3B143534"/>
    <w:rsid w:val="3B181276"/>
    <w:rsid w:val="3B181913"/>
    <w:rsid w:val="3B194FEF"/>
    <w:rsid w:val="3B1F2605"/>
    <w:rsid w:val="3B224FD7"/>
    <w:rsid w:val="3B2C4B14"/>
    <w:rsid w:val="3B2D6EA8"/>
    <w:rsid w:val="3B2F187C"/>
    <w:rsid w:val="3B31058A"/>
    <w:rsid w:val="3B3616FD"/>
    <w:rsid w:val="3B3631B0"/>
    <w:rsid w:val="3B3A743F"/>
    <w:rsid w:val="3B3C5257"/>
    <w:rsid w:val="3B4262F3"/>
    <w:rsid w:val="3B4E6A46"/>
    <w:rsid w:val="3B4F27BE"/>
    <w:rsid w:val="3B581673"/>
    <w:rsid w:val="3B584BE2"/>
    <w:rsid w:val="3B5D137F"/>
    <w:rsid w:val="3B5F521D"/>
    <w:rsid w:val="3B6130DB"/>
    <w:rsid w:val="3B661C68"/>
    <w:rsid w:val="3B6F4C0F"/>
    <w:rsid w:val="3B7010B2"/>
    <w:rsid w:val="3B710987"/>
    <w:rsid w:val="3B730DCE"/>
    <w:rsid w:val="3B77232F"/>
    <w:rsid w:val="3B783AC3"/>
    <w:rsid w:val="3B813AFD"/>
    <w:rsid w:val="3B820D98"/>
    <w:rsid w:val="3B854432"/>
    <w:rsid w:val="3B8A37F6"/>
    <w:rsid w:val="3B8A5BD4"/>
    <w:rsid w:val="3B8C57C0"/>
    <w:rsid w:val="3B8D7BFE"/>
    <w:rsid w:val="3B944428"/>
    <w:rsid w:val="3B9B5A04"/>
    <w:rsid w:val="3BA26809"/>
    <w:rsid w:val="3BA40D5C"/>
    <w:rsid w:val="3BA66882"/>
    <w:rsid w:val="3BA725FA"/>
    <w:rsid w:val="3BAB3E99"/>
    <w:rsid w:val="3BAC19BF"/>
    <w:rsid w:val="3BAE2704"/>
    <w:rsid w:val="3BAE3989"/>
    <w:rsid w:val="3BAF140A"/>
    <w:rsid w:val="3BB05953"/>
    <w:rsid w:val="3BB254A4"/>
    <w:rsid w:val="3BB84807"/>
    <w:rsid w:val="3BBD1B44"/>
    <w:rsid w:val="3BC35686"/>
    <w:rsid w:val="3BC767F9"/>
    <w:rsid w:val="3BCA3EDA"/>
    <w:rsid w:val="3BCC739C"/>
    <w:rsid w:val="3BCE402B"/>
    <w:rsid w:val="3BCF3541"/>
    <w:rsid w:val="3BD20881"/>
    <w:rsid w:val="3BD21426"/>
    <w:rsid w:val="3BD3519D"/>
    <w:rsid w:val="3BD76CB6"/>
    <w:rsid w:val="3BD863BB"/>
    <w:rsid w:val="3BD903D1"/>
    <w:rsid w:val="3BDA2F69"/>
    <w:rsid w:val="3BDF7A39"/>
    <w:rsid w:val="3BE15B0C"/>
    <w:rsid w:val="3BE64ED1"/>
    <w:rsid w:val="3BE70C49"/>
    <w:rsid w:val="3BED2703"/>
    <w:rsid w:val="3BF04AE2"/>
    <w:rsid w:val="3BF12B77"/>
    <w:rsid w:val="3BF30FF2"/>
    <w:rsid w:val="3BF42E05"/>
    <w:rsid w:val="3BF464AA"/>
    <w:rsid w:val="3BF53366"/>
    <w:rsid w:val="3BF55114"/>
    <w:rsid w:val="3BFA0A8A"/>
    <w:rsid w:val="3BFB28FE"/>
    <w:rsid w:val="3BFB7BD3"/>
    <w:rsid w:val="3BFD40DF"/>
    <w:rsid w:val="3C0B2B89"/>
    <w:rsid w:val="3C0C42A9"/>
    <w:rsid w:val="3C0D504B"/>
    <w:rsid w:val="3C0D7C2A"/>
    <w:rsid w:val="3C1020AE"/>
    <w:rsid w:val="3C123F18"/>
    <w:rsid w:val="3C131A3E"/>
    <w:rsid w:val="3C1C3EB5"/>
    <w:rsid w:val="3C1E3D41"/>
    <w:rsid w:val="3C254A5D"/>
    <w:rsid w:val="3C2728E6"/>
    <w:rsid w:val="3C291261"/>
    <w:rsid w:val="3C2974B3"/>
    <w:rsid w:val="3C2B4FD9"/>
    <w:rsid w:val="3C2B6D87"/>
    <w:rsid w:val="3C2D62BB"/>
    <w:rsid w:val="3C2E6878"/>
    <w:rsid w:val="3C327705"/>
    <w:rsid w:val="3C3319EF"/>
    <w:rsid w:val="3C340332"/>
    <w:rsid w:val="3C3627B6"/>
    <w:rsid w:val="3C3674DD"/>
    <w:rsid w:val="3C37572C"/>
    <w:rsid w:val="3C3A346E"/>
    <w:rsid w:val="3C3A6FCB"/>
    <w:rsid w:val="3C3F2833"/>
    <w:rsid w:val="3C406CD7"/>
    <w:rsid w:val="3C410359"/>
    <w:rsid w:val="3C411D7F"/>
    <w:rsid w:val="3C44609B"/>
    <w:rsid w:val="3C446452"/>
    <w:rsid w:val="3C446AF8"/>
    <w:rsid w:val="3C4560B7"/>
    <w:rsid w:val="3C480259"/>
    <w:rsid w:val="3C4B0050"/>
    <w:rsid w:val="3C4E403C"/>
    <w:rsid w:val="3C5619B7"/>
    <w:rsid w:val="3C5E0F0B"/>
    <w:rsid w:val="3C5F4C83"/>
    <w:rsid w:val="3C6315CC"/>
    <w:rsid w:val="3C6A3D54"/>
    <w:rsid w:val="3C6C74F7"/>
    <w:rsid w:val="3C6E4D87"/>
    <w:rsid w:val="3C733E98"/>
    <w:rsid w:val="3C7626F9"/>
    <w:rsid w:val="3C77021F"/>
    <w:rsid w:val="3C7839AE"/>
    <w:rsid w:val="3C7E2106"/>
    <w:rsid w:val="3C7F70D3"/>
    <w:rsid w:val="3C850B8E"/>
    <w:rsid w:val="3C8A7F52"/>
    <w:rsid w:val="3C8B5A78"/>
    <w:rsid w:val="3C8D005F"/>
    <w:rsid w:val="3C93049A"/>
    <w:rsid w:val="3C990195"/>
    <w:rsid w:val="3CA01D4A"/>
    <w:rsid w:val="3CA408E8"/>
    <w:rsid w:val="3CA75B1D"/>
    <w:rsid w:val="3CAB7219"/>
    <w:rsid w:val="3CB52AF5"/>
    <w:rsid w:val="3CB90837"/>
    <w:rsid w:val="3CBA010B"/>
    <w:rsid w:val="3CBB635D"/>
    <w:rsid w:val="3CBE25E8"/>
    <w:rsid w:val="3CC11E03"/>
    <w:rsid w:val="3CC571DC"/>
    <w:rsid w:val="3CC65D39"/>
    <w:rsid w:val="3CC72F54"/>
    <w:rsid w:val="3CCC15BB"/>
    <w:rsid w:val="3CCD6091"/>
    <w:rsid w:val="3CD04124"/>
    <w:rsid w:val="3CD068D2"/>
    <w:rsid w:val="3CD5481C"/>
    <w:rsid w:val="3CD64F45"/>
    <w:rsid w:val="3CD657B2"/>
    <w:rsid w:val="3CDF390F"/>
    <w:rsid w:val="3CE04D3A"/>
    <w:rsid w:val="3CE138EA"/>
    <w:rsid w:val="3CE31410"/>
    <w:rsid w:val="3CE33B06"/>
    <w:rsid w:val="3CE3784A"/>
    <w:rsid w:val="3CE54EBA"/>
    <w:rsid w:val="3CE820CA"/>
    <w:rsid w:val="3CEB35AE"/>
    <w:rsid w:val="3CF4186F"/>
    <w:rsid w:val="3CF74EBC"/>
    <w:rsid w:val="3CF905D0"/>
    <w:rsid w:val="3CFA3924"/>
    <w:rsid w:val="3CFA6280"/>
    <w:rsid w:val="3CFB2BFE"/>
    <w:rsid w:val="3CFC7D7F"/>
    <w:rsid w:val="3D001FC2"/>
    <w:rsid w:val="3D0A2E41"/>
    <w:rsid w:val="3D0E3E15"/>
    <w:rsid w:val="3D0F2205"/>
    <w:rsid w:val="3D0F48FB"/>
    <w:rsid w:val="3D116594"/>
    <w:rsid w:val="3D127F47"/>
    <w:rsid w:val="3D136199"/>
    <w:rsid w:val="3D197528"/>
    <w:rsid w:val="3D232155"/>
    <w:rsid w:val="3D255522"/>
    <w:rsid w:val="3D271AD9"/>
    <w:rsid w:val="3D281519"/>
    <w:rsid w:val="3D2A34E3"/>
    <w:rsid w:val="3D2A5291"/>
    <w:rsid w:val="3D2B22BE"/>
    <w:rsid w:val="3D2E2FD3"/>
    <w:rsid w:val="3D2F4655"/>
    <w:rsid w:val="3D337B49"/>
    <w:rsid w:val="3D3547E9"/>
    <w:rsid w:val="3D3D4FC4"/>
    <w:rsid w:val="3D3E2AEA"/>
    <w:rsid w:val="3D3E7892"/>
    <w:rsid w:val="3D475E43"/>
    <w:rsid w:val="3D4A5D46"/>
    <w:rsid w:val="3D4B46D2"/>
    <w:rsid w:val="3D4F44B1"/>
    <w:rsid w:val="3D570D0A"/>
    <w:rsid w:val="3D5A3DC8"/>
    <w:rsid w:val="3D5D0E7C"/>
    <w:rsid w:val="3D5F2A7D"/>
    <w:rsid w:val="3D640B81"/>
    <w:rsid w:val="3D6A1B31"/>
    <w:rsid w:val="3D6A7D83"/>
    <w:rsid w:val="3D6B7CE5"/>
    <w:rsid w:val="3D6F27E5"/>
    <w:rsid w:val="3D734E8A"/>
    <w:rsid w:val="3D74475E"/>
    <w:rsid w:val="3D773E88"/>
    <w:rsid w:val="3D7824A0"/>
    <w:rsid w:val="3D78574A"/>
    <w:rsid w:val="3D8250CD"/>
    <w:rsid w:val="3D842BF3"/>
    <w:rsid w:val="3D854862"/>
    <w:rsid w:val="3D8574A8"/>
    <w:rsid w:val="3D857F2A"/>
    <w:rsid w:val="3D89020A"/>
    <w:rsid w:val="3D8B4BBC"/>
    <w:rsid w:val="3D931304"/>
    <w:rsid w:val="3D960B78"/>
    <w:rsid w:val="3D964719"/>
    <w:rsid w:val="3D9D1F07"/>
    <w:rsid w:val="3D9F7A2D"/>
    <w:rsid w:val="3DA05553"/>
    <w:rsid w:val="3DA2751D"/>
    <w:rsid w:val="3DA45043"/>
    <w:rsid w:val="3DA46DF1"/>
    <w:rsid w:val="3DAB63D2"/>
    <w:rsid w:val="3DAF6650"/>
    <w:rsid w:val="3DB17760"/>
    <w:rsid w:val="3DB64A86"/>
    <w:rsid w:val="3DB8289D"/>
    <w:rsid w:val="3DBD1B14"/>
    <w:rsid w:val="3DBF6E82"/>
    <w:rsid w:val="3DC01751"/>
    <w:rsid w:val="3DC51C1E"/>
    <w:rsid w:val="3DCD6A49"/>
    <w:rsid w:val="3DCF5402"/>
    <w:rsid w:val="3DD07C2E"/>
    <w:rsid w:val="3DD10D41"/>
    <w:rsid w:val="3DD1395F"/>
    <w:rsid w:val="3DD1570D"/>
    <w:rsid w:val="3DD3511F"/>
    <w:rsid w:val="3DD5344F"/>
    <w:rsid w:val="3DD75419"/>
    <w:rsid w:val="3DDA2813"/>
    <w:rsid w:val="3DE03BA2"/>
    <w:rsid w:val="3DE23DBE"/>
    <w:rsid w:val="3DE26767"/>
    <w:rsid w:val="3DE87D1F"/>
    <w:rsid w:val="3DEB65AF"/>
    <w:rsid w:val="3DEC37BF"/>
    <w:rsid w:val="3DEE1D27"/>
    <w:rsid w:val="3DF17B5D"/>
    <w:rsid w:val="3DF366EE"/>
    <w:rsid w:val="3DF53AF1"/>
    <w:rsid w:val="3DF5589F"/>
    <w:rsid w:val="3DF8713D"/>
    <w:rsid w:val="3DF93E26"/>
    <w:rsid w:val="3DFA2EB5"/>
    <w:rsid w:val="3E00579C"/>
    <w:rsid w:val="3E01608A"/>
    <w:rsid w:val="3E020039"/>
    <w:rsid w:val="3E032911"/>
    <w:rsid w:val="3E043D34"/>
    <w:rsid w:val="3E047890"/>
    <w:rsid w:val="3E057C97"/>
    <w:rsid w:val="3E0755D2"/>
    <w:rsid w:val="3E077380"/>
    <w:rsid w:val="3E0B0C1F"/>
    <w:rsid w:val="3E0B50C2"/>
    <w:rsid w:val="3E0D1175"/>
    <w:rsid w:val="3E0E070F"/>
    <w:rsid w:val="3E0E24CC"/>
    <w:rsid w:val="3E1008B3"/>
    <w:rsid w:val="3E10092B"/>
    <w:rsid w:val="3E1026D9"/>
    <w:rsid w:val="3E133F77"/>
    <w:rsid w:val="3E142187"/>
    <w:rsid w:val="3E152263"/>
    <w:rsid w:val="3E1A3557"/>
    <w:rsid w:val="3E1A5306"/>
    <w:rsid w:val="3E1C0879"/>
    <w:rsid w:val="3E1F0B6E"/>
    <w:rsid w:val="3E263B21"/>
    <w:rsid w:val="3E281F2B"/>
    <w:rsid w:val="3E293D0F"/>
    <w:rsid w:val="3E2C3159"/>
    <w:rsid w:val="3E2E5F95"/>
    <w:rsid w:val="3E3068D7"/>
    <w:rsid w:val="3E377C66"/>
    <w:rsid w:val="3E381E4A"/>
    <w:rsid w:val="3E3839DE"/>
    <w:rsid w:val="3E3845E3"/>
    <w:rsid w:val="3E3C2C4E"/>
    <w:rsid w:val="3E3D45BB"/>
    <w:rsid w:val="3E444130"/>
    <w:rsid w:val="3E467169"/>
    <w:rsid w:val="3E4714FD"/>
    <w:rsid w:val="3E4764ED"/>
    <w:rsid w:val="3E497999"/>
    <w:rsid w:val="3E4A2B2F"/>
    <w:rsid w:val="3E4B7514"/>
    <w:rsid w:val="3E4E4FAF"/>
    <w:rsid w:val="3E503A6B"/>
    <w:rsid w:val="3E516F4B"/>
    <w:rsid w:val="3E584676"/>
    <w:rsid w:val="3E5C591E"/>
    <w:rsid w:val="3E5C76CC"/>
    <w:rsid w:val="3E5D1F87"/>
    <w:rsid w:val="3E66239D"/>
    <w:rsid w:val="3E666900"/>
    <w:rsid w:val="3E6807D7"/>
    <w:rsid w:val="3E686071"/>
    <w:rsid w:val="3E6A003B"/>
    <w:rsid w:val="3E6E73FF"/>
    <w:rsid w:val="3E7250FB"/>
    <w:rsid w:val="3E73334C"/>
    <w:rsid w:val="3E734762"/>
    <w:rsid w:val="3E742C68"/>
    <w:rsid w:val="3E75253C"/>
    <w:rsid w:val="3E7D063E"/>
    <w:rsid w:val="3E872923"/>
    <w:rsid w:val="3E87795B"/>
    <w:rsid w:val="3E877D39"/>
    <w:rsid w:val="3E8804C1"/>
    <w:rsid w:val="3E9260D6"/>
    <w:rsid w:val="3E94330A"/>
    <w:rsid w:val="3E962118"/>
    <w:rsid w:val="3E966AD7"/>
    <w:rsid w:val="3E990920"/>
    <w:rsid w:val="3E99447C"/>
    <w:rsid w:val="3E9A01F4"/>
    <w:rsid w:val="3E9B6668"/>
    <w:rsid w:val="3E9C3F6D"/>
    <w:rsid w:val="3E9C6F27"/>
    <w:rsid w:val="3EA0108A"/>
    <w:rsid w:val="3EA0270D"/>
    <w:rsid w:val="3EA061E2"/>
    <w:rsid w:val="3EA13331"/>
    <w:rsid w:val="3EA42E21"/>
    <w:rsid w:val="3EA572C5"/>
    <w:rsid w:val="3EAE4245"/>
    <w:rsid w:val="3EB05225"/>
    <w:rsid w:val="3EB154A8"/>
    <w:rsid w:val="3EB412B6"/>
    <w:rsid w:val="3EB56DDC"/>
    <w:rsid w:val="3EB858B3"/>
    <w:rsid w:val="3EBE3EE3"/>
    <w:rsid w:val="3EC040FF"/>
    <w:rsid w:val="3EC11C25"/>
    <w:rsid w:val="3EC32875"/>
    <w:rsid w:val="3EC35EAA"/>
    <w:rsid w:val="3ECD4126"/>
    <w:rsid w:val="3ECD4D01"/>
    <w:rsid w:val="3ECE4D21"/>
    <w:rsid w:val="3ED0742A"/>
    <w:rsid w:val="3ED34B89"/>
    <w:rsid w:val="3ED90D1D"/>
    <w:rsid w:val="3EDA6843"/>
    <w:rsid w:val="3EDB2CE7"/>
    <w:rsid w:val="3EDE4585"/>
    <w:rsid w:val="3EDE747D"/>
    <w:rsid w:val="3EDE7B8A"/>
    <w:rsid w:val="3EE01D9D"/>
    <w:rsid w:val="3EE31B9B"/>
    <w:rsid w:val="3EE34462"/>
    <w:rsid w:val="3EE37DED"/>
    <w:rsid w:val="3EE53B65"/>
    <w:rsid w:val="3EE651E8"/>
    <w:rsid w:val="3EE76C6A"/>
    <w:rsid w:val="3EE85404"/>
    <w:rsid w:val="3EE96D7F"/>
    <w:rsid w:val="3EEB27FE"/>
    <w:rsid w:val="3EEC1113"/>
    <w:rsid w:val="3EEC4EF4"/>
    <w:rsid w:val="3EF03555"/>
    <w:rsid w:val="3EF26282"/>
    <w:rsid w:val="3EF618CF"/>
    <w:rsid w:val="3EF67B21"/>
    <w:rsid w:val="3EFB5264"/>
    <w:rsid w:val="3EFB6EE5"/>
    <w:rsid w:val="3EFD0EAF"/>
    <w:rsid w:val="3F0343B2"/>
    <w:rsid w:val="3F057D64"/>
    <w:rsid w:val="3F067638"/>
    <w:rsid w:val="3F081602"/>
    <w:rsid w:val="3F086863"/>
    <w:rsid w:val="3F0A35CC"/>
    <w:rsid w:val="3F0A537A"/>
    <w:rsid w:val="3F0C208E"/>
    <w:rsid w:val="3F0D6C18"/>
    <w:rsid w:val="3F0F1823"/>
    <w:rsid w:val="3F104947"/>
    <w:rsid w:val="3F1B4619"/>
    <w:rsid w:val="3F1D4F90"/>
    <w:rsid w:val="3F1E4C0C"/>
    <w:rsid w:val="3F1F7AF9"/>
    <w:rsid w:val="3F205045"/>
    <w:rsid w:val="3F20707E"/>
    <w:rsid w:val="3F2B015C"/>
    <w:rsid w:val="3F3212EB"/>
    <w:rsid w:val="3F3243F7"/>
    <w:rsid w:val="3F340649"/>
    <w:rsid w:val="3F340974"/>
    <w:rsid w:val="3F342188"/>
    <w:rsid w:val="3F3423F7"/>
    <w:rsid w:val="3F364027"/>
    <w:rsid w:val="3F400D9C"/>
    <w:rsid w:val="3F406FEE"/>
    <w:rsid w:val="3F412B64"/>
    <w:rsid w:val="3F4225CA"/>
    <w:rsid w:val="3F4563B2"/>
    <w:rsid w:val="3F4635E8"/>
    <w:rsid w:val="3F476B9F"/>
    <w:rsid w:val="3F4A7E6C"/>
    <w:rsid w:val="3F4D07CB"/>
    <w:rsid w:val="3F4D6710"/>
    <w:rsid w:val="3F542A99"/>
    <w:rsid w:val="3F577E93"/>
    <w:rsid w:val="3F5C54AA"/>
    <w:rsid w:val="3F5D6E73"/>
    <w:rsid w:val="3F6046C3"/>
    <w:rsid w:val="3F657446"/>
    <w:rsid w:val="3F68333F"/>
    <w:rsid w:val="3F78561B"/>
    <w:rsid w:val="3F7B6278"/>
    <w:rsid w:val="3F850EA5"/>
    <w:rsid w:val="3F873C4F"/>
    <w:rsid w:val="3F8844F1"/>
    <w:rsid w:val="3F890995"/>
    <w:rsid w:val="3F9133A5"/>
    <w:rsid w:val="3F930920"/>
    <w:rsid w:val="3F9368C9"/>
    <w:rsid w:val="3F9966FE"/>
    <w:rsid w:val="3F9D61EE"/>
    <w:rsid w:val="3F9E5AC2"/>
    <w:rsid w:val="3F9F7AD4"/>
    <w:rsid w:val="3FA3104F"/>
    <w:rsid w:val="3FA4757D"/>
    <w:rsid w:val="3FA550A3"/>
    <w:rsid w:val="3FA56E51"/>
    <w:rsid w:val="3FA72BC9"/>
    <w:rsid w:val="3FA7442C"/>
    <w:rsid w:val="3FAA090B"/>
    <w:rsid w:val="3FB12AEB"/>
    <w:rsid w:val="3FB33C46"/>
    <w:rsid w:val="3FB6105E"/>
    <w:rsid w:val="3FB83028"/>
    <w:rsid w:val="3FB928FC"/>
    <w:rsid w:val="3FC217B1"/>
    <w:rsid w:val="3FC419CD"/>
    <w:rsid w:val="3FC61BC5"/>
    <w:rsid w:val="3FC6325B"/>
    <w:rsid w:val="3FC656D1"/>
    <w:rsid w:val="3FC94672"/>
    <w:rsid w:val="3FCB5E99"/>
    <w:rsid w:val="3FCC6AD3"/>
    <w:rsid w:val="3FCE0156"/>
    <w:rsid w:val="3FD1085F"/>
    <w:rsid w:val="3FD5065A"/>
    <w:rsid w:val="3FDA2F9E"/>
    <w:rsid w:val="3FDA3F95"/>
    <w:rsid w:val="3FDC51AA"/>
    <w:rsid w:val="3FDD2A8F"/>
    <w:rsid w:val="3FDD483D"/>
    <w:rsid w:val="3FDE5539"/>
    <w:rsid w:val="3FE22806"/>
    <w:rsid w:val="3FE536F1"/>
    <w:rsid w:val="3FE750AA"/>
    <w:rsid w:val="3FE91433"/>
    <w:rsid w:val="3FEA2C6C"/>
    <w:rsid w:val="3FED1E53"/>
    <w:rsid w:val="3FEE098B"/>
    <w:rsid w:val="3FEE6A4A"/>
    <w:rsid w:val="3FF762AF"/>
    <w:rsid w:val="3FFB5E16"/>
    <w:rsid w:val="3FFC1167"/>
    <w:rsid w:val="40023EC3"/>
    <w:rsid w:val="40063D93"/>
    <w:rsid w:val="400948D1"/>
    <w:rsid w:val="400C2735"/>
    <w:rsid w:val="400F7B24"/>
    <w:rsid w:val="40155D85"/>
    <w:rsid w:val="40172382"/>
    <w:rsid w:val="40183AC7"/>
    <w:rsid w:val="401A50C7"/>
    <w:rsid w:val="401F4E55"/>
    <w:rsid w:val="40210BCD"/>
    <w:rsid w:val="40224945"/>
    <w:rsid w:val="402266F3"/>
    <w:rsid w:val="40295CD4"/>
    <w:rsid w:val="402C1320"/>
    <w:rsid w:val="402F46CA"/>
    <w:rsid w:val="40330901"/>
    <w:rsid w:val="4033445D"/>
    <w:rsid w:val="40356427"/>
    <w:rsid w:val="403A1C8F"/>
    <w:rsid w:val="403C0D10"/>
    <w:rsid w:val="403D52DB"/>
    <w:rsid w:val="4041301D"/>
    <w:rsid w:val="40426194"/>
    <w:rsid w:val="404623E2"/>
    <w:rsid w:val="404928D0"/>
    <w:rsid w:val="40493C80"/>
    <w:rsid w:val="404C551E"/>
    <w:rsid w:val="405A5E8D"/>
    <w:rsid w:val="40621EEF"/>
    <w:rsid w:val="40640ABA"/>
    <w:rsid w:val="40651C94"/>
    <w:rsid w:val="406646AB"/>
    <w:rsid w:val="40693C31"/>
    <w:rsid w:val="406960D0"/>
    <w:rsid w:val="406E346F"/>
    <w:rsid w:val="407056B1"/>
    <w:rsid w:val="40714DB1"/>
    <w:rsid w:val="407351B3"/>
    <w:rsid w:val="40747C78"/>
    <w:rsid w:val="4077259B"/>
    <w:rsid w:val="40785B3D"/>
    <w:rsid w:val="407A652F"/>
    <w:rsid w:val="407C07C0"/>
    <w:rsid w:val="407D392A"/>
    <w:rsid w:val="407E7DCE"/>
    <w:rsid w:val="40815BF7"/>
    <w:rsid w:val="408178BE"/>
    <w:rsid w:val="40844CB8"/>
    <w:rsid w:val="40890521"/>
    <w:rsid w:val="408F11CC"/>
    <w:rsid w:val="408F1FDB"/>
    <w:rsid w:val="40923879"/>
    <w:rsid w:val="4095054D"/>
    <w:rsid w:val="40953369"/>
    <w:rsid w:val="40966FE5"/>
    <w:rsid w:val="409842FD"/>
    <w:rsid w:val="40992947"/>
    <w:rsid w:val="40994C08"/>
    <w:rsid w:val="409C64A6"/>
    <w:rsid w:val="409F5F96"/>
    <w:rsid w:val="40A264F3"/>
    <w:rsid w:val="40A37834"/>
    <w:rsid w:val="40A47108"/>
    <w:rsid w:val="40A7160D"/>
    <w:rsid w:val="40A75E41"/>
    <w:rsid w:val="40A8087E"/>
    <w:rsid w:val="40AB3D1E"/>
    <w:rsid w:val="40AD2461"/>
    <w:rsid w:val="40AF61D9"/>
    <w:rsid w:val="40B3559D"/>
    <w:rsid w:val="40B43AD6"/>
    <w:rsid w:val="40B82BB4"/>
    <w:rsid w:val="40BA4B7E"/>
    <w:rsid w:val="40BD37DF"/>
    <w:rsid w:val="40C237EF"/>
    <w:rsid w:val="40C477AB"/>
    <w:rsid w:val="40C55EEB"/>
    <w:rsid w:val="40CA2AC8"/>
    <w:rsid w:val="40CB4602"/>
    <w:rsid w:val="40D10092"/>
    <w:rsid w:val="40D2307A"/>
    <w:rsid w:val="40D2486F"/>
    <w:rsid w:val="40D35433"/>
    <w:rsid w:val="40D55396"/>
    <w:rsid w:val="40D774DE"/>
    <w:rsid w:val="40DF6392"/>
    <w:rsid w:val="40E017D6"/>
    <w:rsid w:val="40E02836"/>
    <w:rsid w:val="40E85247"/>
    <w:rsid w:val="40EF4827"/>
    <w:rsid w:val="40F41E3E"/>
    <w:rsid w:val="40F464D6"/>
    <w:rsid w:val="40F6130A"/>
    <w:rsid w:val="40F63E08"/>
    <w:rsid w:val="40F75EEC"/>
    <w:rsid w:val="40FC0B8B"/>
    <w:rsid w:val="40FE0F0E"/>
    <w:rsid w:val="40FE2CBD"/>
    <w:rsid w:val="40FF4EB6"/>
    <w:rsid w:val="41022A47"/>
    <w:rsid w:val="41032081"/>
    <w:rsid w:val="4105404B"/>
    <w:rsid w:val="410F4ECA"/>
    <w:rsid w:val="410F6C78"/>
    <w:rsid w:val="41120516"/>
    <w:rsid w:val="4113299E"/>
    <w:rsid w:val="411446FF"/>
    <w:rsid w:val="411C1F81"/>
    <w:rsid w:val="41232723"/>
    <w:rsid w:val="4125649B"/>
    <w:rsid w:val="41263FC1"/>
    <w:rsid w:val="41280A0E"/>
    <w:rsid w:val="41281AE7"/>
    <w:rsid w:val="41297D9D"/>
    <w:rsid w:val="412C31AD"/>
    <w:rsid w:val="412E6AF5"/>
    <w:rsid w:val="412F10C8"/>
    <w:rsid w:val="41377681"/>
    <w:rsid w:val="41382A93"/>
    <w:rsid w:val="413B5CBF"/>
    <w:rsid w:val="414019D7"/>
    <w:rsid w:val="414059B3"/>
    <w:rsid w:val="41434B73"/>
    <w:rsid w:val="41456E58"/>
    <w:rsid w:val="41457791"/>
    <w:rsid w:val="41475EA6"/>
    <w:rsid w:val="41483F38"/>
    <w:rsid w:val="414A2492"/>
    <w:rsid w:val="414C1C7A"/>
    <w:rsid w:val="414F6FA0"/>
    <w:rsid w:val="41516DB4"/>
    <w:rsid w:val="415428DD"/>
    <w:rsid w:val="4155177E"/>
    <w:rsid w:val="41601281"/>
    <w:rsid w:val="4162324B"/>
    <w:rsid w:val="41633C32"/>
    <w:rsid w:val="41656898"/>
    <w:rsid w:val="416D1BF0"/>
    <w:rsid w:val="41794E69"/>
    <w:rsid w:val="41807140"/>
    <w:rsid w:val="4182569C"/>
    <w:rsid w:val="41825DB0"/>
    <w:rsid w:val="41837AA2"/>
    <w:rsid w:val="41842CB1"/>
    <w:rsid w:val="41856F3A"/>
    <w:rsid w:val="41866F49"/>
    <w:rsid w:val="41874A60"/>
    <w:rsid w:val="418C03D5"/>
    <w:rsid w:val="419453CF"/>
    <w:rsid w:val="41952BC8"/>
    <w:rsid w:val="41984EBF"/>
    <w:rsid w:val="419E1DAA"/>
    <w:rsid w:val="41AA4BF2"/>
    <w:rsid w:val="41AC0482"/>
    <w:rsid w:val="41AC2719"/>
    <w:rsid w:val="41AC68C3"/>
    <w:rsid w:val="41AE6491"/>
    <w:rsid w:val="41AF045B"/>
    <w:rsid w:val="41B17D2F"/>
    <w:rsid w:val="41B415CD"/>
    <w:rsid w:val="41B4616B"/>
    <w:rsid w:val="41B96BE3"/>
    <w:rsid w:val="41BB295C"/>
    <w:rsid w:val="41BD41A2"/>
    <w:rsid w:val="41C2018E"/>
    <w:rsid w:val="41C273BB"/>
    <w:rsid w:val="41C3164D"/>
    <w:rsid w:val="41C31810"/>
    <w:rsid w:val="41C84BFA"/>
    <w:rsid w:val="41C95079"/>
    <w:rsid w:val="41CA7043"/>
    <w:rsid w:val="41CD4433"/>
    <w:rsid w:val="41DB1250"/>
    <w:rsid w:val="41E225DE"/>
    <w:rsid w:val="41E25B1F"/>
    <w:rsid w:val="41EB7A8A"/>
    <w:rsid w:val="41EC6603"/>
    <w:rsid w:val="41ED724E"/>
    <w:rsid w:val="41F320F5"/>
    <w:rsid w:val="41F83BB0"/>
    <w:rsid w:val="41F87342"/>
    <w:rsid w:val="41F8770C"/>
    <w:rsid w:val="41FD4D22"/>
    <w:rsid w:val="42051BC8"/>
    <w:rsid w:val="420F4A55"/>
    <w:rsid w:val="42100EF9"/>
    <w:rsid w:val="42167715"/>
    <w:rsid w:val="42224019"/>
    <w:rsid w:val="42260399"/>
    <w:rsid w:val="422758B5"/>
    <w:rsid w:val="422A7E09"/>
    <w:rsid w:val="422D51A0"/>
    <w:rsid w:val="422F0C65"/>
    <w:rsid w:val="42336996"/>
    <w:rsid w:val="42354ACF"/>
    <w:rsid w:val="42367C44"/>
    <w:rsid w:val="42386BE7"/>
    <w:rsid w:val="423A10C5"/>
    <w:rsid w:val="42403740"/>
    <w:rsid w:val="424229E4"/>
    <w:rsid w:val="424A6AF6"/>
    <w:rsid w:val="424E37D0"/>
    <w:rsid w:val="425372F9"/>
    <w:rsid w:val="425863FC"/>
    <w:rsid w:val="425A03C6"/>
    <w:rsid w:val="425F3425"/>
    <w:rsid w:val="42621029"/>
    <w:rsid w:val="426254CD"/>
    <w:rsid w:val="42672AE3"/>
    <w:rsid w:val="426923B8"/>
    <w:rsid w:val="426E13C7"/>
    <w:rsid w:val="426F6986"/>
    <w:rsid w:val="42743BC0"/>
    <w:rsid w:val="42747399"/>
    <w:rsid w:val="42753EA0"/>
    <w:rsid w:val="42773711"/>
    <w:rsid w:val="427B6CCF"/>
    <w:rsid w:val="427D40B5"/>
    <w:rsid w:val="428216CB"/>
    <w:rsid w:val="4283336A"/>
    <w:rsid w:val="428F678C"/>
    <w:rsid w:val="4294599B"/>
    <w:rsid w:val="42946983"/>
    <w:rsid w:val="42967B18"/>
    <w:rsid w:val="429733C9"/>
    <w:rsid w:val="4299637E"/>
    <w:rsid w:val="429B2A93"/>
    <w:rsid w:val="429C453B"/>
    <w:rsid w:val="429E4050"/>
    <w:rsid w:val="42A17DA3"/>
    <w:rsid w:val="42A33B1C"/>
    <w:rsid w:val="42A45AE6"/>
    <w:rsid w:val="42B37AD7"/>
    <w:rsid w:val="42BC4BDD"/>
    <w:rsid w:val="42BD2703"/>
    <w:rsid w:val="42BE6BA7"/>
    <w:rsid w:val="42BF5395"/>
    <w:rsid w:val="42C649F0"/>
    <w:rsid w:val="42C74A2F"/>
    <w:rsid w:val="42CC22CD"/>
    <w:rsid w:val="42D62BD9"/>
    <w:rsid w:val="42D842B8"/>
    <w:rsid w:val="42D90BAA"/>
    <w:rsid w:val="42D9753D"/>
    <w:rsid w:val="42DC702D"/>
    <w:rsid w:val="42DE0FF8"/>
    <w:rsid w:val="42DE4B54"/>
    <w:rsid w:val="42E13849"/>
    <w:rsid w:val="42E31FC2"/>
    <w:rsid w:val="42E341D7"/>
    <w:rsid w:val="42E61C5A"/>
    <w:rsid w:val="42E65EDE"/>
    <w:rsid w:val="42E7226F"/>
    <w:rsid w:val="42E8477A"/>
    <w:rsid w:val="42EA6567"/>
    <w:rsid w:val="42EB101F"/>
    <w:rsid w:val="42ED295B"/>
    <w:rsid w:val="42ED2FE9"/>
    <w:rsid w:val="42EE5A9D"/>
    <w:rsid w:val="42F47D6C"/>
    <w:rsid w:val="42F779C3"/>
    <w:rsid w:val="43016A94"/>
    <w:rsid w:val="43030A5E"/>
    <w:rsid w:val="4303280C"/>
    <w:rsid w:val="43081BD1"/>
    <w:rsid w:val="43087E22"/>
    <w:rsid w:val="430A3B9B"/>
    <w:rsid w:val="43131B44"/>
    <w:rsid w:val="4313211A"/>
    <w:rsid w:val="431539AA"/>
    <w:rsid w:val="431550C5"/>
    <w:rsid w:val="431762B8"/>
    <w:rsid w:val="431B4699"/>
    <w:rsid w:val="431F278D"/>
    <w:rsid w:val="4327068A"/>
    <w:rsid w:val="432714C7"/>
    <w:rsid w:val="43275358"/>
    <w:rsid w:val="432A5FEB"/>
    <w:rsid w:val="432D5ADB"/>
    <w:rsid w:val="432F53AF"/>
    <w:rsid w:val="4331506D"/>
    <w:rsid w:val="433230F1"/>
    <w:rsid w:val="43362BE2"/>
    <w:rsid w:val="43383EDC"/>
    <w:rsid w:val="4339622E"/>
    <w:rsid w:val="433B2D12"/>
    <w:rsid w:val="433C187A"/>
    <w:rsid w:val="433E7E99"/>
    <w:rsid w:val="433F136A"/>
    <w:rsid w:val="433F1673"/>
    <w:rsid w:val="43452E25"/>
    <w:rsid w:val="43486471"/>
    <w:rsid w:val="43505326"/>
    <w:rsid w:val="43560B8E"/>
    <w:rsid w:val="435C016E"/>
    <w:rsid w:val="43601604"/>
    <w:rsid w:val="43601A0D"/>
    <w:rsid w:val="436865A2"/>
    <w:rsid w:val="436A3118"/>
    <w:rsid w:val="436C03B1"/>
    <w:rsid w:val="436D5202"/>
    <w:rsid w:val="43720144"/>
    <w:rsid w:val="437234EE"/>
    <w:rsid w:val="43737646"/>
    <w:rsid w:val="4374075C"/>
    <w:rsid w:val="43747266"/>
    <w:rsid w:val="437639CA"/>
    <w:rsid w:val="43776D56"/>
    <w:rsid w:val="43780F84"/>
    <w:rsid w:val="437B05F4"/>
    <w:rsid w:val="438020AF"/>
    <w:rsid w:val="43811AB8"/>
    <w:rsid w:val="438C2802"/>
    <w:rsid w:val="439018DB"/>
    <w:rsid w:val="43983D0E"/>
    <w:rsid w:val="439873F8"/>
    <w:rsid w:val="439A62FF"/>
    <w:rsid w:val="439E0787"/>
    <w:rsid w:val="43A01E09"/>
    <w:rsid w:val="43A04C46"/>
    <w:rsid w:val="43A2200B"/>
    <w:rsid w:val="43A35D9D"/>
    <w:rsid w:val="43A37B4B"/>
    <w:rsid w:val="43A538C3"/>
    <w:rsid w:val="43A713E9"/>
    <w:rsid w:val="43B41D58"/>
    <w:rsid w:val="43B46EA6"/>
    <w:rsid w:val="43B81849"/>
    <w:rsid w:val="43B91888"/>
    <w:rsid w:val="43B92ECB"/>
    <w:rsid w:val="43C006FD"/>
    <w:rsid w:val="43C05A8D"/>
    <w:rsid w:val="43C26223"/>
    <w:rsid w:val="43C33D49"/>
    <w:rsid w:val="43C546F7"/>
    <w:rsid w:val="43C66029"/>
    <w:rsid w:val="43C7383A"/>
    <w:rsid w:val="43CC70A2"/>
    <w:rsid w:val="43CD14B5"/>
    <w:rsid w:val="43CE17D2"/>
    <w:rsid w:val="43CF0940"/>
    <w:rsid w:val="43D83389"/>
    <w:rsid w:val="43D84D66"/>
    <w:rsid w:val="43D85A47"/>
    <w:rsid w:val="43D917BF"/>
    <w:rsid w:val="43DF6FFD"/>
    <w:rsid w:val="43E02B4D"/>
    <w:rsid w:val="43E3619A"/>
    <w:rsid w:val="43E50160"/>
    <w:rsid w:val="43E73EDC"/>
    <w:rsid w:val="43E77A38"/>
    <w:rsid w:val="43F14D5A"/>
    <w:rsid w:val="43F263DD"/>
    <w:rsid w:val="43F403A7"/>
    <w:rsid w:val="43F6490D"/>
    <w:rsid w:val="44054362"/>
    <w:rsid w:val="440727AF"/>
    <w:rsid w:val="4407632C"/>
    <w:rsid w:val="44093FBF"/>
    <w:rsid w:val="440A3726"/>
    <w:rsid w:val="440A655F"/>
    <w:rsid w:val="440C6F05"/>
    <w:rsid w:val="440D35F0"/>
    <w:rsid w:val="440E1469"/>
    <w:rsid w:val="440F0E47"/>
    <w:rsid w:val="4413082D"/>
    <w:rsid w:val="441367CE"/>
    <w:rsid w:val="4416656F"/>
    <w:rsid w:val="441822E7"/>
    <w:rsid w:val="44197C44"/>
    <w:rsid w:val="441B5933"/>
    <w:rsid w:val="44204D84"/>
    <w:rsid w:val="442224C6"/>
    <w:rsid w:val="44226CC2"/>
    <w:rsid w:val="442347E8"/>
    <w:rsid w:val="44265894"/>
    <w:rsid w:val="442832A2"/>
    <w:rsid w:val="442D1437"/>
    <w:rsid w:val="442F06E6"/>
    <w:rsid w:val="44316F05"/>
    <w:rsid w:val="4436276D"/>
    <w:rsid w:val="44364549"/>
    <w:rsid w:val="443969C6"/>
    <w:rsid w:val="443A225E"/>
    <w:rsid w:val="443F1622"/>
    <w:rsid w:val="443F7874"/>
    <w:rsid w:val="44446C38"/>
    <w:rsid w:val="4447497A"/>
    <w:rsid w:val="444B446B"/>
    <w:rsid w:val="444E3A22"/>
    <w:rsid w:val="444E3F5B"/>
    <w:rsid w:val="4453573F"/>
    <w:rsid w:val="4456696C"/>
    <w:rsid w:val="44591335"/>
    <w:rsid w:val="445B21D4"/>
    <w:rsid w:val="445C61C0"/>
    <w:rsid w:val="445D7CFA"/>
    <w:rsid w:val="445E32F8"/>
    <w:rsid w:val="445F1CC4"/>
    <w:rsid w:val="445F3A72"/>
    <w:rsid w:val="44626241"/>
    <w:rsid w:val="44634A8F"/>
    <w:rsid w:val="44640FFC"/>
    <w:rsid w:val="44642414"/>
    <w:rsid w:val="44646F08"/>
    <w:rsid w:val="44661BFD"/>
    <w:rsid w:val="44670B79"/>
    <w:rsid w:val="446A2FDC"/>
    <w:rsid w:val="446B446C"/>
    <w:rsid w:val="446C43E1"/>
    <w:rsid w:val="446D64ED"/>
    <w:rsid w:val="446E1F07"/>
    <w:rsid w:val="446E63AB"/>
    <w:rsid w:val="4477691A"/>
    <w:rsid w:val="447C0AC8"/>
    <w:rsid w:val="447D039C"/>
    <w:rsid w:val="448408C7"/>
    <w:rsid w:val="448C6831"/>
    <w:rsid w:val="449A71A0"/>
    <w:rsid w:val="449D5A17"/>
    <w:rsid w:val="449F47B6"/>
    <w:rsid w:val="449F6565"/>
    <w:rsid w:val="44A35DAE"/>
    <w:rsid w:val="44A37BB1"/>
    <w:rsid w:val="44A45929"/>
    <w:rsid w:val="44A50500"/>
    <w:rsid w:val="44A8366B"/>
    <w:rsid w:val="44AC2A30"/>
    <w:rsid w:val="44AD049E"/>
    <w:rsid w:val="44AD5119"/>
    <w:rsid w:val="44AF21C8"/>
    <w:rsid w:val="44B210B8"/>
    <w:rsid w:val="44B244EA"/>
    <w:rsid w:val="44B24F1B"/>
    <w:rsid w:val="44B32010"/>
    <w:rsid w:val="44B33F18"/>
    <w:rsid w:val="44B711E2"/>
    <w:rsid w:val="44BC3044"/>
    <w:rsid w:val="44BF10CF"/>
    <w:rsid w:val="44C85ABB"/>
    <w:rsid w:val="44C93190"/>
    <w:rsid w:val="44CC46BA"/>
    <w:rsid w:val="44CD4E80"/>
    <w:rsid w:val="44D108E9"/>
    <w:rsid w:val="44D719A1"/>
    <w:rsid w:val="44D73F50"/>
    <w:rsid w:val="44DA134B"/>
    <w:rsid w:val="44DA57EF"/>
    <w:rsid w:val="44DE708D"/>
    <w:rsid w:val="44E1310E"/>
    <w:rsid w:val="44E2459E"/>
    <w:rsid w:val="44E52F1F"/>
    <w:rsid w:val="44E65F41"/>
    <w:rsid w:val="44E77DF9"/>
    <w:rsid w:val="44E95A32"/>
    <w:rsid w:val="44EB3558"/>
    <w:rsid w:val="44EC107E"/>
    <w:rsid w:val="44EF2301"/>
    <w:rsid w:val="44F248E6"/>
    <w:rsid w:val="4502438F"/>
    <w:rsid w:val="45091C30"/>
    <w:rsid w:val="45093381"/>
    <w:rsid w:val="45097E82"/>
    <w:rsid w:val="450F7CCE"/>
    <w:rsid w:val="45101210"/>
    <w:rsid w:val="451261D7"/>
    <w:rsid w:val="45140D01"/>
    <w:rsid w:val="4514771E"/>
    <w:rsid w:val="45177B9E"/>
    <w:rsid w:val="4518021E"/>
    <w:rsid w:val="45182E8B"/>
    <w:rsid w:val="451A1577"/>
    <w:rsid w:val="451A1C4E"/>
    <w:rsid w:val="451A5BEB"/>
    <w:rsid w:val="451C5E07"/>
    <w:rsid w:val="451C7BB5"/>
    <w:rsid w:val="451E392D"/>
    <w:rsid w:val="45237196"/>
    <w:rsid w:val="45284D64"/>
    <w:rsid w:val="452E76FC"/>
    <w:rsid w:val="45300F98"/>
    <w:rsid w:val="45322F35"/>
    <w:rsid w:val="453413E7"/>
    <w:rsid w:val="45394A3E"/>
    <w:rsid w:val="4541761C"/>
    <w:rsid w:val="45462E84"/>
    <w:rsid w:val="454B049A"/>
    <w:rsid w:val="45505AB1"/>
    <w:rsid w:val="45505CD5"/>
    <w:rsid w:val="45513D03"/>
    <w:rsid w:val="45592BB7"/>
    <w:rsid w:val="455A65DF"/>
    <w:rsid w:val="455B692F"/>
    <w:rsid w:val="455D146C"/>
    <w:rsid w:val="4560031E"/>
    <w:rsid w:val="45603919"/>
    <w:rsid w:val="456512C6"/>
    <w:rsid w:val="457031BC"/>
    <w:rsid w:val="457412D9"/>
    <w:rsid w:val="45763769"/>
    <w:rsid w:val="45774DEB"/>
    <w:rsid w:val="457C0654"/>
    <w:rsid w:val="457C2402"/>
    <w:rsid w:val="457F1EF2"/>
    <w:rsid w:val="45800144"/>
    <w:rsid w:val="45806396"/>
    <w:rsid w:val="458344C1"/>
    <w:rsid w:val="458614D2"/>
    <w:rsid w:val="458A0FC3"/>
    <w:rsid w:val="458B064E"/>
    <w:rsid w:val="458D0AB3"/>
    <w:rsid w:val="458F0387"/>
    <w:rsid w:val="459522D6"/>
    <w:rsid w:val="45997458"/>
    <w:rsid w:val="459C71FB"/>
    <w:rsid w:val="459F05CE"/>
    <w:rsid w:val="45A10C9B"/>
    <w:rsid w:val="45AB21DA"/>
    <w:rsid w:val="45AD6A5F"/>
    <w:rsid w:val="45B3679A"/>
    <w:rsid w:val="45B44292"/>
    <w:rsid w:val="45B55914"/>
    <w:rsid w:val="45BB5620"/>
    <w:rsid w:val="45BF1B3C"/>
    <w:rsid w:val="45BF5ADC"/>
    <w:rsid w:val="45C00592"/>
    <w:rsid w:val="45C142B9"/>
    <w:rsid w:val="45C53E0D"/>
    <w:rsid w:val="45C56F6D"/>
    <w:rsid w:val="45C57237"/>
    <w:rsid w:val="45CA7B97"/>
    <w:rsid w:val="45CF69D6"/>
    <w:rsid w:val="45D1307A"/>
    <w:rsid w:val="45D3254D"/>
    <w:rsid w:val="45D3296A"/>
    <w:rsid w:val="45D40490"/>
    <w:rsid w:val="45D6745D"/>
    <w:rsid w:val="45D71D2E"/>
    <w:rsid w:val="45D95F3A"/>
    <w:rsid w:val="45DB181E"/>
    <w:rsid w:val="45DC4A98"/>
    <w:rsid w:val="45DF4939"/>
    <w:rsid w:val="45E002F3"/>
    <w:rsid w:val="45E16709"/>
    <w:rsid w:val="45E32481"/>
    <w:rsid w:val="45E43276"/>
    <w:rsid w:val="45E66641"/>
    <w:rsid w:val="45ED50AE"/>
    <w:rsid w:val="45EE1552"/>
    <w:rsid w:val="45EF49AA"/>
    <w:rsid w:val="45EF7078"/>
    <w:rsid w:val="45F11042"/>
    <w:rsid w:val="45F428E0"/>
    <w:rsid w:val="45F4468E"/>
    <w:rsid w:val="45F97A3B"/>
    <w:rsid w:val="45FC6034"/>
    <w:rsid w:val="45FF7488"/>
    <w:rsid w:val="46031BB1"/>
    <w:rsid w:val="46032B23"/>
    <w:rsid w:val="46050649"/>
    <w:rsid w:val="460E39A2"/>
    <w:rsid w:val="46115240"/>
    <w:rsid w:val="46146A79"/>
    <w:rsid w:val="46150513"/>
    <w:rsid w:val="46162856"/>
    <w:rsid w:val="461807D7"/>
    <w:rsid w:val="46191F15"/>
    <w:rsid w:val="461940F5"/>
    <w:rsid w:val="46195EA3"/>
    <w:rsid w:val="461B7E6D"/>
    <w:rsid w:val="461E0F86"/>
    <w:rsid w:val="462A4554"/>
    <w:rsid w:val="462B7ED7"/>
    <w:rsid w:val="463158E2"/>
    <w:rsid w:val="463178E9"/>
    <w:rsid w:val="4636743D"/>
    <w:rsid w:val="46396545"/>
    <w:rsid w:val="463F367D"/>
    <w:rsid w:val="4642189D"/>
    <w:rsid w:val="464225C9"/>
    <w:rsid w:val="46425341"/>
    <w:rsid w:val="46442BF4"/>
    <w:rsid w:val="46445615"/>
    <w:rsid w:val="46451192"/>
    <w:rsid w:val="46454EEA"/>
    <w:rsid w:val="46470C62"/>
    <w:rsid w:val="46471BCA"/>
    <w:rsid w:val="464949DA"/>
    <w:rsid w:val="464A2500"/>
    <w:rsid w:val="464C6278"/>
    <w:rsid w:val="464F7635"/>
    <w:rsid w:val="46537607"/>
    <w:rsid w:val="46582E6F"/>
    <w:rsid w:val="465869CB"/>
    <w:rsid w:val="465F5FAB"/>
    <w:rsid w:val="46671304"/>
    <w:rsid w:val="46677DD3"/>
    <w:rsid w:val="46696E2A"/>
    <w:rsid w:val="466A28A1"/>
    <w:rsid w:val="466C691A"/>
    <w:rsid w:val="466E4440"/>
    <w:rsid w:val="467977C5"/>
    <w:rsid w:val="467D0B27"/>
    <w:rsid w:val="46804174"/>
    <w:rsid w:val="46843C64"/>
    <w:rsid w:val="468679DC"/>
    <w:rsid w:val="4687429F"/>
    <w:rsid w:val="468974CC"/>
    <w:rsid w:val="468A6DA0"/>
    <w:rsid w:val="4695585D"/>
    <w:rsid w:val="469814BD"/>
    <w:rsid w:val="469F2B0B"/>
    <w:rsid w:val="469F791E"/>
    <w:rsid w:val="46A03D08"/>
    <w:rsid w:val="46A47E62"/>
    <w:rsid w:val="46A61E2C"/>
    <w:rsid w:val="46A9191C"/>
    <w:rsid w:val="46A92F36"/>
    <w:rsid w:val="46AC31BB"/>
    <w:rsid w:val="46B15825"/>
    <w:rsid w:val="46B2635F"/>
    <w:rsid w:val="46B502C1"/>
    <w:rsid w:val="46B5206F"/>
    <w:rsid w:val="46BA1434"/>
    <w:rsid w:val="46BE69A6"/>
    <w:rsid w:val="46BF4C9C"/>
    <w:rsid w:val="46C027C2"/>
    <w:rsid w:val="46C16C66"/>
    <w:rsid w:val="46C2653A"/>
    <w:rsid w:val="46C6602A"/>
    <w:rsid w:val="46C66A23"/>
    <w:rsid w:val="46CC2482"/>
    <w:rsid w:val="46D12051"/>
    <w:rsid w:val="46D22C21"/>
    <w:rsid w:val="46D52711"/>
    <w:rsid w:val="46D544C0"/>
    <w:rsid w:val="46D5626E"/>
    <w:rsid w:val="46D71FE6"/>
    <w:rsid w:val="46DB05F0"/>
    <w:rsid w:val="46DC2693"/>
    <w:rsid w:val="46DD3374"/>
    <w:rsid w:val="46DF25E2"/>
    <w:rsid w:val="46E515FE"/>
    <w:rsid w:val="46E62229"/>
    <w:rsid w:val="46E97F6B"/>
    <w:rsid w:val="46EA798E"/>
    <w:rsid w:val="46EB5A91"/>
    <w:rsid w:val="46ED3B48"/>
    <w:rsid w:val="46EE5581"/>
    <w:rsid w:val="46F030A7"/>
    <w:rsid w:val="46F06F25"/>
    <w:rsid w:val="46F30DEA"/>
    <w:rsid w:val="46F336A8"/>
    <w:rsid w:val="46F56910"/>
    <w:rsid w:val="46F74436"/>
    <w:rsid w:val="46F87BA3"/>
    <w:rsid w:val="46FA2178"/>
    <w:rsid w:val="46FA569D"/>
    <w:rsid w:val="46FA5CD4"/>
    <w:rsid w:val="46FB3868"/>
    <w:rsid w:val="46FB6DB6"/>
    <w:rsid w:val="46FC37FA"/>
    <w:rsid w:val="46FD768C"/>
    <w:rsid w:val="47044DA5"/>
    <w:rsid w:val="47060B1D"/>
    <w:rsid w:val="470923BB"/>
    <w:rsid w:val="470950A2"/>
    <w:rsid w:val="470D41DE"/>
    <w:rsid w:val="470E3F0D"/>
    <w:rsid w:val="471051AE"/>
    <w:rsid w:val="4712589E"/>
    <w:rsid w:val="47150D60"/>
    <w:rsid w:val="47176886"/>
    <w:rsid w:val="471825FE"/>
    <w:rsid w:val="47185450"/>
    <w:rsid w:val="47190850"/>
    <w:rsid w:val="4719132A"/>
    <w:rsid w:val="471C5C4A"/>
    <w:rsid w:val="471F573B"/>
    <w:rsid w:val="471F69A5"/>
    <w:rsid w:val="47215957"/>
    <w:rsid w:val="47240FA3"/>
    <w:rsid w:val="47246503"/>
    <w:rsid w:val="47262F6D"/>
    <w:rsid w:val="47280A93"/>
    <w:rsid w:val="47282841"/>
    <w:rsid w:val="47290367"/>
    <w:rsid w:val="47343C0C"/>
    <w:rsid w:val="47354434"/>
    <w:rsid w:val="47384869"/>
    <w:rsid w:val="473D6B75"/>
    <w:rsid w:val="47423F17"/>
    <w:rsid w:val="47460F19"/>
    <w:rsid w:val="47462CC7"/>
    <w:rsid w:val="474653BD"/>
    <w:rsid w:val="47483305"/>
    <w:rsid w:val="474D04FA"/>
    <w:rsid w:val="474D2B75"/>
    <w:rsid w:val="474D4586"/>
    <w:rsid w:val="474E7DCE"/>
    <w:rsid w:val="475278BE"/>
    <w:rsid w:val="475A49C5"/>
    <w:rsid w:val="475C24EB"/>
    <w:rsid w:val="47631ACB"/>
    <w:rsid w:val="476539CA"/>
    <w:rsid w:val="476B0980"/>
    <w:rsid w:val="476B6BD2"/>
    <w:rsid w:val="476C4CAF"/>
    <w:rsid w:val="476F233D"/>
    <w:rsid w:val="476F66C2"/>
    <w:rsid w:val="47712FE6"/>
    <w:rsid w:val="477535AD"/>
    <w:rsid w:val="47775DDF"/>
    <w:rsid w:val="47794E4B"/>
    <w:rsid w:val="477A0BC3"/>
    <w:rsid w:val="477A6E15"/>
    <w:rsid w:val="477E4B57"/>
    <w:rsid w:val="4783216D"/>
    <w:rsid w:val="47833F1C"/>
    <w:rsid w:val="47856190"/>
    <w:rsid w:val="47873DBC"/>
    <w:rsid w:val="47887784"/>
    <w:rsid w:val="478A7058"/>
    <w:rsid w:val="478D139C"/>
    <w:rsid w:val="478D59DB"/>
    <w:rsid w:val="478E409F"/>
    <w:rsid w:val="478F0B12"/>
    <w:rsid w:val="47901DF8"/>
    <w:rsid w:val="4791488A"/>
    <w:rsid w:val="4792415F"/>
    <w:rsid w:val="479559FD"/>
    <w:rsid w:val="47961EA1"/>
    <w:rsid w:val="479A3013"/>
    <w:rsid w:val="479E2B03"/>
    <w:rsid w:val="479E3F9E"/>
    <w:rsid w:val="479E7AB6"/>
    <w:rsid w:val="479F21BB"/>
    <w:rsid w:val="47A45C40"/>
    <w:rsid w:val="47A520E4"/>
    <w:rsid w:val="47A55510"/>
    <w:rsid w:val="47AA76FA"/>
    <w:rsid w:val="47AB5220"/>
    <w:rsid w:val="47AF5F3D"/>
    <w:rsid w:val="47B05A23"/>
    <w:rsid w:val="47B10A89"/>
    <w:rsid w:val="47B15A25"/>
    <w:rsid w:val="47B16CD9"/>
    <w:rsid w:val="47B84666"/>
    <w:rsid w:val="47BE31A6"/>
    <w:rsid w:val="47C40234"/>
    <w:rsid w:val="47CD1688"/>
    <w:rsid w:val="47CD3A2F"/>
    <w:rsid w:val="47D14C87"/>
    <w:rsid w:val="47D26C51"/>
    <w:rsid w:val="47D32328"/>
    <w:rsid w:val="47D4536A"/>
    <w:rsid w:val="47D74607"/>
    <w:rsid w:val="47E36768"/>
    <w:rsid w:val="47E744AA"/>
    <w:rsid w:val="47EA706A"/>
    <w:rsid w:val="47EC3B0D"/>
    <w:rsid w:val="47F44954"/>
    <w:rsid w:val="47F92762"/>
    <w:rsid w:val="47FB6A31"/>
    <w:rsid w:val="47FE7A46"/>
    <w:rsid w:val="48052B82"/>
    <w:rsid w:val="480676E4"/>
    <w:rsid w:val="480A038D"/>
    <w:rsid w:val="480C5CBF"/>
    <w:rsid w:val="481349B0"/>
    <w:rsid w:val="48147846"/>
    <w:rsid w:val="48166B3E"/>
    <w:rsid w:val="481B4154"/>
    <w:rsid w:val="481B6C59"/>
    <w:rsid w:val="48276F9D"/>
    <w:rsid w:val="48284AC3"/>
    <w:rsid w:val="48286871"/>
    <w:rsid w:val="482C6963"/>
    <w:rsid w:val="48314E73"/>
    <w:rsid w:val="48335942"/>
    <w:rsid w:val="483511E4"/>
    <w:rsid w:val="48353277"/>
    <w:rsid w:val="483954EE"/>
    <w:rsid w:val="483B7C09"/>
    <w:rsid w:val="483F42E6"/>
    <w:rsid w:val="483F6900"/>
    <w:rsid w:val="48425B85"/>
    <w:rsid w:val="48485562"/>
    <w:rsid w:val="48496F13"/>
    <w:rsid w:val="484B51BC"/>
    <w:rsid w:val="484D0086"/>
    <w:rsid w:val="484D14FE"/>
    <w:rsid w:val="484F3DFE"/>
    <w:rsid w:val="48517B76"/>
    <w:rsid w:val="485853A8"/>
    <w:rsid w:val="48587156"/>
    <w:rsid w:val="485B6C46"/>
    <w:rsid w:val="4861082B"/>
    <w:rsid w:val="48621D83"/>
    <w:rsid w:val="4864156E"/>
    <w:rsid w:val="48650FAE"/>
    <w:rsid w:val="48662544"/>
    <w:rsid w:val="48677B6A"/>
    <w:rsid w:val="48693111"/>
    <w:rsid w:val="486C49B0"/>
    <w:rsid w:val="486E697A"/>
    <w:rsid w:val="48732C81"/>
    <w:rsid w:val="48735DEA"/>
    <w:rsid w:val="48741AB6"/>
    <w:rsid w:val="48745B03"/>
    <w:rsid w:val="4876582E"/>
    <w:rsid w:val="48783354"/>
    <w:rsid w:val="487F412E"/>
    <w:rsid w:val="48802209"/>
    <w:rsid w:val="48880CA0"/>
    <w:rsid w:val="488F069E"/>
    <w:rsid w:val="48912668"/>
    <w:rsid w:val="48945014"/>
    <w:rsid w:val="489536D7"/>
    <w:rsid w:val="48961A2D"/>
    <w:rsid w:val="489839F7"/>
    <w:rsid w:val="489B32A4"/>
    <w:rsid w:val="489B5295"/>
    <w:rsid w:val="489D2DBB"/>
    <w:rsid w:val="489E045A"/>
    <w:rsid w:val="489F6B33"/>
    <w:rsid w:val="48A04659"/>
    <w:rsid w:val="48A82426"/>
    <w:rsid w:val="48A979B2"/>
    <w:rsid w:val="48AB372A"/>
    <w:rsid w:val="48AC6677"/>
    <w:rsid w:val="48B25ECA"/>
    <w:rsid w:val="48B35D87"/>
    <w:rsid w:val="48B36FC7"/>
    <w:rsid w:val="48B60321"/>
    <w:rsid w:val="48BB7EDC"/>
    <w:rsid w:val="48C06AA9"/>
    <w:rsid w:val="48C269A2"/>
    <w:rsid w:val="48C7608A"/>
    <w:rsid w:val="48CA7928"/>
    <w:rsid w:val="48CE7418"/>
    <w:rsid w:val="48D10CB7"/>
    <w:rsid w:val="48D260D4"/>
    <w:rsid w:val="48D432EF"/>
    <w:rsid w:val="48D80297"/>
    <w:rsid w:val="48D9344A"/>
    <w:rsid w:val="48DB78B8"/>
    <w:rsid w:val="48DC2E3A"/>
    <w:rsid w:val="48DC7D87"/>
    <w:rsid w:val="48DD58AD"/>
    <w:rsid w:val="48DD765B"/>
    <w:rsid w:val="48DF1625"/>
    <w:rsid w:val="48DF33D4"/>
    <w:rsid w:val="48E274DA"/>
    <w:rsid w:val="48E66F9D"/>
    <w:rsid w:val="48E704DA"/>
    <w:rsid w:val="48E94252"/>
    <w:rsid w:val="48EA3B26"/>
    <w:rsid w:val="48F22448"/>
    <w:rsid w:val="48F36E7F"/>
    <w:rsid w:val="48F40F8A"/>
    <w:rsid w:val="48FF352D"/>
    <w:rsid w:val="490115D2"/>
    <w:rsid w:val="4907292A"/>
    <w:rsid w:val="490746D8"/>
    <w:rsid w:val="490A53BE"/>
    <w:rsid w:val="490A67FA"/>
    <w:rsid w:val="49103FC0"/>
    <w:rsid w:val="49114990"/>
    <w:rsid w:val="49186A2C"/>
    <w:rsid w:val="491A700E"/>
    <w:rsid w:val="491F33FC"/>
    <w:rsid w:val="49254809"/>
    <w:rsid w:val="49276041"/>
    <w:rsid w:val="492D05E3"/>
    <w:rsid w:val="49303C2F"/>
    <w:rsid w:val="49317477"/>
    <w:rsid w:val="49324542"/>
    <w:rsid w:val="4933371F"/>
    <w:rsid w:val="49383D01"/>
    <w:rsid w:val="493A4AAE"/>
    <w:rsid w:val="493D2BA2"/>
    <w:rsid w:val="49415E3C"/>
    <w:rsid w:val="49425710"/>
    <w:rsid w:val="49463453"/>
    <w:rsid w:val="49496A9F"/>
    <w:rsid w:val="494B0A69"/>
    <w:rsid w:val="494D658F"/>
    <w:rsid w:val="494E2307"/>
    <w:rsid w:val="49530484"/>
    <w:rsid w:val="495A524A"/>
    <w:rsid w:val="495F4514"/>
    <w:rsid w:val="496461DF"/>
    <w:rsid w:val="49677520"/>
    <w:rsid w:val="49696496"/>
    <w:rsid w:val="496B110B"/>
    <w:rsid w:val="496E6505"/>
    <w:rsid w:val="49770870"/>
    <w:rsid w:val="4977185E"/>
    <w:rsid w:val="497A134E"/>
    <w:rsid w:val="497E0E3E"/>
    <w:rsid w:val="497E13D0"/>
    <w:rsid w:val="497F6045"/>
    <w:rsid w:val="497F6965"/>
    <w:rsid w:val="49806C4E"/>
    <w:rsid w:val="4981092F"/>
    <w:rsid w:val="498B355B"/>
    <w:rsid w:val="499441BE"/>
    <w:rsid w:val="49950C2D"/>
    <w:rsid w:val="49956188"/>
    <w:rsid w:val="499F0DB5"/>
    <w:rsid w:val="499F2B63"/>
    <w:rsid w:val="49A07028"/>
    <w:rsid w:val="49A07481"/>
    <w:rsid w:val="49A14B2D"/>
    <w:rsid w:val="49A168DB"/>
    <w:rsid w:val="49A32653"/>
    <w:rsid w:val="49A3448B"/>
    <w:rsid w:val="49A868AF"/>
    <w:rsid w:val="49B063EE"/>
    <w:rsid w:val="49B560CC"/>
    <w:rsid w:val="49BC54C3"/>
    <w:rsid w:val="49BE541A"/>
    <w:rsid w:val="49BF14E3"/>
    <w:rsid w:val="49C03205"/>
    <w:rsid w:val="49C1268F"/>
    <w:rsid w:val="49C31A84"/>
    <w:rsid w:val="49C36AB4"/>
    <w:rsid w:val="49C5081B"/>
    <w:rsid w:val="49C52618"/>
    <w:rsid w:val="49C93DD1"/>
    <w:rsid w:val="49CA5E32"/>
    <w:rsid w:val="49CD76D0"/>
    <w:rsid w:val="49CF26FF"/>
    <w:rsid w:val="49D075DE"/>
    <w:rsid w:val="49D942C7"/>
    <w:rsid w:val="49DC5B65"/>
    <w:rsid w:val="49DE18DD"/>
    <w:rsid w:val="49E324F6"/>
    <w:rsid w:val="49E8450A"/>
    <w:rsid w:val="49F20EE5"/>
    <w:rsid w:val="49F509D5"/>
    <w:rsid w:val="49F96F1D"/>
    <w:rsid w:val="4A04300D"/>
    <w:rsid w:val="4A084BAC"/>
    <w:rsid w:val="4A0975F4"/>
    <w:rsid w:val="4A0C2A12"/>
    <w:rsid w:val="4A0D6B1E"/>
    <w:rsid w:val="4A1106F9"/>
    <w:rsid w:val="4A11580F"/>
    <w:rsid w:val="4A121587"/>
    <w:rsid w:val="4A124BD2"/>
    <w:rsid w:val="4A1452FF"/>
    <w:rsid w:val="4A176B9D"/>
    <w:rsid w:val="4A196CF2"/>
    <w:rsid w:val="4A224D16"/>
    <w:rsid w:val="4A225C6E"/>
    <w:rsid w:val="4A226623"/>
    <w:rsid w:val="4A2A2D74"/>
    <w:rsid w:val="4A2D4613"/>
    <w:rsid w:val="4A3115EB"/>
    <w:rsid w:val="4A3137CE"/>
    <w:rsid w:val="4A317C5F"/>
    <w:rsid w:val="4A3239D7"/>
    <w:rsid w:val="4A34774F"/>
    <w:rsid w:val="4A3643D9"/>
    <w:rsid w:val="4A471230"/>
    <w:rsid w:val="4A4F27DB"/>
    <w:rsid w:val="4A5B2F2E"/>
    <w:rsid w:val="4A631DE2"/>
    <w:rsid w:val="4A653DAC"/>
    <w:rsid w:val="4A65696F"/>
    <w:rsid w:val="4A6850E4"/>
    <w:rsid w:val="4A702F9B"/>
    <w:rsid w:val="4A7144FF"/>
    <w:rsid w:val="4A727F0E"/>
    <w:rsid w:val="4A736EB9"/>
    <w:rsid w:val="4A767D68"/>
    <w:rsid w:val="4A7B35D0"/>
    <w:rsid w:val="4A7D10F6"/>
    <w:rsid w:val="4A7D2EA4"/>
    <w:rsid w:val="4A802994"/>
    <w:rsid w:val="4A8204BA"/>
    <w:rsid w:val="4A82670C"/>
    <w:rsid w:val="4A851D59"/>
    <w:rsid w:val="4A8561FD"/>
    <w:rsid w:val="4A881849"/>
    <w:rsid w:val="4A897A9B"/>
    <w:rsid w:val="4A8C30E7"/>
    <w:rsid w:val="4A8E3303"/>
    <w:rsid w:val="4A8E50B1"/>
    <w:rsid w:val="4A8F0E29"/>
    <w:rsid w:val="4A946440"/>
    <w:rsid w:val="4A954692"/>
    <w:rsid w:val="4A9A1CA8"/>
    <w:rsid w:val="4A9B4DB8"/>
    <w:rsid w:val="4A9B6543"/>
    <w:rsid w:val="4A9C24DA"/>
    <w:rsid w:val="4AA353BE"/>
    <w:rsid w:val="4AA3664A"/>
    <w:rsid w:val="4AA448D5"/>
    <w:rsid w:val="4AAA6299"/>
    <w:rsid w:val="4AAB061E"/>
    <w:rsid w:val="4AAF6DD6"/>
    <w:rsid w:val="4AB46493"/>
    <w:rsid w:val="4AB57B33"/>
    <w:rsid w:val="4ABB0E98"/>
    <w:rsid w:val="4AC05487"/>
    <w:rsid w:val="4AC26B09"/>
    <w:rsid w:val="4AC72922"/>
    <w:rsid w:val="4ACC5BD9"/>
    <w:rsid w:val="4ACF6009"/>
    <w:rsid w:val="4AD27D28"/>
    <w:rsid w:val="4AD36F68"/>
    <w:rsid w:val="4AD5465C"/>
    <w:rsid w:val="4AD62169"/>
    <w:rsid w:val="4AD6479B"/>
    <w:rsid w:val="4AD71BD9"/>
    <w:rsid w:val="4ADB7BCB"/>
    <w:rsid w:val="4ADD1B95"/>
    <w:rsid w:val="4ADE5AFE"/>
    <w:rsid w:val="4AE051E1"/>
    <w:rsid w:val="4AE0662C"/>
    <w:rsid w:val="4AE253FD"/>
    <w:rsid w:val="4AE44CD1"/>
    <w:rsid w:val="4AE72A13"/>
    <w:rsid w:val="4AEB2504"/>
    <w:rsid w:val="4AF07B1A"/>
    <w:rsid w:val="4AF34F14"/>
    <w:rsid w:val="4AF40C8C"/>
    <w:rsid w:val="4AF64A04"/>
    <w:rsid w:val="4AFA2747"/>
    <w:rsid w:val="4AFB425E"/>
    <w:rsid w:val="4AFD2237"/>
    <w:rsid w:val="4AFD5D93"/>
    <w:rsid w:val="4B0719BF"/>
    <w:rsid w:val="4B0D4F28"/>
    <w:rsid w:val="4B0E61F2"/>
    <w:rsid w:val="4B11183E"/>
    <w:rsid w:val="4B142F47"/>
    <w:rsid w:val="4B15079E"/>
    <w:rsid w:val="4B154342"/>
    <w:rsid w:val="4B187071"/>
    <w:rsid w:val="4B190380"/>
    <w:rsid w:val="4B1F21AD"/>
    <w:rsid w:val="4B1F7EAC"/>
    <w:rsid w:val="4B220A35"/>
    <w:rsid w:val="4B291905"/>
    <w:rsid w:val="4B2E419E"/>
    <w:rsid w:val="4B2F1727"/>
    <w:rsid w:val="4B3043BA"/>
    <w:rsid w:val="4B3774F7"/>
    <w:rsid w:val="4B3A0D95"/>
    <w:rsid w:val="4B3C4B0D"/>
    <w:rsid w:val="4B3D0885"/>
    <w:rsid w:val="4B3D2633"/>
    <w:rsid w:val="4B3F45FD"/>
    <w:rsid w:val="4B3F49CB"/>
    <w:rsid w:val="4B425F3C"/>
    <w:rsid w:val="4B4340EE"/>
    <w:rsid w:val="4B4439C2"/>
    <w:rsid w:val="4B4614E8"/>
    <w:rsid w:val="4B475FA0"/>
    <w:rsid w:val="4B4A2975"/>
    <w:rsid w:val="4B4B2FA2"/>
    <w:rsid w:val="4B4E308F"/>
    <w:rsid w:val="4B5160DF"/>
    <w:rsid w:val="4B531E57"/>
    <w:rsid w:val="4B571947"/>
    <w:rsid w:val="4B5D6832"/>
    <w:rsid w:val="4B636809"/>
    <w:rsid w:val="4B6E6C91"/>
    <w:rsid w:val="4B725159"/>
    <w:rsid w:val="4B733BE9"/>
    <w:rsid w:val="4B7B6FA6"/>
    <w:rsid w:val="4B8D5369"/>
    <w:rsid w:val="4B8F2B43"/>
    <w:rsid w:val="4B9009B5"/>
    <w:rsid w:val="4B995FEB"/>
    <w:rsid w:val="4B9B709A"/>
    <w:rsid w:val="4B9B725E"/>
    <w:rsid w:val="4B9D30D2"/>
    <w:rsid w:val="4B9F10A1"/>
    <w:rsid w:val="4BA86969"/>
    <w:rsid w:val="4BAD77B9"/>
    <w:rsid w:val="4BB40B47"/>
    <w:rsid w:val="4BB52B12"/>
    <w:rsid w:val="4BB83589"/>
    <w:rsid w:val="4BBA1ED6"/>
    <w:rsid w:val="4BBA5AD8"/>
    <w:rsid w:val="4BC13E52"/>
    <w:rsid w:val="4BC30D8B"/>
    <w:rsid w:val="4BC36FDC"/>
    <w:rsid w:val="4BC863A1"/>
    <w:rsid w:val="4BCA4542"/>
    <w:rsid w:val="4BCC112F"/>
    <w:rsid w:val="4BCC3B39"/>
    <w:rsid w:val="4BCD3127"/>
    <w:rsid w:val="4BD74836"/>
    <w:rsid w:val="4BE0754F"/>
    <w:rsid w:val="4BE11211"/>
    <w:rsid w:val="4BE13F29"/>
    <w:rsid w:val="4BE16AFA"/>
    <w:rsid w:val="4BE3142D"/>
    <w:rsid w:val="4BE56F53"/>
    <w:rsid w:val="4BE8259F"/>
    <w:rsid w:val="4BEA168B"/>
    <w:rsid w:val="4BEC2AF7"/>
    <w:rsid w:val="4BEC729F"/>
    <w:rsid w:val="4BF03B4A"/>
    <w:rsid w:val="4BF15FCD"/>
    <w:rsid w:val="4BF6257B"/>
    <w:rsid w:val="4BF95CCE"/>
    <w:rsid w:val="4BFB19A3"/>
    <w:rsid w:val="4C003D8D"/>
    <w:rsid w:val="4C0124B2"/>
    <w:rsid w:val="4C013661"/>
    <w:rsid w:val="4C0142C3"/>
    <w:rsid w:val="4C080163"/>
    <w:rsid w:val="4C0849EF"/>
    <w:rsid w:val="4C0C0983"/>
    <w:rsid w:val="4C0D0258"/>
    <w:rsid w:val="4C1930A0"/>
    <w:rsid w:val="4C197E3C"/>
    <w:rsid w:val="4C23461C"/>
    <w:rsid w:val="4C237A7B"/>
    <w:rsid w:val="4C261319"/>
    <w:rsid w:val="4C26756B"/>
    <w:rsid w:val="4C2832E3"/>
    <w:rsid w:val="4C2A2BB8"/>
    <w:rsid w:val="4C343A36"/>
    <w:rsid w:val="4C35155C"/>
    <w:rsid w:val="4C365A00"/>
    <w:rsid w:val="4C3954F1"/>
    <w:rsid w:val="4C4243A5"/>
    <w:rsid w:val="4C43011D"/>
    <w:rsid w:val="4C455C43"/>
    <w:rsid w:val="4C464C3E"/>
    <w:rsid w:val="4C4719BC"/>
    <w:rsid w:val="4C4A14AC"/>
    <w:rsid w:val="4C4A5008"/>
    <w:rsid w:val="4C510D1C"/>
    <w:rsid w:val="4C5145E8"/>
    <w:rsid w:val="4C516D59"/>
    <w:rsid w:val="4C567E51"/>
    <w:rsid w:val="4C6065D9"/>
    <w:rsid w:val="4C6205A3"/>
    <w:rsid w:val="4C626E15"/>
    <w:rsid w:val="4C6360CA"/>
    <w:rsid w:val="4C6F1BC7"/>
    <w:rsid w:val="4C6F5063"/>
    <w:rsid w:val="4C703643"/>
    <w:rsid w:val="4C71233A"/>
    <w:rsid w:val="4C71370C"/>
    <w:rsid w:val="4C716A38"/>
    <w:rsid w:val="4C746F8D"/>
    <w:rsid w:val="4C765DFD"/>
    <w:rsid w:val="4C775670"/>
    <w:rsid w:val="4C784710"/>
    <w:rsid w:val="4C7B0039"/>
    <w:rsid w:val="4C7D362F"/>
    <w:rsid w:val="4C7E73A7"/>
    <w:rsid w:val="4C820C46"/>
    <w:rsid w:val="4C854292"/>
    <w:rsid w:val="4C856040"/>
    <w:rsid w:val="4C89719B"/>
    <w:rsid w:val="4C8A049A"/>
    <w:rsid w:val="4C8B1EE4"/>
    <w:rsid w:val="4C8B6A8E"/>
    <w:rsid w:val="4C8C0DCC"/>
    <w:rsid w:val="4C8F5111"/>
    <w:rsid w:val="4C9149E5"/>
    <w:rsid w:val="4C9170DB"/>
    <w:rsid w:val="4C934035"/>
    <w:rsid w:val="4C934C01"/>
    <w:rsid w:val="4C96024D"/>
    <w:rsid w:val="4C9B52CF"/>
    <w:rsid w:val="4C9D623D"/>
    <w:rsid w:val="4CA2381E"/>
    <w:rsid w:val="4CA42765"/>
    <w:rsid w:val="4CA759EA"/>
    <w:rsid w:val="4CAA7B4E"/>
    <w:rsid w:val="4CAD5597"/>
    <w:rsid w:val="4CB06088"/>
    <w:rsid w:val="4CB16E35"/>
    <w:rsid w:val="4CB22BAD"/>
    <w:rsid w:val="4CB23241"/>
    <w:rsid w:val="4CB44B77"/>
    <w:rsid w:val="4CB608EF"/>
    <w:rsid w:val="4CB6269D"/>
    <w:rsid w:val="4CB77648"/>
    <w:rsid w:val="4CB958B7"/>
    <w:rsid w:val="4CBD29F2"/>
    <w:rsid w:val="4CC052CA"/>
    <w:rsid w:val="4CC36B68"/>
    <w:rsid w:val="4CC71098"/>
    <w:rsid w:val="4CCA646D"/>
    <w:rsid w:val="4CD55658"/>
    <w:rsid w:val="4CDA4DF0"/>
    <w:rsid w:val="4CDB6598"/>
    <w:rsid w:val="4CDC4B40"/>
    <w:rsid w:val="4CDE39A2"/>
    <w:rsid w:val="4CE305D0"/>
    <w:rsid w:val="4CE62415"/>
    <w:rsid w:val="4CE70725"/>
    <w:rsid w:val="4CF004C6"/>
    <w:rsid w:val="4CF3377E"/>
    <w:rsid w:val="4CF55AD8"/>
    <w:rsid w:val="4CF84A64"/>
    <w:rsid w:val="4D02770A"/>
    <w:rsid w:val="4D043409"/>
    <w:rsid w:val="4D057181"/>
    <w:rsid w:val="4D094475"/>
    <w:rsid w:val="4D0A60DF"/>
    <w:rsid w:val="4D126DA4"/>
    <w:rsid w:val="4D13189E"/>
    <w:rsid w:val="4D137AF0"/>
    <w:rsid w:val="4D1656C9"/>
    <w:rsid w:val="4D1B4BF6"/>
    <w:rsid w:val="4D1B69A4"/>
    <w:rsid w:val="4D21045F"/>
    <w:rsid w:val="4D217D2B"/>
    <w:rsid w:val="4D2C295F"/>
    <w:rsid w:val="4D2E7676"/>
    <w:rsid w:val="4D312395"/>
    <w:rsid w:val="4D316958"/>
    <w:rsid w:val="4D322D6F"/>
    <w:rsid w:val="4D333CEE"/>
    <w:rsid w:val="4D341814"/>
    <w:rsid w:val="4D36558C"/>
    <w:rsid w:val="4D396A73"/>
    <w:rsid w:val="4D3D4B6D"/>
    <w:rsid w:val="4D3D691B"/>
    <w:rsid w:val="4D4001B9"/>
    <w:rsid w:val="4D422183"/>
    <w:rsid w:val="4D42559E"/>
    <w:rsid w:val="4D430019"/>
    <w:rsid w:val="4D445EFB"/>
    <w:rsid w:val="4D455A02"/>
    <w:rsid w:val="4D485968"/>
    <w:rsid w:val="4D4927BE"/>
    <w:rsid w:val="4D4B1874"/>
    <w:rsid w:val="4D4C4DB0"/>
    <w:rsid w:val="4D4D3BB9"/>
    <w:rsid w:val="4D5B4615"/>
    <w:rsid w:val="4D5B4FF3"/>
    <w:rsid w:val="4D6011AA"/>
    <w:rsid w:val="4D622825"/>
    <w:rsid w:val="4D64034B"/>
    <w:rsid w:val="4D64229B"/>
    <w:rsid w:val="4D6640C3"/>
    <w:rsid w:val="4D6D20E0"/>
    <w:rsid w:val="4D783DF7"/>
    <w:rsid w:val="4D786533"/>
    <w:rsid w:val="4D7D1B31"/>
    <w:rsid w:val="4D7F003B"/>
    <w:rsid w:val="4D8207D1"/>
    <w:rsid w:val="4D8220AC"/>
    <w:rsid w:val="4D822DD2"/>
    <w:rsid w:val="4D856D27"/>
    <w:rsid w:val="4D87403A"/>
    <w:rsid w:val="4D87406E"/>
    <w:rsid w:val="4D885D2A"/>
    <w:rsid w:val="4D89563A"/>
    <w:rsid w:val="4D8960E2"/>
    <w:rsid w:val="4D8C42F2"/>
    <w:rsid w:val="4D907392"/>
    <w:rsid w:val="4D922D30"/>
    <w:rsid w:val="4D923BF6"/>
    <w:rsid w:val="4D9872A2"/>
    <w:rsid w:val="4D990CF9"/>
    <w:rsid w:val="4D9C1893"/>
    <w:rsid w:val="4D9E7067"/>
    <w:rsid w:val="4DA11160"/>
    <w:rsid w:val="4DA43604"/>
    <w:rsid w:val="4DA50D3D"/>
    <w:rsid w:val="4DA61A83"/>
    <w:rsid w:val="4DA76006"/>
    <w:rsid w:val="4DAD1CF2"/>
    <w:rsid w:val="4DB52955"/>
    <w:rsid w:val="4DB917A5"/>
    <w:rsid w:val="4DB947CF"/>
    <w:rsid w:val="4DBA440F"/>
    <w:rsid w:val="4DBC3274"/>
    <w:rsid w:val="4DBC3CE3"/>
    <w:rsid w:val="4DC31516"/>
    <w:rsid w:val="4DC332C4"/>
    <w:rsid w:val="4DC42B98"/>
    <w:rsid w:val="4DCD4142"/>
    <w:rsid w:val="4DD059E1"/>
    <w:rsid w:val="4DD226C1"/>
    <w:rsid w:val="4DD54DA5"/>
    <w:rsid w:val="4DD728A2"/>
    <w:rsid w:val="4DD728CB"/>
    <w:rsid w:val="4DD74FC1"/>
    <w:rsid w:val="4DDA23BB"/>
    <w:rsid w:val="4DDC6134"/>
    <w:rsid w:val="4DDF5C24"/>
    <w:rsid w:val="4DE334F9"/>
    <w:rsid w:val="4DE36E54"/>
    <w:rsid w:val="4DEA06C6"/>
    <w:rsid w:val="4DED0341"/>
    <w:rsid w:val="4DEF230B"/>
    <w:rsid w:val="4DEF40B9"/>
    <w:rsid w:val="4DF62510"/>
    <w:rsid w:val="4DF74696"/>
    <w:rsid w:val="4DF75E0A"/>
    <w:rsid w:val="4DFC03F6"/>
    <w:rsid w:val="4DFC47E0"/>
    <w:rsid w:val="4DFC67D6"/>
    <w:rsid w:val="4E013DEC"/>
    <w:rsid w:val="4E015B9A"/>
    <w:rsid w:val="4E047438"/>
    <w:rsid w:val="4E061402"/>
    <w:rsid w:val="4E0800C8"/>
    <w:rsid w:val="4E0A1079"/>
    <w:rsid w:val="4E0D1736"/>
    <w:rsid w:val="4E127DA7"/>
    <w:rsid w:val="4E157897"/>
    <w:rsid w:val="4E17716C"/>
    <w:rsid w:val="4E1B241D"/>
    <w:rsid w:val="4E2078E8"/>
    <w:rsid w:val="4E280B54"/>
    <w:rsid w:val="4E2D2E33"/>
    <w:rsid w:val="4E3263F6"/>
    <w:rsid w:val="4E37780E"/>
    <w:rsid w:val="4E3A37EB"/>
    <w:rsid w:val="4E3E1263"/>
    <w:rsid w:val="4E472D72"/>
    <w:rsid w:val="4E4B27AD"/>
    <w:rsid w:val="4E4B5067"/>
    <w:rsid w:val="4E4D2773"/>
    <w:rsid w:val="4E4D7031"/>
    <w:rsid w:val="4E4E19C6"/>
    <w:rsid w:val="4E52289A"/>
    <w:rsid w:val="4E593C28"/>
    <w:rsid w:val="4E5C0254"/>
    <w:rsid w:val="4E5E4D9B"/>
    <w:rsid w:val="4E611193"/>
    <w:rsid w:val="4E622175"/>
    <w:rsid w:val="4E6379CA"/>
    <w:rsid w:val="4E6600F3"/>
    <w:rsid w:val="4E6A373F"/>
    <w:rsid w:val="4E6D3230"/>
    <w:rsid w:val="4E710F72"/>
    <w:rsid w:val="4E724076"/>
    <w:rsid w:val="4E822F60"/>
    <w:rsid w:val="4E834CB4"/>
    <w:rsid w:val="4E8812BF"/>
    <w:rsid w:val="4E8D4239"/>
    <w:rsid w:val="4E8F0339"/>
    <w:rsid w:val="4E8F764A"/>
    <w:rsid w:val="4E95086E"/>
    <w:rsid w:val="4E984750"/>
    <w:rsid w:val="4E992277"/>
    <w:rsid w:val="4E9B5FEF"/>
    <w:rsid w:val="4EA12ED9"/>
    <w:rsid w:val="4EA330F5"/>
    <w:rsid w:val="4EA60E9D"/>
    <w:rsid w:val="4EA630D1"/>
    <w:rsid w:val="4EA8070C"/>
    <w:rsid w:val="4EA9001F"/>
    <w:rsid w:val="4EAA6232"/>
    <w:rsid w:val="4EAF55F6"/>
    <w:rsid w:val="4EB03853"/>
    <w:rsid w:val="4EB33338"/>
    <w:rsid w:val="4EB40E5E"/>
    <w:rsid w:val="4EBA778D"/>
    <w:rsid w:val="4EBB043F"/>
    <w:rsid w:val="4EBF4CEA"/>
    <w:rsid w:val="4EC07FC0"/>
    <w:rsid w:val="4EC2713D"/>
    <w:rsid w:val="4EC546EF"/>
    <w:rsid w:val="4EC92B5C"/>
    <w:rsid w:val="4EC970AA"/>
    <w:rsid w:val="4ECF5307"/>
    <w:rsid w:val="4ED27537"/>
    <w:rsid w:val="4ED4505D"/>
    <w:rsid w:val="4ED540AC"/>
    <w:rsid w:val="4ED61B70"/>
    <w:rsid w:val="4ED92533"/>
    <w:rsid w:val="4ED96B17"/>
    <w:rsid w:val="4EDB288F"/>
    <w:rsid w:val="4EDF336A"/>
    <w:rsid w:val="4EE23A72"/>
    <w:rsid w:val="4EE23C1E"/>
    <w:rsid w:val="4EE31744"/>
    <w:rsid w:val="4EEB759A"/>
    <w:rsid w:val="4EEF6E91"/>
    <w:rsid w:val="4EF15C0F"/>
    <w:rsid w:val="4EF233DF"/>
    <w:rsid w:val="4EF456FF"/>
    <w:rsid w:val="4EF734B8"/>
    <w:rsid w:val="4EF85299"/>
    <w:rsid w:val="4EFE07F8"/>
    <w:rsid w:val="4F021F88"/>
    <w:rsid w:val="4F025A3F"/>
    <w:rsid w:val="4F073684"/>
    <w:rsid w:val="4F092B16"/>
    <w:rsid w:val="4F0A1253"/>
    <w:rsid w:val="4F155DA1"/>
    <w:rsid w:val="4F1926AC"/>
    <w:rsid w:val="4F195165"/>
    <w:rsid w:val="4F1A038A"/>
    <w:rsid w:val="4F1A4144"/>
    <w:rsid w:val="4F1D2EA8"/>
    <w:rsid w:val="4F1F0499"/>
    <w:rsid w:val="4F227AD6"/>
    <w:rsid w:val="4F245FE4"/>
    <w:rsid w:val="4F251D5C"/>
    <w:rsid w:val="4F253B0A"/>
    <w:rsid w:val="4F29184C"/>
    <w:rsid w:val="4F2A1121"/>
    <w:rsid w:val="4F2C30EB"/>
    <w:rsid w:val="4F2E04D0"/>
    <w:rsid w:val="4F2E6E63"/>
    <w:rsid w:val="4F304531"/>
    <w:rsid w:val="4F305E53"/>
    <w:rsid w:val="4F3124AF"/>
    <w:rsid w:val="4F326E51"/>
    <w:rsid w:val="4F334479"/>
    <w:rsid w:val="4F36622A"/>
    <w:rsid w:val="4F3A75B6"/>
    <w:rsid w:val="4F3D5F79"/>
    <w:rsid w:val="4F3E6201"/>
    <w:rsid w:val="4F3E697A"/>
    <w:rsid w:val="4F3F4BCC"/>
    <w:rsid w:val="4F455F5A"/>
    <w:rsid w:val="4F4977F9"/>
    <w:rsid w:val="4F4A6811"/>
    <w:rsid w:val="4F4C553B"/>
    <w:rsid w:val="4F4C72E9"/>
    <w:rsid w:val="4F5336EF"/>
    <w:rsid w:val="4F5F701C"/>
    <w:rsid w:val="4F642884"/>
    <w:rsid w:val="4F6665FD"/>
    <w:rsid w:val="4F6939F7"/>
    <w:rsid w:val="4F6B2429"/>
    <w:rsid w:val="4F730D1A"/>
    <w:rsid w:val="4F73400C"/>
    <w:rsid w:val="4F7A5C04"/>
    <w:rsid w:val="4F7B372A"/>
    <w:rsid w:val="4F7F279B"/>
    <w:rsid w:val="4F801413"/>
    <w:rsid w:val="4F82510A"/>
    <w:rsid w:val="4F89256B"/>
    <w:rsid w:val="4F894099"/>
    <w:rsid w:val="4F8D5F75"/>
    <w:rsid w:val="4F90367A"/>
    <w:rsid w:val="4F9218D8"/>
    <w:rsid w:val="4F934D41"/>
    <w:rsid w:val="4F9A44F8"/>
    <w:rsid w:val="4F9D5D96"/>
    <w:rsid w:val="4F9F566B"/>
    <w:rsid w:val="4FA1325A"/>
    <w:rsid w:val="4FA42C81"/>
    <w:rsid w:val="4FA92599"/>
    <w:rsid w:val="4FAD422B"/>
    <w:rsid w:val="4FB22261"/>
    <w:rsid w:val="4FB53274"/>
    <w:rsid w:val="4FB83A47"/>
    <w:rsid w:val="4FB85036"/>
    <w:rsid w:val="4FB93F1E"/>
    <w:rsid w:val="4FBD1F95"/>
    <w:rsid w:val="4FC519A4"/>
    <w:rsid w:val="4FC60E49"/>
    <w:rsid w:val="4FCB46B2"/>
    <w:rsid w:val="4FCB60B9"/>
    <w:rsid w:val="4FCD042A"/>
    <w:rsid w:val="4FCE5F50"/>
    <w:rsid w:val="4FD21432"/>
    <w:rsid w:val="4FDE2637"/>
    <w:rsid w:val="4FDF015D"/>
    <w:rsid w:val="4FDF63AF"/>
    <w:rsid w:val="4FDF68CD"/>
    <w:rsid w:val="4FE26C27"/>
    <w:rsid w:val="4FE87012"/>
    <w:rsid w:val="4FE90FDC"/>
    <w:rsid w:val="4FEE03A0"/>
    <w:rsid w:val="4FEE65F2"/>
    <w:rsid w:val="4FF05EC6"/>
    <w:rsid w:val="4FFC486B"/>
    <w:rsid w:val="4FFE1BB7"/>
    <w:rsid w:val="4FFF435B"/>
    <w:rsid w:val="50016325"/>
    <w:rsid w:val="50024740"/>
    <w:rsid w:val="50037037"/>
    <w:rsid w:val="500D0826"/>
    <w:rsid w:val="500E7E3C"/>
    <w:rsid w:val="50103620"/>
    <w:rsid w:val="50104AD4"/>
    <w:rsid w:val="50106568"/>
    <w:rsid w:val="50111EE2"/>
    <w:rsid w:val="50137E07"/>
    <w:rsid w:val="50180974"/>
    <w:rsid w:val="501871CB"/>
    <w:rsid w:val="501C4F0D"/>
    <w:rsid w:val="501F67AB"/>
    <w:rsid w:val="50212524"/>
    <w:rsid w:val="5023629C"/>
    <w:rsid w:val="50245B70"/>
    <w:rsid w:val="5027369B"/>
    <w:rsid w:val="50275F2F"/>
    <w:rsid w:val="50291307"/>
    <w:rsid w:val="502A26D3"/>
    <w:rsid w:val="502C341E"/>
    <w:rsid w:val="5030033E"/>
    <w:rsid w:val="50342257"/>
    <w:rsid w:val="50387495"/>
    <w:rsid w:val="503A5393"/>
    <w:rsid w:val="503C65DF"/>
    <w:rsid w:val="503D67A1"/>
    <w:rsid w:val="503E0D51"/>
    <w:rsid w:val="503F29AA"/>
    <w:rsid w:val="50426A53"/>
    <w:rsid w:val="50493828"/>
    <w:rsid w:val="504F4F96"/>
    <w:rsid w:val="50501E20"/>
    <w:rsid w:val="5051105B"/>
    <w:rsid w:val="5058343A"/>
    <w:rsid w:val="50591CBD"/>
    <w:rsid w:val="505A5A36"/>
    <w:rsid w:val="5060304C"/>
    <w:rsid w:val="506329E8"/>
    <w:rsid w:val="506348EA"/>
    <w:rsid w:val="506364C3"/>
    <w:rsid w:val="50646F2B"/>
    <w:rsid w:val="50671184"/>
    <w:rsid w:val="5067585C"/>
    <w:rsid w:val="506B2685"/>
    <w:rsid w:val="506B7C43"/>
    <w:rsid w:val="506C56BD"/>
    <w:rsid w:val="507B7A10"/>
    <w:rsid w:val="507C64A1"/>
    <w:rsid w:val="507D4F01"/>
    <w:rsid w:val="508036EE"/>
    <w:rsid w:val="50816DAC"/>
    <w:rsid w:val="50821E12"/>
    <w:rsid w:val="50840490"/>
    <w:rsid w:val="50852AB2"/>
    <w:rsid w:val="508764A1"/>
    <w:rsid w:val="508B3E41"/>
    <w:rsid w:val="508D296A"/>
    <w:rsid w:val="50903205"/>
    <w:rsid w:val="509251CF"/>
    <w:rsid w:val="50947199"/>
    <w:rsid w:val="50985053"/>
    <w:rsid w:val="50995CF6"/>
    <w:rsid w:val="5099655E"/>
    <w:rsid w:val="509B0528"/>
    <w:rsid w:val="50A079D7"/>
    <w:rsid w:val="50A13150"/>
    <w:rsid w:val="50A3035D"/>
    <w:rsid w:val="50A849F3"/>
    <w:rsid w:val="50AD2009"/>
    <w:rsid w:val="50AF4510"/>
    <w:rsid w:val="50B138A7"/>
    <w:rsid w:val="50B2316B"/>
    <w:rsid w:val="50B27620"/>
    <w:rsid w:val="50B43398"/>
    <w:rsid w:val="50B909AE"/>
    <w:rsid w:val="50BA5154"/>
    <w:rsid w:val="50BD5A9C"/>
    <w:rsid w:val="50C07F8E"/>
    <w:rsid w:val="50C11611"/>
    <w:rsid w:val="50C321F6"/>
    <w:rsid w:val="50C60DF5"/>
    <w:rsid w:val="50C641CC"/>
    <w:rsid w:val="50C76017"/>
    <w:rsid w:val="50C8082B"/>
    <w:rsid w:val="50C80DCD"/>
    <w:rsid w:val="50C8299F"/>
    <w:rsid w:val="50D84D5F"/>
    <w:rsid w:val="50DB3D34"/>
    <w:rsid w:val="50DD5972"/>
    <w:rsid w:val="50E05817"/>
    <w:rsid w:val="50E13A61"/>
    <w:rsid w:val="50E33C7D"/>
    <w:rsid w:val="50E377D9"/>
    <w:rsid w:val="50E41867"/>
    <w:rsid w:val="50E579F5"/>
    <w:rsid w:val="50E772C9"/>
    <w:rsid w:val="50E80146"/>
    <w:rsid w:val="50EE1EB6"/>
    <w:rsid w:val="50F86CD4"/>
    <w:rsid w:val="50FB11BA"/>
    <w:rsid w:val="510065DD"/>
    <w:rsid w:val="51021743"/>
    <w:rsid w:val="51022355"/>
    <w:rsid w:val="51027B91"/>
    <w:rsid w:val="51031C29"/>
    <w:rsid w:val="51096870"/>
    <w:rsid w:val="510C31D4"/>
    <w:rsid w:val="510D2AA8"/>
    <w:rsid w:val="510F2A57"/>
    <w:rsid w:val="510F337D"/>
    <w:rsid w:val="51121E6C"/>
    <w:rsid w:val="51134EFD"/>
    <w:rsid w:val="51142088"/>
    <w:rsid w:val="51142FE2"/>
    <w:rsid w:val="5119769F"/>
    <w:rsid w:val="511C4BD3"/>
    <w:rsid w:val="511E4CB5"/>
    <w:rsid w:val="51216C22"/>
    <w:rsid w:val="51257DF2"/>
    <w:rsid w:val="51273B6A"/>
    <w:rsid w:val="512C3D35"/>
    <w:rsid w:val="512D652B"/>
    <w:rsid w:val="51316796"/>
    <w:rsid w:val="51330760"/>
    <w:rsid w:val="51394C86"/>
    <w:rsid w:val="513F7105"/>
    <w:rsid w:val="514774AD"/>
    <w:rsid w:val="51496E30"/>
    <w:rsid w:val="51497F84"/>
    <w:rsid w:val="514C537E"/>
    <w:rsid w:val="514F4E6E"/>
    <w:rsid w:val="515240B8"/>
    <w:rsid w:val="515925AE"/>
    <w:rsid w:val="515E50B1"/>
    <w:rsid w:val="51600E2A"/>
    <w:rsid w:val="51656440"/>
    <w:rsid w:val="51713037"/>
    <w:rsid w:val="51735001"/>
    <w:rsid w:val="517843C5"/>
    <w:rsid w:val="51786173"/>
    <w:rsid w:val="517D5E7F"/>
    <w:rsid w:val="517D62E7"/>
    <w:rsid w:val="5184720E"/>
    <w:rsid w:val="51874608"/>
    <w:rsid w:val="518A4489"/>
    <w:rsid w:val="518A5EA7"/>
    <w:rsid w:val="518F170F"/>
    <w:rsid w:val="51905BB3"/>
    <w:rsid w:val="51925A90"/>
    <w:rsid w:val="51954F77"/>
    <w:rsid w:val="51976F41"/>
    <w:rsid w:val="519821A9"/>
    <w:rsid w:val="519E2BC7"/>
    <w:rsid w:val="519F7BA4"/>
    <w:rsid w:val="51A13E04"/>
    <w:rsid w:val="51A927D1"/>
    <w:rsid w:val="51AB6549"/>
    <w:rsid w:val="51AC5E5D"/>
    <w:rsid w:val="51AE6039"/>
    <w:rsid w:val="51AF6B53"/>
    <w:rsid w:val="51B178D7"/>
    <w:rsid w:val="51B66C9C"/>
    <w:rsid w:val="51BD27F3"/>
    <w:rsid w:val="51BF3DA2"/>
    <w:rsid w:val="51C413B8"/>
    <w:rsid w:val="51CC4711"/>
    <w:rsid w:val="51D0013B"/>
    <w:rsid w:val="51D23892"/>
    <w:rsid w:val="51D32F47"/>
    <w:rsid w:val="51D344CB"/>
    <w:rsid w:val="51D469CA"/>
    <w:rsid w:val="51D51D50"/>
    <w:rsid w:val="51D535C6"/>
    <w:rsid w:val="51DA0248"/>
    <w:rsid w:val="51E47CAD"/>
    <w:rsid w:val="51E63A25"/>
    <w:rsid w:val="51ED419D"/>
    <w:rsid w:val="51F1582F"/>
    <w:rsid w:val="51F15F26"/>
    <w:rsid w:val="51F164CF"/>
    <w:rsid w:val="51F36142"/>
    <w:rsid w:val="51F40DCF"/>
    <w:rsid w:val="51FA302C"/>
    <w:rsid w:val="51FA74D0"/>
    <w:rsid w:val="51FA74E2"/>
    <w:rsid w:val="51FD2B1C"/>
    <w:rsid w:val="5201085F"/>
    <w:rsid w:val="520333D5"/>
    <w:rsid w:val="52037995"/>
    <w:rsid w:val="520420FD"/>
    <w:rsid w:val="52075749"/>
    <w:rsid w:val="520C0A8F"/>
    <w:rsid w:val="520C5643"/>
    <w:rsid w:val="52102100"/>
    <w:rsid w:val="52155577"/>
    <w:rsid w:val="52164189"/>
    <w:rsid w:val="5218368A"/>
    <w:rsid w:val="52185A99"/>
    <w:rsid w:val="521A722A"/>
    <w:rsid w:val="521D4F6D"/>
    <w:rsid w:val="522105B9"/>
    <w:rsid w:val="5225218C"/>
    <w:rsid w:val="52293911"/>
    <w:rsid w:val="522C6C56"/>
    <w:rsid w:val="522D3402"/>
    <w:rsid w:val="523105C6"/>
    <w:rsid w:val="523429E2"/>
    <w:rsid w:val="52350508"/>
    <w:rsid w:val="5236417D"/>
    <w:rsid w:val="523947E5"/>
    <w:rsid w:val="52397FF8"/>
    <w:rsid w:val="5248427D"/>
    <w:rsid w:val="524C2613"/>
    <w:rsid w:val="524E413C"/>
    <w:rsid w:val="524E619B"/>
    <w:rsid w:val="52536C4D"/>
    <w:rsid w:val="525505F7"/>
    <w:rsid w:val="52554706"/>
    <w:rsid w:val="52565775"/>
    <w:rsid w:val="52592449"/>
    <w:rsid w:val="52595FA5"/>
    <w:rsid w:val="525E0E06"/>
    <w:rsid w:val="52614E59"/>
    <w:rsid w:val="52624905"/>
    <w:rsid w:val="52631204"/>
    <w:rsid w:val="52650DED"/>
    <w:rsid w:val="5266011F"/>
    <w:rsid w:val="52671D2E"/>
    <w:rsid w:val="526757A0"/>
    <w:rsid w:val="52706A0C"/>
    <w:rsid w:val="5272350A"/>
    <w:rsid w:val="52825B1C"/>
    <w:rsid w:val="5285323E"/>
    <w:rsid w:val="52860D64"/>
    <w:rsid w:val="528E2E4E"/>
    <w:rsid w:val="528F7C18"/>
    <w:rsid w:val="5293012E"/>
    <w:rsid w:val="529815E1"/>
    <w:rsid w:val="529C711E"/>
    <w:rsid w:val="529E1C09"/>
    <w:rsid w:val="529E7E5B"/>
    <w:rsid w:val="529F5982"/>
    <w:rsid w:val="52A33A7B"/>
    <w:rsid w:val="52A511EA"/>
    <w:rsid w:val="52A64F62"/>
    <w:rsid w:val="52A9519F"/>
    <w:rsid w:val="52AB2578"/>
    <w:rsid w:val="52AD4542"/>
    <w:rsid w:val="52AF1863"/>
    <w:rsid w:val="52AF3E17"/>
    <w:rsid w:val="52B4767F"/>
    <w:rsid w:val="52B92EE7"/>
    <w:rsid w:val="52BB7DFA"/>
    <w:rsid w:val="52C11D9C"/>
    <w:rsid w:val="52C5363A"/>
    <w:rsid w:val="52C665FD"/>
    <w:rsid w:val="52C6683C"/>
    <w:rsid w:val="52CA6EA2"/>
    <w:rsid w:val="52D25D57"/>
    <w:rsid w:val="52D4387D"/>
    <w:rsid w:val="52D47EAB"/>
    <w:rsid w:val="52D63A99"/>
    <w:rsid w:val="52D715BF"/>
    <w:rsid w:val="52DB2E5E"/>
    <w:rsid w:val="52DE64AA"/>
    <w:rsid w:val="52DE6C30"/>
    <w:rsid w:val="52E066C6"/>
    <w:rsid w:val="52E27AFB"/>
    <w:rsid w:val="52E67747"/>
    <w:rsid w:val="52EE6C5A"/>
    <w:rsid w:val="52F21F55"/>
    <w:rsid w:val="52F83A10"/>
    <w:rsid w:val="530D7524"/>
    <w:rsid w:val="530E5C47"/>
    <w:rsid w:val="530F0D59"/>
    <w:rsid w:val="530F2B07"/>
    <w:rsid w:val="5311687F"/>
    <w:rsid w:val="53172497"/>
    <w:rsid w:val="531D5224"/>
    <w:rsid w:val="532A5C27"/>
    <w:rsid w:val="533407C0"/>
    <w:rsid w:val="53392167"/>
    <w:rsid w:val="533A42DF"/>
    <w:rsid w:val="533A546C"/>
    <w:rsid w:val="533D7674"/>
    <w:rsid w:val="533E51F2"/>
    <w:rsid w:val="53410CAF"/>
    <w:rsid w:val="53522CF9"/>
    <w:rsid w:val="535449BE"/>
    <w:rsid w:val="5354676C"/>
    <w:rsid w:val="535B3F9E"/>
    <w:rsid w:val="535C0B74"/>
    <w:rsid w:val="535E75EB"/>
    <w:rsid w:val="535F3A8F"/>
    <w:rsid w:val="53606E33"/>
    <w:rsid w:val="53612782"/>
    <w:rsid w:val="536270DB"/>
    <w:rsid w:val="5366715A"/>
    <w:rsid w:val="53686F3B"/>
    <w:rsid w:val="53696C05"/>
    <w:rsid w:val="536A2433"/>
    <w:rsid w:val="536A3F48"/>
    <w:rsid w:val="536A41E2"/>
    <w:rsid w:val="536C5857"/>
    <w:rsid w:val="536C7F5A"/>
    <w:rsid w:val="536E3CD2"/>
    <w:rsid w:val="537137C2"/>
    <w:rsid w:val="5373753A"/>
    <w:rsid w:val="53760DD8"/>
    <w:rsid w:val="537868FE"/>
    <w:rsid w:val="53791642"/>
    <w:rsid w:val="537961D3"/>
    <w:rsid w:val="537D110E"/>
    <w:rsid w:val="537E1A3B"/>
    <w:rsid w:val="53806916"/>
    <w:rsid w:val="538232D9"/>
    <w:rsid w:val="53840C65"/>
    <w:rsid w:val="53841996"/>
    <w:rsid w:val="538709E1"/>
    <w:rsid w:val="538928BA"/>
    <w:rsid w:val="538C05FC"/>
    <w:rsid w:val="538E1C7E"/>
    <w:rsid w:val="538E6BE2"/>
    <w:rsid w:val="53906489"/>
    <w:rsid w:val="53964FD7"/>
    <w:rsid w:val="53977BF3"/>
    <w:rsid w:val="5398661A"/>
    <w:rsid w:val="539A4AC7"/>
    <w:rsid w:val="539A644A"/>
    <w:rsid w:val="539A6875"/>
    <w:rsid w:val="539F20DD"/>
    <w:rsid w:val="53AE0572"/>
    <w:rsid w:val="53B80F2B"/>
    <w:rsid w:val="53B8319F"/>
    <w:rsid w:val="53BA0A12"/>
    <w:rsid w:val="53BA548C"/>
    <w:rsid w:val="53BB4A3D"/>
    <w:rsid w:val="53BB5B6D"/>
    <w:rsid w:val="53BB6BC7"/>
    <w:rsid w:val="53BD388D"/>
    <w:rsid w:val="53BF71EE"/>
    <w:rsid w:val="53C02053"/>
    <w:rsid w:val="53C13A13"/>
    <w:rsid w:val="53C65F8D"/>
    <w:rsid w:val="53D004E8"/>
    <w:rsid w:val="53D17DBD"/>
    <w:rsid w:val="53D570CF"/>
    <w:rsid w:val="53D8114B"/>
    <w:rsid w:val="53DB6E8D"/>
    <w:rsid w:val="53DD49B3"/>
    <w:rsid w:val="53DE2F6F"/>
    <w:rsid w:val="53DF24DA"/>
    <w:rsid w:val="53E2021C"/>
    <w:rsid w:val="53E4595F"/>
    <w:rsid w:val="53E915AA"/>
    <w:rsid w:val="53E9413E"/>
    <w:rsid w:val="53EE096F"/>
    <w:rsid w:val="53EE67A7"/>
    <w:rsid w:val="53EF08A4"/>
    <w:rsid w:val="53F00B8B"/>
    <w:rsid w:val="53F42A19"/>
    <w:rsid w:val="53F73CC7"/>
    <w:rsid w:val="53F94527"/>
    <w:rsid w:val="53FD5056"/>
    <w:rsid w:val="54063F0A"/>
    <w:rsid w:val="54071A30"/>
    <w:rsid w:val="540721C8"/>
    <w:rsid w:val="54072645"/>
    <w:rsid w:val="540957A8"/>
    <w:rsid w:val="540E02F9"/>
    <w:rsid w:val="540E413C"/>
    <w:rsid w:val="5410444A"/>
    <w:rsid w:val="5415239F"/>
    <w:rsid w:val="541B4CF0"/>
    <w:rsid w:val="541C54DC"/>
    <w:rsid w:val="541D74A6"/>
    <w:rsid w:val="54213267"/>
    <w:rsid w:val="5422686A"/>
    <w:rsid w:val="54232D0E"/>
    <w:rsid w:val="5426635A"/>
    <w:rsid w:val="54273E81"/>
    <w:rsid w:val="54285C76"/>
    <w:rsid w:val="54330A77"/>
    <w:rsid w:val="543401D7"/>
    <w:rsid w:val="543618F8"/>
    <w:rsid w:val="54372E20"/>
    <w:rsid w:val="543744C9"/>
    <w:rsid w:val="543842E0"/>
    <w:rsid w:val="54387E3C"/>
    <w:rsid w:val="543C3DD0"/>
    <w:rsid w:val="543F741C"/>
    <w:rsid w:val="54420CBA"/>
    <w:rsid w:val="54421ED7"/>
    <w:rsid w:val="544607AB"/>
    <w:rsid w:val="54464BBC"/>
    <w:rsid w:val="54497D6E"/>
    <w:rsid w:val="544B5DC1"/>
    <w:rsid w:val="544E5CE1"/>
    <w:rsid w:val="545033D7"/>
    <w:rsid w:val="54556C40"/>
    <w:rsid w:val="54582195"/>
    <w:rsid w:val="545B2183"/>
    <w:rsid w:val="546122F1"/>
    <w:rsid w:val="54686617"/>
    <w:rsid w:val="546926EB"/>
    <w:rsid w:val="546928B4"/>
    <w:rsid w:val="546B6E19"/>
    <w:rsid w:val="546D2FEC"/>
    <w:rsid w:val="54703A7A"/>
    <w:rsid w:val="54705828"/>
    <w:rsid w:val="54707211"/>
    <w:rsid w:val="54717DB0"/>
    <w:rsid w:val="5472103A"/>
    <w:rsid w:val="54730172"/>
    <w:rsid w:val="5473040A"/>
    <w:rsid w:val="5476492D"/>
    <w:rsid w:val="54770964"/>
    <w:rsid w:val="547C3C88"/>
    <w:rsid w:val="548117E3"/>
    <w:rsid w:val="5488673C"/>
    <w:rsid w:val="548B440F"/>
    <w:rsid w:val="548C0C4E"/>
    <w:rsid w:val="548C19E4"/>
    <w:rsid w:val="548D5C07"/>
    <w:rsid w:val="54931516"/>
    <w:rsid w:val="549534E0"/>
    <w:rsid w:val="5495703C"/>
    <w:rsid w:val="54964D0C"/>
    <w:rsid w:val="54A022DD"/>
    <w:rsid w:val="54A035C0"/>
    <w:rsid w:val="54A457FE"/>
    <w:rsid w:val="54A72E72"/>
    <w:rsid w:val="54A8546A"/>
    <w:rsid w:val="54AD082A"/>
    <w:rsid w:val="54AD6A7C"/>
    <w:rsid w:val="54B020C8"/>
    <w:rsid w:val="54B301BB"/>
    <w:rsid w:val="54B73456"/>
    <w:rsid w:val="54B75204"/>
    <w:rsid w:val="54B971CF"/>
    <w:rsid w:val="54BA4CF5"/>
    <w:rsid w:val="54BC281B"/>
    <w:rsid w:val="54C341E7"/>
    <w:rsid w:val="54C346FB"/>
    <w:rsid w:val="54C65448"/>
    <w:rsid w:val="54CC5154"/>
    <w:rsid w:val="54D7298C"/>
    <w:rsid w:val="54D8545E"/>
    <w:rsid w:val="54D9517B"/>
    <w:rsid w:val="54DE1774"/>
    <w:rsid w:val="54E0475B"/>
    <w:rsid w:val="54E12281"/>
    <w:rsid w:val="54E14C1B"/>
    <w:rsid w:val="54E16A77"/>
    <w:rsid w:val="54E30252"/>
    <w:rsid w:val="54E66898"/>
    <w:rsid w:val="54EB3100"/>
    <w:rsid w:val="54EE3C23"/>
    <w:rsid w:val="54F00716"/>
    <w:rsid w:val="54F16CCE"/>
    <w:rsid w:val="54F2448F"/>
    <w:rsid w:val="54F41901"/>
    <w:rsid w:val="54F56767"/>
    <w:rsid w:val="54F62E96"/>
    <w:rsid w:val="55004DFD"/>
    <w:rsid w:val="550A0FB6"/>
    <w:rsid w:val="550B5550"/>
    <w:rsid w:val="550D3076"/>
    <w:rsid w:val="550F3998"/>
    <w:rsid w:val="55102B67"/>
    <w:rsid w:val="55132D9D"/>
    <w:rsid w:val="55142657"/>
    <w:rsid w:val="551A0AAB"/>
    <w:rsid w:val="551B0931"/>
    <w:rsid w:val="551E7032"/>
    <w:rsid w:val="551F0267"/>
    <w:rsid w:val="55256612"/>
    <w:rsid w:val="5527238A"/>
    <w:rsid w:val="552B2040"/>
    <w:rsid w:val="552F123F"/>
    <w:rsid w:val="552F2886"/>
    <w:rsid w:val="55326F81"/>
    <w:rsid w:val="553920BD"/>
    <w:rsid w:val="553D7E00"/>
    <w:rsid w:val="553E1482"/>
    <w:rsid w:val="554013F0"/>
    <w:rsid w:val="5540344C"/>
    <w:rsid w:val="55403F22"/>
    <w:rsid w:val="554A3736"/>
    <w:rsid w:val="554B5050"/>
    <w:rsid w:val="55540CA5"/>
    <w:rsid w:val="55546EF7"/>
    <w:rsid w:val="55570796"/>
    <w:rsid w:val="555869E7"/>
    <w:rsid w:val="555D2250"/>
    <w:rsid w:val="5560764A"/>
    <w:rsid w:val="55630EE8"/>
    <w:rsid w:val="5568597E"/>
    <w:rsid w:val="556A2FC9"/>
    <w:rsid w:val="556A4428"/>
    <w:rsid w:val="556A671B"/>
    <w:rsid w:val="556B2929"/>
    <w:rsid w:val="557034D6"/>
    <w:rsid w:val="557355CF"/>
    <w:rsid w:val="557B2E4B"/>
    <w:rsid w:val="557D01FC"/>
    <w:rsid w:val="55821CB6"/>
    <w:rsid w:val="5584531E"/>
    <w:rsid w:val="55894DF3"/>
    <w:rsid w:val="558C6691"/>
    <w:rsid w:val="5594755F"/>
    <w:rsid w:val="55985036"/>
    <w:rsid w:val="559B0682"/>
    <w:rsid w:val="55A0038E"/>
    <w:rsid w:val="55A41C2D"/>
    <w:rsid w:val="55A734CB"/>
    <w:rsid w:val="55A973E3"/>
    <w:rsid w:val="55AC288F"/>
    <w:rsid w:val="55AD03B6"/>
    <w:rsid w:val="55AD1AB8"/>
    <w:rsid w:val="55B21658"/>
    <w:rsid w:val="55B55BE8"/>
    <w:rsid w:val="55B67488"/>
    <w:rsid w:val="55B72364"/>
    <w:rsid w:val="55BA358B"/>
    <w:rsid w:val="55BD676B"/>
    <w:rsid w:val="55BF6FCB"/>
    <w:rsid w:val="55C22462"/>
    <w:rsid w:val="55C67DF5"/>
    <w:rsid w:val="55C725B8"/>
    <w:rsid w:val="55C8387E"/>
    <w:rsid w:val="55D42951"/>
    <w:rsid w:val="55D7707C"/>
    <w:rsid w:val="55DF2C65"/>
    <w:rsid w:val="55E02539"/>
    <w:rsid w:val="55E92A2C"/>
    <w:rsid w:val="55E95892"/>
    <w:rsid w:val="55EA1FEA"/>
    <w:rsid w:val="55EA21A0"/>
    <w:rsid w:val="55EA5DAB"/>
    <w:rsid w:val="55EB160A"/>
    <w:rsid w:val="55EC02DB"/>
    <w:rsid w:val="55EE1AF6"/>
    <w:rsid w:val="55F04E72"/>
    <w:rsid w:val="55F45FE4"/>
    <w:rsid w:val="55F81F79"/>
    <w:rsid w:val="55F935FB"/>
    <w:rsid w:val="55FB6A16"/>
    <w:rsid w:val="55FF76DC"/>
    <w:rsid w:val="560501F2"/>
    <w:rsid w:val="56051FA0"/>
    <w:rsid w:val="56073F8F"/>
    <w:rsid w:val="56090B74"/>
    <w:rsid w:val="560E70A6"/>
    <w:rsid w:val="560F6BB7"/>
    <w:rsid w:val="5612303A"/>
    <w:rsid w:val="56181178"/>
    <w:rsid w:val="561D53D2"/>
    <w:rsid w:val="561D5459"/>
    <w:rsid w:val="561F3061"/>
    <w:rsid w:val="56226FF5"/>
    <w:rsid w:val="562431B2"/>
    <w:rsid w:val="56270168"/>
    <w:rsid w:val="56290384"/>
    <w:rsid w:val="562E599A"/>
    <w:rsid w:val="56326847"/>
    <w:rsid w:val="56334D5F"/>
    <w:rsid w:val="56336B0D"/>
    <w:rsid w:val="563435BF"/>
    <w:rsid w:val="5637484F"/>
    <w:rsid w:val="563A433F"/>
    <w:rsid w:val="563C47C8"/>
    <w:rsid w:val="563F1955"/>
    <w:rsid w:val="56427CDF"/>
    <w:rsid w:val="564451BE"/>
    <w:rsid w:val="56450363"/>
    <w:rsid w:val="56486A5C"/>
    <w:rsid w:val="56491BFE"/>
    <w:rsid w:val="56505911"/>
    <w:rsid w:val="56556957"/>
    <w:rsid w:val="565A053D"/>
    <w:rsid w:val="565D002E"/>
    <w:rsid w:val="56672E66"/>
    <w:rsid w:val="566969D2"/>
    <w:rsid w:val="566B274A"/>
    <w:rsid w:val="566D64C3"/>
    <w:rsid w:val="566E5D97"/>
    <w:rsid w:val="567315FF"/>
    <w:rsid w:val="567333AD"/>
    <w:rsid w:val="567535C9"/>
    <w:rsid w:val="56755377"/>
    <w:rsid w:val="567A0E6E"/>
    <w:rsid w:val="567C3DED"/>
    <w:rsid w:val="567C4958"/>
    <w:rsid w:val="567D5FDA"/>
    <w:rsid w:val="56861065"/>
    <w:rsid w:val="568850AA"/>
    <w:rsid w:val="568D26C1"/>
    <w:rsid w:val="568D446F"/>
    <w:rsid w:val="5697353F"/>
    <w:rsid w:val="569752EE"/>
    <w:rsid w:val="569A494A"/>
    <w:rsid w:val="569C6DA8"/>
    <w:rsid w:val="569E667C"/>
    <w:rsid w:val="569E7B4D"/>
    <w:rsid w:val="569F6F55"/>
    <w:rsid w:val="56AD20D6"/>
    <w:rsid w:val="56AF17FC"/>
    <w:rsid w:val="56B0015D"/>
    <w:rsid w:val="56BB58A6"/>
    <w:rsid w:val="56BF4844"/>
    <w:rsid w:val="56C31D24"/>
    <w:rsid w:val="56C634EA"/>
    <w:rsid w:val="56C66328"/>
    <w:rsid w:val="56CB7B26"/>
    <w:rsid w:val="56CF0F2B"/>
    <w:rsid w:val="56D007FF"/>
    <w:rsid w:val="56D24578"/>
    <w:rsid w:val="56D3300B"/>
    <w:rsid w:val="56DA179D"/>
    <w:rsid w:val="56DC57FE"/>
    <w:rsid w:val="56DE75FC"/>
    <w:rsid w:val="56DF6C95"/>
    <w:rsid w:val="56E16569"/>
    <w:rsid w:val="56E36785"/>
    <w:rsid w:val="56E856A9"/>
    <w:rsid w:val="56EA2D3C"/>
    <w:rsid w:val="56EB364D"/>
    <w:rsid w:val="56EB5639"/>
    <w:rsid w:val="56EF512A"/>
    <w:rsid w:val="56F269C8"/>
    <w:rsid w:val="56F50266"/>
    <w:rsid w:val="56F503BC"/>
    <w:rsid w:val="56F65D2E"/>
    <w:rsid w:val="56F671AB"/>
    <w:rsid w:val="56F72FC0"/>
    <w:rsid w:val="56FD461C"/>
    <w:rsid w:val="56FD475E"/>
    <w:rsid w:val="57030BD5"/>
    <w:rsid w:val="570500F4"/>
    <w:rsid w:val="57064221"/>
    <w:rsid w:val="570861EB"/>
    <w:rsid w:val="570D3802"/>
    <w:rsid w:val="57116F60"/>
    <w:rsid w:val="57133BCB"/>
    <w:rsid w:val="5717642E"/>
    <w:rsid w:val="571D3647"/>
    <w:rsid w:val="571F3428"/>
    <w:rsid w:val="571F5C69"/>
    <w:rsid w:val="57234DD3"/>
    <w:rsid w:val="57256D9D"/>
    <w:rsid w:val="572E5391"/>
    <w:rsid w:val="57303174"/>
    <w:rsid w:val="57342B3C"/>
    <w:rsid w:val="573838FA"/>
    <w:rsid w:val="573A3ECB"/>
    <w:rsid w:val="573A7AC5"/>
    <w:rsid w:val="573C5E95"/>
    <w:rsid w:val="573F0BFC"/>
    <w:rsid w:val="57411DDB"/>
    <w:rsid w:val="574B473F"/>
    <w:rsid w:val="57521214"/>
    <w:rsid w:val="57563275"/>
    <w:rsid w:val="575925A3"/>
    <w:rsid w:val="575A3CE8"/>
    <w:rsid w:val="575A3D0A"/>
    <w:rsid w:val="57615985"/>
    <w:rsid w:val="57694F2C"/>
    <w:rsid w:val="57696BAC"/>
    <w:rsid w:val="576A2A02"/>
    <w:rsid w:val="576A6268"/>
    <w:rsid w:val="576C0FFD"/>
    <w:rsid w:val="576D3571"/>
    <w:rsid w:val="576D42A0"/>
    <w:rsid w:val="57711FE2"/>
    <w:rsid w:val="57727B09"/>
    <w:rsid w:val="577473DD"/>
    <w:rsid w:val="5776389C"/>
    <w:rsid w:val="57776ECD"/>
    <w:rsid w:val="57794DF0"/>
    <w:rsid w:val="577B69BD"/>
    <w:rsid w:val="577C44E3"/>
    <w:rsid w:val="577F432C"/>
    <w:rsid w:val="57802226"/>
    <w:rsid w:val="57803CDA"/>
    <w:rsid w:val="57833AC4"/>
    <w:rsid w:val="578515EA"/>
    <w:rsid w:val="578710B7"/>
    <w:rsid w:val="5789229C"/>
    <w:rsid w:val="578A5873"/>
    <w:rsid w:val="578C2896"/>
    <w:rsid w:val="578C552B"/>
    <w:rsid w:val="578C5AC2"/>
    <w:rsid w:val="578D66F1"/>
    <w:rsid w:val="578E4942"/>
    <w:rsid w:val="5794182D"/>
    <w:rsid w:val="579B0E0D"/>
    <w:rsid w:val="579C6263"/>
    <w:rsid w:val="579F66F9"/>
    <w:rsid w:val="57A12A42"/>
    <w:rsid w:val="57A37CC2"/>
    <w:rsid w:val="57A5181C"/>
    <w:rsid w:val="57A53A3A"/>
    <w:rsid w:val="57A557E8"/>
    <w:rsid w:val="57A66207"/>
    <w:rsid w:val="57B10D7D"/>
    <w:rsid w:val="57B34FC6"/>
    <w:rsid w:val="57B40121"/>
    <w:rsid w:val="57B94D2C"/>
    <w:rsid w:val="57B974E6"/>
    <w:rsid w:val="57BD5DB6"/>
    <w:rsid w:val="57BF0950"/>
    <w:rsid w:val="57C00874"/>
    <w:rsid w:val="57C02622"/>
    <w:rsid w:val="57C21BAA"/>
    <w:rsid w:val="57C9714D"/>
    <w:rsid w:val="57CF2865"/>
    <w:rsid w:val="57D20081"/>
    <w:rsid w:val="57D367F9"/>
    <w:rsid w:val="57D85BBE"/>
    <w:rsid w:val="57D91936"/>
    <w:rsid w:val="57DA5C9F"/>
    <w:rsid w:val="57DC2A49"/>
    <w:rsid w:val="57DD1426"/>
    <w:rsid w:val="57DD3D6E"/>
    <w:rsid w:val="57E74053"/>
    <w:rsid w:val="57E75E01"/>
    <w:rsid w:val="57E85DD0"/>
    <w:rsid w:val="57E91B79"/>
    <w:rsid w:val="57EC1669"/>
    <w:rsid w:val="57EC7845"/>
    <w:rsid w:val="57EC78BB"/>
    <w:rsid w:val="57EE53E1"/>
    <w:rsid w:val="57EF1159"/>
    <w:rsid w:val="57EF4CB5"/>
    <w:rsid w:val="57F21CAB"/>
    <w:rsid w:val="57F422F4"/>
    <w:rsid w:val="57F64296"/>
    <w:rsid w:val="57FF1F14"/>
    <w:rsid w:val="58006EC2"/>
    <w:rsid w:val="580C331F"/>
    <w:rsid w:val="580C3AB9"/>
    <w:rsid w:val="580C6CA6"/>
    <w:rsid w:val="580D08D9"/>
    <w:rsid w:val="581806B0"/>
    <w:rsid w:val="581A7F84"/>
    <w:rsid w:val="581B2338"/>
    <w:rsid w:val="581D1822"/>
    <w:rsid w:val="582330AF"/>
    <w:rsid w:val="582C5F09"/>
    <w:rsid w:val="58377829"/>
    <w:rsid w:val="583F3E8F"/>
    <w:rsid w:val="58403763"/>
    <w:rsid w:val="58404706"/>
    <w:rsid w:val="58415EB1"/>
    <w:rsid w:val="5847689F"/>
    <w:rsid w:val="58496ABB"/>
    <w:rsid w:val="584A669A"/>
    <w:rsid w:val="584E40D2"/>
    <w:rsid w:val="584E7C2E"/>
    <w:rsid w:val="584F5C0B"/>
    <w:rsid w:val="58515F24"/>
    <w:rsid w:val="58523BC2"/>
    <w:rsid w:val="585479B9"/>
    <w:rsid w:val="585A3A3E"/>
    <w:rsid w:val="585B059D"/>
    <w:rsid w:val="585B5F86"/>
    <w:rsid w:val="585D2567"/>
    <w:rsid w:val="586015E1"/>
    <w:rsid w:val="586409BF"/>
    <w:rsid w:val="58676F42"/>
    <w:rsid w:val="58680309"/>
    <w:rsid w:val="586D5CBE"/>
    <w:rsid w:val="586F1B07"/>
    <w:rsid w:val="58726012"/>
    <w:rsid w:val="587358E6"/>
    <w:rsid w:val="58744511"/>
    <w:rsid w:val="58757902"/>
    <w:rsid w:val="587A6C75"/>
    <w:rsid w:val="58862113"/>
    <w:rsid w:val="58871392"/>
    <w:rsid w:val="588B0E82"/>
    <w:rsid w:val="588C440A"/>
    <w:rsid w:val="58906498"/>
    <w:rsid w:val="58920462"/>
    <w:rsid w:val="58953AAF"/>
    <w:rsid w:val="58976036"/>
    <w:rsid w:val="589D0BB5"/>
    <w:rsid w:val="589E7B8F"/>
    <w:rsid w:val="58A24F33"/>
    <w:rsid w:val="58A765A3"/>
    <w:rsid w:val="58AB32D2"/>
    <w:rsid w:val="58AC26EC"/>
    <w:rsid w:val="58B77EC9"/>
    <w:rsid w:val="58B90788"/>
    <w:rsid w:val="58B95A84"/>
    <w:rsid w:val="58BA52C3"/>
    <w:rsid w:val="58BB5497"/>
    <w:rsid w:val="58BF0B2C"/>
    <w:rsid w:val="58C2225F"/>
    <w:rsid w:val="58C223CA"/>
    <w:rsid w:val="58C61355"/>
    <w:rsid w:val="58CE6FC1"/>
    <w:rsid w:val="58D02D39"/>
    <w:rsid w:val="58D6152B"/>
    <w:rsid w:val="58D61D4A"/>
    <w:rsid w:val="58D65C45"/>
    <w:rsid w:val="58D726E2"/>
    <w:rsid w:val="58D82FB9"/>
    <w:rsid w:val="58D95D50"/>
    <w:rsid w:val="58DE7204"/>
    <w:rsid w:val="58E04FBB"/>
    <w:rsid w:val="58E16CF4"/>
    <w:rsid w:val="58E32A6C"/>
    <w:rsid w:val="58E40592"/>
    <w:rsid w:val="58E6255C"/>
    <w:rsid w:val="58E660B8"/>
    <w:rsid w:val="58E755FB"/>
    <w:rsid w:val="58E862D4"/>
    <w:rsid w:val="58EF7663"/>
    <w:rsid w:val="58F033DB"/>
    <w:rsid w:val="58F11ABD"/>
    <w:rsid w:val="58FA7DB6"/>
    <w:rsid w:val="58FB7D70"/>
    <w:rsid w:val="58FC6F96"/>
    <w:rsid w:val="58FD6FCE"/>
    <w:rsid w:val="5900361E"/>
    <w:rsid w:val="590429E2"/>
    <w:rsid w:val="59044790"/>
    <w:rsid w:val="590454E8"/>
    <w:rsid w:val="59050C34"/>
    <w:rsid w:val="590B3D71"/>
    <w:rsid w:val="590D5D3B"/>
    <w:rsid w:val="5911515E"/>
    <w:rsid w:val="591841DB"/>
    <w:rsid w:val="59192B83"/>
    <w:rsid w:val="591930C3"/>
    <w:rsid w:val="5919648E"/>
    <w:rsid w:val="591C1ADA"/>
    <w:rsid w:val="591D154A"/>
    <w:rsid w:val="591F4659"/>
    <w:rsid w:val="591F781C"/>
    <w:rsid w:val="59213594"/>
    <w:rsid w:val="592316ED"/>
    <w:rsid w:val="5923730C"/>
    <w:rsid w:val="59266DFD"/>
    <w:rsid w:val="592A60E7"/>
    <w:rsid w:val="592D018B"/>
    <w:rsid w:val="592F7A5F"/>
    <w:rsid w:val="593432C8"/>
    <w:rsid w:val="59372DB8"/>
    <w:rsid w:val="593A6404"/>
    <w:rsid w:val="593B28A8"/>
    <w:rsid w:val="593C560C"/>
    <w:rsid w:val="59457283"/>
    <w:rsid w:val="594F09D0"/>
    <w:rsid w:val="59507D05"/>
    <w:rsid w:val="5952570D"/>
    <w:rsid w:val="59575208"/>
    <w:rsid w:val="595A2602"/>
    <w:rsid w:val="5960163C"/>
    <w:rsid w:val="5963595B"/>
    <w:rsid w:val="59682F71"/>
    <w:rsid w:val="59684D1F"/>
    <w:rsid w:val="59692BE4"/>
    <w:rsid w:val="596A4F72"/>
    <w:rsid w:val="596A6CE9"/>
    <w:rsid w:val="59747B68"/>
    <w:rsid w:val="59771406"/>
    <w:rsid w:val="59775A81"/>
    <w:rsid w:val="59777658"/>
    <w:rsid w:val="597B2CA5"/>
    <w:rsid w:val="597C0D6F"/>
    <w:rsid w:val="597E09E7"/>
    <w:rsid w:val="598002BB"/>
    <w:rsid w:val="5980475F"/>
    <w:rsid w:val="598061BF"/>
    <w:rsid w:val="598650A1"/>
    <w:rsid w:val="598A113A"/>
    <w:rsid w:val="598B6C60"/>
    <w:rsid w:val="598C3104"/>
    <w:rsid w:val="598D4786"/>
    <w:rsid w:val="59901142"/>
    <w:rsid w:val="59944738"/>
    <w:rsid w:val="599975CF"/>
    <w:rsid w:val="599B3347"/>
    <w:rsid w:val="599B50F5"/>
    <w:rsid w:val="599E013D"/>
    <w:rsid w:val="59A044B9"/>
    <w:rsid w:val="59A57D21"/>
    <w:rsid w:val="59AA17DC"/>
    <w:rsid w:val="59B14918"/>
    <w:rsid w:val="59B2243E"/>
    <w:rsid w:val="59B367D6"/>
    <w:rsid w:val="59B67768"/>
    <w:rsid w:val="59B85CA7"/>
    <w:rsid w:val="59B937CD"/>
    <w:rsid w:val="59BA01C4"/>
    <w:rsid w:val="59BC1DD2"/>
    <w:rsid w:val="59BD06F7"/>
    <w:rsid w:val="59BD5615"/>
    <w:rsid w:val="59C02DAD"/>
    <w:rsid w:val="59C032B8"/>
    <w:rsid w:val="59C91CEE"/>
    <w:rsid w:val="59CA59DA"/>
    <w:rsid w:val="59CF2FF0"/>
    <w:rsid w:val="59D10AF7"/>
    <w:rsid w:val="59D15E4B"/>
    <w:rsid w:val="59D32817"/>
    <w:rsid w:val="59D61317"/>
    <w:rsid w:val="59D81EA5"/>
    <w:rsid w:val="59D96C22"/>
    <w:rsid w:val="59DA0EC3"/>
    <w:rsid w:val="59DE68A5"/>
    <w:rsid w:val="59E44CEE"/>
    <w:rsid w:val="59EE18A4"/>
    <w:rsid w:val="59F20A8D"/>
    <w:rsid w:val="59F2759F"/>
    <w:rsid w:val="59F42A57"/>
    <w:rsid w:val="59F56B45"/>
    <w:rsid w:val="59FA69C8"/>
    <w:rsid w:val="5A044C87"/>
    <w:rsid w:val="5A0709DC"/>
    <w:rsid w:val="5A074538"/>
    <w:rsid w:val="5A0E1D6B"/>
    <w:rsid w:val="5A104828"/>
    <w:rsid w:val="5A13191C"/>
    <w:rsid w:val="5A137381"/>
    <w:rsid w:val="5A166E71"/>
    <w:rsid w:val="5A174DC0"/>
    <w:rsid w:val="5A175D8E"/>
    <w:rsid w:val="5A177600"/>
    <w:rsid w:val="5A184D71"/>
    <w:rsid w:val="5A1F3361"/>
    <w:rsid w:val="5A1F7E35"/>
    <w:rsid w:val="5A210A78"/>
    <w:rsid w:val="5A2140A2"/>
    <w:rsid w:val="5A274BDA"/>
    <w:rsid w:val="5A2B58D6"/>
    <w:rsid w:val="5A2C21F1"/>
    <w:rsid w:val="5A307F33"/>
    <w:rsid w:val="5A33357F"/>
    <w:rsid w:val="5A355549"/>
    <w:rsid w:val="5A3572F7"/>
    <w:rsid w:val="5A36306F"/>
    <w:rsid w:val="5A367568"/>
    <w:rsid w:val="5A3822F5"/>
    <w:rsid w:val="5A392AD9"/>
    <w:rsid w:val="5A3A1CFC"/>
    <w:rsid w:val="5A3A2B60"/>
    <w:rsid w:val="5A3C1E2C"/>
    <w:rsid w:val="5A3E07A1"/>
    <w:rsid w:val="5A3F3FCC"/>
    <w:rsid w:val="5A403EEE"/>
    <w:rsid w:val="5A405BFD"/>
    <w:rsid w:val="5A443DDD"/>
    <w:rsid w:val="5A470DD9"/>
    <w:rsid w:val="5A492DA3"/>
    <w:rsid w:val="5A4968FF"/>
    <w:rsid w:val="5A4C2893"/>
    <w:rsid w:val="5A4C2FD0"/>
    <w:rsid w:val="5A4F5EDF"/>
    <w:rsid w:val="5A517EA9"/>
    <w:rsid w:val="5A527871"/>
    <w:rsid w:val="5A5328C5"/>
    <w:rsid w:val="5A5448E8"/>
    <w:rsid w:val="5A56726E"/>
    <w:rsid w:val="5A587151"/>
    <w:rsid w:val="5A5A6D5E"/>
    <w:rsid w:val="5A5F6122"/>
    <w:rsid w:val="5A647BDD"/>
    <w:rsid w:val="5A6776CD"/>
    <w:rsid w:val="5A6A0B89"/>
    <w:rsid w:val="5A704E12"/>
    <w:rsid w:val="5A7122F9"/>
    <w:rsid w:val="5A72688B"/>
    <w:rsid w:val="5A737E20"/>
    <w:rsid w:val="5A785436"/>
    <w:rsid w:val="5A7871E4"/>
    <w:rsid w:val="5A7E53FE"/>
    <w:rsid w:val="5A89319F"/>
    <w:rsid w:val="5A8A39A1"/>
    <w:rsid w:val="5A8C2C8F"/>
    <w:rsid w:val="5A8C7B25"/>
    <w:rsid w:val="5A932270"/>
    <w:rsid w:val="5A955FE8"/>
    <w:rsid w:val="5A985AD8"/>
    <w:rsid w:val="5A9B1124"/>
    <w:rsid w:val="5A9B51F3"/>
    <w:rsid w:val="5A9E6927"/>
    <w:rsid w:val="5AA004E9"/>
    <w:rsid w:val="5AA12BDF"/>
    <w:rsid w:val="5AA61FA3"/>
    <w:rsid w:val="5AA63D51"/>
    <w:rsid w:val="5AA73F06"/>
    <w:rsid w:val="5AA95EF8"/>
    <w:rsid w:val="5AAB580B"/>
    <w:rsid w:val="5AAB75B9"/>
    <w:rsid w:val="5AAC7C87"/>
    <w:rsid w:val="5AB02E22"/>
    <w:rsid w:val="5AB75F5E"/>
    <w:rsid w:val="5AB81CD6"/>
    <w:rsid w:val="5AB906F8"/>
    <w:rsid w:val="5ABD109B"/>
    <w:rsid w:val="5ABD1400"/>
    <w:rsid w:val="5ABD2B5A"/>
    <w:rsid w:val="5ABD553F"/>
    <w:rsid w:val="5AC24903"/>
    <w:rsid w:val="5AC266B1"/>
    <w:rsid w:val="5AC40FFA"/>
    <w:rsid w:val="5AC73CC7"/>
    <w:rsid w:val="5ACB57B0"/>
    <w:rsid w:val="5ACC12DE"/>
    <w:rsid w:val="5ACE32A8"/>
    <w:rsid w:val="5ACE5056"/>
    <w:rsid w:val="5ACF6BDC"/>
    <w:rsid w:val="5AD36B10"/>
    <w:rsid w:val="5AD42DE5"/>
    <w:rsid w:val="5AD84127"/>
    <w:rsid w:val="5ADA39FB"/>
    <w:rsid w:val="5ADA7E9F"/>
    <w:rsid w:val="5ADB29FA"/>
    <w:rsid w:val="5ADC7773"/>
    <w:rsid w:val="5ADE798F"/>
    <w:rsid w:val="5AE2072F"/>
    <w:rsid w:val="5AE64003"/>
    <w:rsid w:val="5AE900E2"/>
    <w:rsid w:val="5AE91E90"/>
    <w:rsid w:val="5AEB4501"/>
    <w:rsid w:val="5AEF2DFF"/>
    <w:rsid w:val="5AF01470"/>
    <w:rsid w:val="5AF34ABD"/>
    <w:rsid w:val="5AF42E99"/>
    <w:rsid w:val="5AF67F74"/>
    <w:rsid w:val="5AF727FF"/>
    <w:rsid w:val="5AF745AD"/>
    <w:rsid w:val="5B005214"/>
    <w:rsid w:val="5B022F52"/>
    <w:rsid w:val="5B044F1C"/>
    <w:rsid w:val="5B065E9B"/>
    <w:rsid w:val="5B072516"/>
    <w:rsid w:val="5B082187"/>
    <w:rsid w:val="5B0B44FC"/>
    <w:rsid w:val="5B0C471B"/>
    <w:rsid w:val="5B0D3DD0"/>
    <w:rsid w:val="5B0D5B7E"/>
    <w:rsid w:val="5B127639"/>
    <w:rsid w:val="5B1433B1"/>
    <w:rsid w:val="5B167A65"/>
    <w:rsid w:val="5B184523"/>
    <w:rsid w:val="5B1E7D8B"/>
    <w:rsid w:val="5B1F3B03"/>
    <w:rsid w:val="5B2335F4"/>
    <w:rsid w:val="5B242EC8"/>
    <w:rsid w:val="5B24736C"/>
    <w:rsid w:val="5B2555BE"/>
    <w:rsid w:val="5B255D5C"/>
    <w:rsid w:val="5B2D4013"/>
    <w:rsid w:val="5B2E3D47"/>
    <w:rsid w:val="5B2E7864"/>
    <w:rsid w:val="5B2F1F99"/>
    <w:rsid w:val="5B306DE6"/>
    <w:rsid w:val="5B372BFB"/>
    <w:rsid w:val="5B39079C"/>
    <w:rsid w:val="5B392E17"/>
    <w:rsid w:val="5B3C6463"/>
    <w:rsid w:val="5B3E042E"/>
    <w:rsid w:val="5B3E0FA9"/>
    <w:rsid w:val="5B3F5F54"/>
    <w:rsid w:val="5B4041A6"/>
    <w:rsid w:val="5B413A7A"/>
    <w:rsid w:val="5B416FBF"/>
    <w:rsid w:val="5B464AF4"/>
    <w:rsid w:val="5B48305A"/>
    <w:rsid w:val="5B4A6DD2"/>
    <w:rsid w:val="5B4B66A7"/>
    <w:rsid w:val="5B4E6197"/>
    <w:rsid w:val="5B4F74CF"/>
    <w:rsid w:val="5B521EEB"/>
    <w:rsid w:val="5B555777"/>
    <w:rsid w:val="5B5639C9"/>
    <w:rsid w:val="5B590DC3"/>
    <w:rsid w:val="5B5E0630"/>
    <w:rsid w:val="5B5E462C"/>
    <w:rsid w:val="5B5E63DA"/>
    <w:rsid w:val="5B653C0C"/>
    <w:rsid w:val="5B6559BA"/>
    <w:rsid w:val="5B661732"/>
    <w:rsid w:val="5B6A2FD1"/>
    <w:rsid w:val="5B6C2D6A"/>
    <w:rsid w:val="5B6D16C4"/>
    <w:rsid w:val="5B765E19"/>
    <w:rsid w:val="5B7756EE"/>
    <w:rsid w:val="5B77749C"/>
    <w:rsid w:val="5B791466"/>
    <w:rsid w:val="5B7A316B"/>
    <w:rsid w:val="5B7C71A8"/>
    <w:rsid w:val="5B843E3C"/>
    <w:rsid w:val="5B85605C"/>
    <w:rsid w:val="5B871DD5"/>
    <w:rsid w:val="5B8B3DA0"/>
    <w:rsid w:val="5B904A5E"/>
    <w:rsid w:val="5B9101E1"/>
    <w:rsid w:val="5B94004E"/>
    <w:rsid w:val="5B943703"/>
    <w:rsid w:val="5B955B74"/>
    <w:rsid w:val="5B9E2C7A"/>
    <w:rsid w:val="5B9E712B"/>
    <w:rsid w:val="5BA069F2"/>
    <w:rsid w:val="5BA31793"/>
    <w:rsid w:val="5BA84DBA"/>
    <w:rsid w:val="5BAC22FE"/>
    <w:rsid w:val="5BAF6C35"/>
    <w:rsid w:val="5BB24978"/>
    <w:rsid w:val="5BBC0D6D"/>
    <w:rsid w:val="5BBC5CE2"/>
    <w:rsid w:val="5BC00E43"/>
    <w:rsid w:val="5BC22E0D"/>
    <w:rsid w:val="5BC6394E"/>
    <w:rsid w:val="5BC70423"/>
    <w:rsid w:val="5BC7043B"/>
    <w:rsid w:val="5BC83538"/>
    <w:rsid w:val="5BCA4851"/>
    <w:rsid w:val="5BCC140B"/>
    <w:rsid w:val="5BCD17B1"/>
    <w:rsid w:val="5BCD1E6B"/>
    <w:rsid w:val="5BCD4A00"/>
    <w:rsid w:val="5BD040CC"/>
    <w:rsid w:val="5BD07663"/>
    <w:rsid w:val="5BD112A2"/>
    <w:rsid w:val="5BD20B76"/>
    <w:rsid w:val="5BD42B40"/>
    <w:rsid w:val="5BD4669C"/>
    <w:rsid w:val="5BD47131"/>
    <w:rsid w:val="5BD7499E"/>
    <w:rsid w:val="5BD7618C"/>
    <w:rsid w:val="5BDB1EAB"/>
    <w:rsid w:val="5BDE1AC4"/>
    <w:rsid w:val="5BE32D83"/>
    <w:rsid w:val="5BEE0FF1"/>
    <w:rsid w:val="5BEE547A"/>
    <w:rsid w:val="5BEE5FFD"/>
    <w:rsid w:val="5BEF34D6"/>
    <w:rsid w:val="5BF136F2"/>
    <w:rsid w:val="5BF63C0C"/>
    <w:rsid w:val="5C0009AC"/>
    <w:rsid w:val="5C001B87"/>
    <w:rsid w:val="5C001DAC"/>
    <w:rsid w:val="5C025E08"/>
    <w:rsid w:val="5C0276AD"/>
    <w:rsid w:val="5C0351D3"/>
    <w:rsid w:val="5C05719D"/>
    <w:rsid w:val="5C071078"/>
    <w:rsid w:val="5C0A23C6"/>
    <w:rsid w:val="5C0A47B4"/>
    <w:rsid w:val="5C1100E2"/>
    <w:rsid w:val="5C115B42"/>
    <w:rsid w:val="5C133668"/>
    <w:rsid w:val="5C164F06"/>
    <w:rsid w:val="5C190553"/>
    <w:rsid w:val="5C19795A"/>
    <w:rsid w:val="5C1D0043"/>
    <w:rsid w:val="5C1D0E41"/>
    <w:rsid w:val="5C201386"/>
    <w:rsid w:val="5C216076"/>
    <w:rsid w:val="5C236300"/>
    <w:rsid w:val="5C240B49"/>
    <w:rsid w:val="5C250119"/>
    <w:rsid w:val="5C265F6D"/>
    <w:rsid w:val="5C2A2760"/>
    <w:rsid w:val="5C2A6BCE"/>
    <w:rsid w:val="5C2F3E4B"/>
    <w:rsid w:val="5C34538D"/>
    <w:rsid w:val="5C3830CF"/>
    <w:rsid w:val="5C433822"/>
    <w:rsid w:val="5C470892"/>
    <w:rsid w:val="5C47503D"/>
    <w:rsid w:val="5C482327"/>
    <w:rsid w:val="5C4A2E02"/>
    <w:rsid w:val="5C4C6B7A"/>
    <w:rsid w:val="5C5115DC"/>
    <w:rsid w:val="5C514191"/>
    <w:rsid w:val="5C526ACA"/>
    <w:rsid w:val="5C553C81"/>
    <w:rsid w:val="5C560166"/>
    <w:rsid w:val="5C5679F9"/>
    <w:rsid w:val="5C5E6C7F"/>
    <w:rsid w:val="5C5F065B"/>
    <w:rsid w:val="5C6043D4"/>
    <w:rsid w:val="5C621EFA"/>
    <w:rsid w:val="5C651B97"/>
    <w:rsid w:val="5C657C3C"/>
    <w:rsid w:val="5C71213D"/>
    <w:rsid w:val="5C734107"/>
    <w:rsid w:val="5C7560D1"/>
    <w:rsid w:val="5C7E5EE4"/>
    <w:rsid w:val="5C8276A5"/>
    <w:rsid w:val="5C87693E"/>
    <w:rsid w:val="5C877BB2"/>
    <w:rsid w:val="5C88152B"/>
    <w:rsid w:val="5C89392A"/>
    <w:rsid w:val="5C895C54"/>
    <w:rsid w:val="5C8A31FF"/>
    <w:rsid w:val="5C901784"/>
    <w:rsid w:val="5C950521"/>
    <w:rsid w:val="5C967DF5"/>
    <w:rsid w:val="5C990A85"/>
    <w:rsid w:val="5C9A5B38"/>
    <w:rsid w:val="5C9D73D6"/>
    <w:rsid w:val="5CA02A22"/>
    <w:rsid w:val="5CA16EC6"/>
    <w:rsid w:val="5CA8355D"/>
    <w:rsid w:val="5CAD6653"/>
    <w:rsid w:val="5CB04D5A"/>
    <w:rsid w:val="5CB07109"/>
    <w:rsid w:val="5CB52971"/>
    <w:rsid w:val="5CB62246"/>
    <w:rsid w:val="5CB65D55"/>
    <w:rsid w:val="5CB85FBE"/>
    <w:rsid w:val="5CC130C4"/>
    <w:rsid w:val="5CD03307"/>
    <w:rsid w:val="5CD14D4F"/>
    <w:rsid w:val="5CD31699"/>
    <w:rsid w:val="5CD56B70"/>
    <w:rsid w:val="5CD97830"/>
    <w:rsid w:val="5CDB2B0E"/>
    <w:rsid w:val="5CDF79EE"/>
    <w:rsid w:val="5CE356AC"/>
    <w:rsid w:val="5CE648D9"/>
    <w:rsid w:val="5CE74D44"/>
    <w:rsid w:val="5CE943C9"/>
    <w:rsid w:val="5CEB47DB"/>
    <w:rsid w:val="5CEC5C67"/>
    <w:rsid w:val="5CEF7232"/>
    <w:rsid w:val="5CF1327E"/>
    <w:rsid w:val="5CF3349A"/>
    <w:rsid w:val="5CF60894"/>
    <w:rsid w:val="5CF8641C"/>
    <w:rsid w:val="5CFA5044"/>
    <w:rsid w:val="5CFF74A4"/>
    <w:rsid w:val="5D0275C7"/>
    <w:rsid w:val="5D055D7B"/>
    <w:rsid w:val="5D080CF3"/>
    <w:rsid w:val="5D094A6B"/>
    <w:rsid w:val="5D0E2082"/>
    <w:rsid w:val="5D0E3E30"/>
    <w:rsid w:val="5D123920"/>
    <w:rsid w:val="5D127AA2"/>
    <w:rsid w:val="5D1C02FB"/>
    <w:rsid w:val="5D1C21E4"/>
    <w:rsid w:val="5D1D22C5"/>
    <w:rsid w:val="5D2378DB"/>
    <w:rsid w:val="5D255365"/>
    <w:rsid w:val="5D2648FA"/>
    <w:rsid w:val="5D281115"/>
    <w:rsid w:val="5D2E6280"/>
    <w:rsid w:val="5D331AE8"/>
    <w:rsid w:val="5D3A2E77"/>
    <w:rsid w:val="5D3F223B"/>
    <w:rsid w:val="5D423AD9"/>
    <w:rsid w:val="5D423D00"/>
    <w:rsid w:val="5D467A6D"/>
    <w:rsid w:val="5D4930BA"/>
    <w:rsid w:val="5D4B0BE0"/>
    <w:rsid w:val="5D4B6E32"/>
    <w:rsid w:val="5D4F1E59"/>
    <w:rsid w:val="5D5061F6"/>
    <w:rsid w:val="5D5201C0"/>
    <w:rsid w:val="5D573A29"/>
    <w:rsid w:val="5D5B2957"/>
    <w:rsid w:val="5D5E6B65"/>
    <w:rsid w:val="5D620335"/>
    <w:rsid w:val="5D6323CD"/>
    <w:rsid w:val="5D640AD8"/>
    <w:rsid w:val="5D65200D"/>
    <w:rsid w:val="5D676968"/>
    <w:rsid w:val="5D69550A"/>
    <w:rsid w:val="5D6B1282"/>
    <w:rsid w:val="5D6E605B"/>
    <w:rsid w:val="5D752101"/>
    <w:rsid w:val="5D755C5D"/>
    <w:rsid w:val="5D78636D"/>
    <w:rsid w:val="5D7E2D63"/>
    <w:rsid w:val="5D812854"/>
    <w:rsid w:val="5D8331B0"/>
    <w:rsid w:val="5D8440F2"/>
    <w:rsid w:val="5D867E6A"/>
    <w:rsid w:val="5D8D11F8"/>
    <w:rsid w:val="5D8F6D1E"/>
    <w:rsid w:val="5D9D46E7"/>
    <w:rsid w:val="5D9D5840"/>
    <w:rsid w:val="5D9D6927"/>
    <w:rsid w:val="5D9E2C70"/>
    <w:rsid w:val="5D9F3E18"/>
    <w:rsid w:val="5DA12CFA"/>
    <w:rsid w:val="5DA16A52"/>
    <w:rsid w:val="5DA84284"/>
    <w:rsid w:val="5DA8692D"/>
    <w:rsid w:val="5DAB154C"/>
    <w:rsid w:val="5DB1138B"/>
    <w:rsid w:val="5DB22EB9"/>
    <w:rsid w:val="5DB46785"/>
    <w:rsid w:val="5DBC1ADE"/>
    <w:rsid w:val="5DC03E6D"/>
    <w:rsid w:val="5DC6470A"/>
    <w:rsid w:val="5DC94C8C"/>
    <w:rsid w:val="5DCB6DD4"/>
    <w:rsid w:val="5DD010E5"/>
    <w:rsid w:val="5DD0192F"/>
    <w:rsid w:val="5DD707CC"/>
    <w:rsid w:val="5DD92690"/>
    <w:rsid w:val="5DD9443E"/>
    <w:rsid w:val="5DE03A1E"/>
    <w:rsid w:val="5DE053A5"/>
    <w:rsid w:val="5DE132F2"/>
    <w:rsid w:val="5DE134B3"/>
    <w:rsid w:val="5DE93B9D"/>
    <w:rsid w:val="5DEA03F9"/>
    <w:rsid w:val="5DEC23C3"/>
    <w:rsid w:val="5DEE04B2"/>
    <w:rsid w:val="5DEE3A70"/>
    <w:rsid w:val="5DEF5A0F"/>
    <w:rsid w:val="5DF031E6"/>
    <w:rsid w:val="5DF14CD1"/>
    <w:rsid w:val="5DF254FF"/>
    <w:rsid w:val="5DF64FF0"/>
    <w:rsid w:val="5DF94AE0"/>
    <w:rsid w:val="5DFA47DE"/>
    <w:rsid w:val="5DFF120A"/>
    <w:rsid w:val="5E03241E"/>
    <w:rsid w:val="5E062D59"/>
    <w:rsid w:val="5E070FAB"/>
    <w:rsid w:val="5E08573D"/>
    <w:rsid w:val="5E0A0C09"/>
    <w:rsid w:val="5E0B036F"/>
    <w:rsid w:val="5E0D2977"/>
    <w:rsid w:val="5E0F60B1"/>
    <w:rsid w:val="5E115985"/>
    <w:rsid w:val="5E1A7D39"/>
    <w:rsid w:val="5E1E4546"/>
    <w:rsid w:val="5E1E62F4"/>
    <w:rsid w:val="5E224856"/>
    <w:rsid w:val="5E2636F4"/>
    <w:rsid w:val="5E275A5A"/>
    <w:rsid w:val="5E2A4B28"/>
    <w:rsid w:val="5E2D4789"/>
    <w:rsid w:val="5E2E49EA"/>
    <w:rsid w:val="5E357F45"/>
    <w:rsid w:val="5E3D49CC"/>
    <w:rsid w:val="5E40626B"/>
    <w:rsid w:val="5E421FE3"/>
    <w:rsid w:val="5E444642"/>
    <w:rsid w:val="5E4838C6"/>
    <w:rsid w:val="5E48511F"/>
    <w:rsid w:val="5E542832"/>
    <w:rsid w:val="5E543AC4"/>
    <w:rsid w:val="5E582B71"/>
    <w:rsid w:val="5E5E4943"/>
    <w:rsid w:val="5E652175"/>
    <w:rsid w:val="5E6847CD"/>
    <w:rsid w:val="5E6C7060"/>
    <w:rsid w:val="5E710B1A"/>
    <w:rsid w:val="5E744166"/>
    <w:rsid w:val="5E752E65"/>
    <w:rsid w:val="5E76054E"/>
    <w:rsid w:val="5E7642A7"/>
    <w:rsid w:val="5E766130"/>
    <w:rsid w:val="5E772116"/>
    <w:rsid w:val="5E783C56"/>
    <w:rsid w:val="5E79352B"/>
    <w:rsid w:val="5E7B2A9F"/>
    <w:rsid w:val="5E7B3747"/>
    <w:rsid w:val="5E7E05A8"/>
    <w:rsid w:val="5E7F4547"/>
    <w:rsid w:val="5E826883"/>
    <w:rsid w:val="5E8338C5"/>
    <w:rsid w:val="5E8425FB"/>
    <w:rsid w:val="5E8C3E42"/>
    <w:rsid w:val="5E90033E"/>
    <w:rsid w:val="5E914D18"/>
    <w:rsid w:val="5E946A51"/>
    <w:rsid w:val="5E963B85"/>
    <w:rsid w:val="5E987E55"/>
    <w:rsid w:val="5E99597B"/>
    <w:rsid w:val="5E9B31DB"/>
    <w:rsid w:val="5EA04F5B"/>
    <w:rsid w:val="5EA26F25"/>
    <w:rsid w:val="5EA66A16"/>
    <w:rsid w:val="5EA762EA"/>
    <w:rsid w:val="5EAE58CA"/>
    <w:rsid w:val="5EB05844"/>
    <w:rsid w:val="5EB153BA"/>
    <w:rsid w:val="5EB32EE1"/>
    <w:rsid w:val="5EC64CF9"/>
    <w:rsid w:val="5ECA1FD8"/>
    <w:rsid w:val="5ECC3FA2"/>
    <w:rsid w:val="5ECD4EF2"/>
    <w:rsid w:val="5ECE7D1A"/>
    <w:rsid w:val="5ED1434E"/>
    <w:rsid w:val="5ED14DB5"/>
    <w:rsid w:val="5EDA6ED6"/>
    <w:rsid w:val="5EDE522A"/>
    <w:rsid w:val="5EDF4EE7"/>
    <w:rsid w:val="5EE72B8A"/>
    <w:rsid w:val="5EE906B0"/>
    <w:rsid w:val="5EEB23BF"/>
    <w:rsid w:val="5EF3152F"/>
    <w:rsid w:val="5EF534F9"/>
    <w:rsid w:val="5EF9595D"/>
    <w:rsid w:val="5EFD23AE"/>
    <w:rsid w:val="5EFD415C"/>
    <w:rsid w:val="5F025C16"/>
    <w:rsid w:val="5F030150"/>
    <w:rsid w:val="5F046ECE"/>
    <w:rsid w:val="5F055641"/>
    <w:rsid w:val="5F07058A"/>
    <w:rsid w:val="5F0D0843"/>
    <w:rsid w:val="5F0E45BB"/>
    <w:rsid w:val="5F142E39"/>
    <w:rsid w:val="5F1514A5"/>
    <w:rsid w:val="5F155949"/>
    <w:rsid w:val="5F166FCB"/>
    <w:rsid w:val="5F1A2F60"/>
    <w:rsid w:val="5F1A4D0E"/>
    <w:rsid w:val="5F1A6ABC"/>
    <w:rsid w:val="5F1D2CC5"/>
    <w:rsid w:val="5F221E14"/>
    <w:rsid w:val="5F2562CA"/>
    <w:rsid w:val="5F28567D"/>
    <w:rsid w:val="5F290493"/>
    <w:rsid w:val="5F2C67EF"/>
    <w:rsid w:val="5F2D33BC"/>
    <w:rsid w:val="5F2D7A3A"/>
    <w:rsid w:val="5F2E5672"/>
    <w:rsid w:val="5F2F7983"/>
    <w:rsid w:val="5F301C24"/>
    <w:rsid w:val="5F3202A9"/>
    <w:rsid w:val="5F322D5E"/>
    <w:rsid w:val="5F3758C0"/>
    <w:rsid w:val="5F37766E"/>
    <w:rsid w:val="5F381638"/>
    <w:rsid w:val="5F394D6D"/>
    <w:rsid w:val="5F3A53B0"/>
    <w:rsid w:val="5F3D09FC"/>
    <w:rsid w:val="5F3D56E4"/>
    <w:rsid w:val="5F4356AF"/>
    <w:rsid w:val="5F441D8B"/>
    <w:rsid w:val="5F462EBA"/>
    <w:rsid w:val="5F473629"/>
    <w:rsid w:val="5F4B77EB"/>
    <w:rsid w:val="5F511076"/>
    <w:rsid w:val="5F5244A8"/>
    <w:rsid w:val="5F531FCE"/>
    <w:rsid w:val="5F5350D7"/>
    <w:rsid w:val="5F546472"/>
    <w:rsid w:val="5F5521EA"/>
    <w:rsid w:val="5F586FD9"/>
    <w:rsid w:val="5F593A88"/>
    <w:rsid w:val="5F5E015E"/>
    <w:rsid w:val="5F64242D"/>
    <w:rsid w:val="5F677827"/>
    <w:rsid w:val="5F68472C"/>
    <w:rsid w:val="5F6917F1"/>
    <w:rsid w:val="5F6D7533"/>
    <w:rsid w:val="5F742670"/>
    <w:rsid w:val="5F7563E8"/>
    <w:rsid w:val="5F777291"/>
    <w:rsid w:val="5F795ED8"/>
    <w:rsid w:val="5F7C7776"/>
    <w:rsid w:val="5F850ED3"/>
    <w:rsid w:val="5F895DD9"/>
    <w:rsid w:val="5F8C0ADE"/>
    <w:rsid w:val="5F8D1984"/>
    <w:rsid w:val="5F8D3732"/>
    <w:rsid w:val="5F922AF6"/>
    <w:rsid w:val="5F9340F2"/>
    <w:rsid w:val="5F9342A8"/>
    <w:rsid w:val="5F942D12"/>
    <w:rsid w:val="5FAB1E0A"/>
    <w:rsid w:val="5FAD7930"/>
    <w:rsid w:val="5FAE20F0"/>
    <w:rsid w:val="5FB05672"/>
    <w:rsid w:val="5FB07420"/>
    <w:rsid w:val="5FB213EA"/>
    <w:rsid w:val="5FB94527"/>
    <w:rsid w:val="5FBE26C5"/>
    <w:rsid w:val="5FC03B07"/>
    <w:rsid w:val="5FC44C79"/>
    <w:rsid w:val="5FC8476A"/>
    <w:rsid w:val="5FCA04E2"/>
    <w:rsid w:val="5FCA380B"/>
    <w:rsid w:val="5FCC0FBA"/>
    <w:rsid w:val="5FCD3B2E"/>
    <w:rsid w:val="5FD24E2C"/>
    <w:rsid w:val="5FD4310E"/>
    <w:rsid w:val="5FD72BFF"/>
    <w:rsid w:val="5FD749AD"/>
    <w:rsid w:val="5FD75115"/>
    <w:rsid w:val="5FDE5D3B"/>
    <w:rsid w:val="5FE377F5"/>
    <w:rsid w:val="5FE5531C"/>
    <w:rsid w:val="5FE61B61"/>
    <w:rsid w:val="5FEA2932"/>
    <w:rsid w:val="5FEA77BC"/>
    <w:rsid w:val="5FEB730D"/>
    <w:rsid w:val="5FEC21FA"/>
    <w:rsid w:val="5FEF619A"/>
    <w:rsid w:val="5FF425BC"/>
    <w:rsid w:val="5FF61F30"/>
    <w:rsid w:val="5FF9489B"/>
    <w:rsid w:val="5FFC08B7"/>
    <w:rsid w:val="5FFC2665"/>
    <w:rsid w:val="5FFE018B"/>
    <w:rsid w:val="60025854"/>
    <w:rsid w:val="6005145E"/>
    <w:rsid w:val="6005151A"/>
    <w:rsid w:val="600A4D82"/>
    <w:rsid w:val="600B1CD7"/>
    <w:rsid w:val="600B4B3D"/>
    <w:rsid w:val="600D4872"/>
    <w:rsid w:val="60161273"/>
    <w:rsid w:val="601654D5"/>
    <w:rsid w:val="601722D8"/>
    <w:rsid w:val="60193217"/>
    <w:rsid w:val="601B6F8F"/>
    <w:rsid w:val="601C6864"/>
    <w:rsid w:val="601E25DC"/>
    <w:rsid w:val="601E438A"/>
    <w:rsid w:val="602120CC"/>
    <w:rsid w:val="6022031E"/>
    <w:rsid w:val="60235E44"/>
    <w:rsid w:val="60236EE4"/>
    <w:rsid w:val="6025396A"/>
    <w:rsid w:val="60264FF8"/>
    <w:rsid w:val="602776E2"/>
    <w:rsid w:val="602A2F80"/>
    <w:rsid w:val="602D281F"/>
    <w:rsid w:val="602E47F0"/>
    <w:rsid w:val="603475D9"/>
    <w:rsid w:val="60352257"/>
    <w:rsid w:val="603718EF"/>
    <w:rsid w:val="603911C4"/>
    <w:rsid w:val="603B318E"/>
    <w:rsid w:val="60412A5E"/>
    <w:rsid w:val="60466E42"/>
    <w:rsid w:val="6048238E"/>
    <w:rsid w:val="60487659"/>
    <w:rsid w:val="604A33D1"/>
    <w:rsid w:val="604F0DD1"/>
    <w:rsid w:val="604F6C39"/>
    <w:rsid w:val="606131E6"/>
    <w:rsid w:val="60624BBE"/>
    <w:rsid w:val="6065645C"/>
    <w:rsid w:val="606744CB"/>
    <w:rsid w:val="606B237C"/>
    <w:rsid w:val="606F2E37"/>
    <w:rsid w:val="6074044E"/>
    <w:rsid w:val="607641C6"/>
    <w:rsid w:val="607948A8"/>
    <w:rsid w:val="607F3234"/>
    <w:rsid w:val="60850C16"/>
    <w:rsid w:val="60864E2E"/>
    <w:rsid w:val="60877192"/>
    <w:rsid w:val="608A4982"/>
    <w:rsid w:val="608C39E9"/>
    <w:rsid w:val="608F6263"/>
    <w:rsid w:val="60911000"/>
    <w:rsid w:val="60936B26"/>
    <w:rsid w:val="609603C4"/>
    <w:rsid w:val="609758C2"/>
    <w:rsid w:val="60997EB4"/>
    <w:rsid w:val="609D5BF6"/>
    <w:rsid w:val="609D79A4"/>
    <w:rsid w:val="60A02609"/>
    <w:rsid w:val="60A07495"/>
    <w:rsid w:val="60A11BA6"/>
    <w:rsid w:val="60A42E3F"/>
    <w:rsid w:val="60A61275"/>
    <w:rsid w:val="60A61B01"/>
    <w:rsid w:val="60A722AE"/>
    <w:rsid w:val="60A725D1"/>
    <w:rsid w:val="60A83C77"/>
    <w:rsid w:val="60AE1BB1"/>
    <w:rsid w:val="60B045F1"/>
    <w:rsid w:val="60B1016D"/>
    <w:rsid w:val="60BD07D4"/>
    <w:rsid w:val="60BD1DF5"/>
    <w:rsid w:val="60C018E5"/>
    <w:rsid w:val="60C50CA9"/>
    <w:rsid w:val="60C52ADF"/>
    <w:rsid w:val="60CB2763"/>
    <w:rsid w:val="60D11EA6"/>
    <w:rsid w:val="60D13AF2"/>
    <w:rsid w:val="60D55390"/>
    <w:rsid w:val="60D97379"/>
    <w:rsid w:val="60DA1995"/>
    <w:rsid w:val="60DF1D6B"/>
    <w:rsid w:val="60E04EA0"/>
    <w:rsid w:val="60E43825"/>
    <w:rsid w:val="60E5134B"/>
    <w:rsid w:val="60E655DC"/>
    <w:rsid w:val="60E92BEA"/>
    <w:rsid w:val="60E94998"/>
    <w:rsid w:val="60ED40B6"/>
    <w:rsid w:val="60EE0200"/>
    <w:rsid w:val="60EE5581"/>
    <w:rsid w:val="60F021CA"/>
    <w:rsid w:val="60F03F78"/>
    <w:rsid w:val="60FB6390"/>
    <w:rsid w:val="60FC4D12"/>
    <w:rsid w:val="60FE43FB"/>
    <w:rsid w:val="61005AF5"/>
    <w:rsid w:val="61023CAB"/>
    <w:rsid w:val="610572F8"/>
    <w:rsid w:val="61060907"/>
    <w:rsid w:val="610619ED"/>
    <w:rsid w:val="61096DE8"/>
    <w:rsid w:val="610E08A2"/>
    <w:rsid w:val="610E1CED"/>
    <w:rsid w:val="610F4891"/>
    <w:rsid w:val="61111293"/>
    <w:rsid w:val="61167757"/>
    <w:rsid w:val="611A4128"/>
    <w:rsid w:val="611D263A"/>
    <w:rsid w:val="611E004C"/>
    <w:rsid w:val="611F03B9"/>
    <w:rsid w:val="6122434D"/>
    <w:rsid w:val="612260FC"/>
    <w:rsid w:val="61265BEC"/>
    <w:rsid w:val="61291238"/>
    <w:rsid w:val="6129748A"/>
    <w:rsid w:val="612E2287"/>
    <w:rsid w:val="612E4AA0"/>
    <w:rsid w:val="612E684E"/>
    <w:rsid w:val="61314591"/>
    <w:rsid w:val="61355E2F"/>
    <w:rsid w:val="61361112"/>
    <w:rsid w:val="6138591F"/>
    <w:rsid w:val="613F0C1E"/>
    <w:rsid w:val="613F280A"/>
    <w:rsid w:val="613F72A1"/>
    <w:rsid w:val="6142679E"/>
    <w:rsid w:val="614B11AE"/>
    <w:rsid w:val="614E344B"/>
    <w:rsid w:val="614F19B0"/>
    <w:rsid w:val="6151078F"/>
    <w:rsid w:val="61532759"/>
    <w:rsid w:val="6155202D"/>
    <w:rsid w:val="615838CB"/>
    <w:rsid w:val="615B7276"/>
    <w:rsid w:val="615D17EC"/>
    <w:rsid w:val="616044A2"/>
    <w:rsid w:val="616404C2"/>
    <w:rsid w:val="616718B9"/>
    <w:rsid w:val="61691F7C"/>
    <w:rsid w:val="616D381B"/>
    <w:rsid w:val="616E1494"/>
    <w:rsid w:val="6173432E"/>
    <w:rsid w:val="617821BF"/>
    <w:rsid w:val="617A1A94"/>
    <w:rsid w:val="617A5F38"/>
    <w:rsid w:val="617F1801"/>
    <w:rsid w:val="61812E22"/>
    <w:rsid w:val="61872BB0"/>
    <w:rsid w:val="61874B25"/>
    <w:rsid w:val="61882403"/>
    <w:rsid w:val="61892A47"/>
    <w:rsid w:val="618A0B45"/>
    <w:rsid w:val="618B4367"/>
    <w:rsid w:val="618E4E5C"/>
    <w:rsid w:val="61947A8F"/>
    <w:rsid w:val="619522AC"/>
    <w:rsid w:val="619E1C26"/>
    <w:rsid w:val="619F17B3"/>
    <w:rsid w:val="61A22D98"/>
    <w:rsid w:val="61A3290A"/>
    <w:rsid w:val="61A84056"/>
    <w:rsid w:val="61AD3C17"/>
    <w:rsid w:val="61B054B5"/>
    <w:rsid w:val="61B53764"/>
    <w:rsid w:val="61BA27D8"/>
    <w:rsid w:val="61BD7BD2"/>
    <w:rsid w:val="61C471B3"/>
    <w:rsid w:val="61C564E0"/>
    <w:rsid w:val="61C6117D"/>
    <w:rsid w:val="61C86CA3"/>
    <w:rsid w:val="61CA2A1B"/>
    <w:rsid w:val="61D5316E"/>
    <w:rsid w:val="61D65A49"/>
    <w:rsid w:val="61D92C5E"/>
    <w:rsid w:val="61DA5EA4"/>
    <w:rsid w:val="61E0223F"/>
    <w:rsid w:val="61E366AB"/>
    <w:rsid w:val="61E70D16"/>
    <w:rsid w:val="61E77036"/>
    <w:rsid w:val="61E82692"/>
    <w:rsid w:val="61EA1EB6"/>
    <w:rsid w:val="61EB473F"/>
    <w:rsid w:val="61F93300"/>
    <w:rsid w:val="61FA2BD4"/>
    <w:rsid w:val="61FA5617"/>
    <w:rsid w:val="61FA7533"/>
    <w:rsid w:val="61FB4D8E"/>
    <w:rsid w:val="61FE4473"/>
    <w:rsid w:val="620109CB"/>
    <w:rsid w:val="62051CA5"/>
    <w:rsid w:val="620677CB"/>
    <w:rsid w:val="6208223B"/>
    <w:rsid w:val="620852F1"/>
    <w:rsid w:val="620F042E"/>
    <w:rsid w:val="621023F8"/>
    <w:rsid w:val="621041A6"/>
    <w:rsid w:val="621243C2"/>
    <w:rsid w:val="62137E26"/>
    <w:rsid w:val="62143C96"/>
    <w:rsid w:val="62143FB5"/>
    <w:rsid w:val="62145A44"/>
    <w:rsid w:val="621912AD"/>
    <w:rsid w:val="62196213"/>
    <w:rsid w:val="621E2D67"/>
    <w:rsid w:val="62224971"/>
    <w:rsid w:val="622A170C"/>
    <w:rsid w:val="622A34BA"/>
    <w:rsid w:val="62375BD7"/>
    <w:rsid w:val="6239194F"/>
    <w:rsid w:val="62397BA1"/>
    <w:rsid w:val="623E51B7"/>
    <w:rsid w:val="62410803"/>
    <w:rsid w:val="624502F4"/>
    <w:rsid w:val="62467BC8"/>
    <w:rsid w:val="6247406C"/>
    <w:rsid w:val="62477485"/>
    <w:rsid w:val="624A3B5C"/>
    <w:rsid w:val="624B3430"/>
    <w:rsid w:val="624D4635"/>
    <w:rsid w:val="624E656E"/>
    <w:rsid w:val="62550AF8"/>
    <w:rsid w:val="625815FE"/>
    <w:rsid w:val="625A316E"/>
    <w:rsid w:val="625A6824"/>
    <w:rsid w:val="625C27F7"/>
    <w:rsid w:val="625E13B5"/>
    <w:rsid w:val="625E7607"/>
    <w:rsid w:val="626205EF"/>
    <w:rsid w:val="62654422"/>
    <w:rsid w:val="626562A0"/>
    <w:rsid w:val="6267026A"/>
    <w:rsid w:val="62676B00"/>
    <w:rsid w:val="626D15F8"/>
    <w:rsid w:val="627209BD"/>
    <w:rsid w:val="62734904"/>
    <w:rsid w:val="627608AD"/>
    <w:rsid w:val="62773B48"/>
    <w:rsid w:val="62782477"/>
    <w:rsid w:val="62785B7D"/>
    <w:rsid w:val="62793D48"/>
    <w:rsid w:val="62795BE6"/>
    <w:rsid w:val="627961EF"/>
    <w:rsid w:val="627B3D15"/>
    <w:rsid w:val="62830E1C"/>
    <w:rsid w:val="62831887"/>
    <w:rsid w:val="62832BCA"/>
    <w:rsid w:val="62846127"/>
    <w:rsid w:val="62856942"/>
    <w:rsid w:val="62857066"/>
    <w:rsid w:val="628B2D49"/>
    <w:rsid w:val="628B3F70"/>
    <w:rsid w:val="628E126E"/>
    <w:rsid w:val="6291384E"/>
    <w:rsid w:val="6292105F"/>
    <w:rsid w:val="62960B4F"/>
    <w:rsid w:val="629B6165"/>
    <w:rsid w:val="629E02F8"/>
    <w:rsid w:val="629E7A04"/>
    <w:rsid w:val="629F1CAC"/>
    <w:rsid w:val="629F6A6C"/>
    <w:rsid w:val="62A113CE"/>
    <w:rsid w:val="62A61F11"/>
    <w:rsid w:val="62A74B0A"/>
    <w:rsid w:val="62A82630"/>
    <w:rsid w:val="62AB7BE6"/>
    <w:rsid w:val="62B15C29"/>
    <w:rsid w:val="62B30B71"/>
    <w:rsid w:val="62B47227"/>
    <w:rsid w:val="62B77D6F"/>
    <w:rsid w:val="62C236F2"/>
    <w:rsid w:val="62C25536"/>
    <w:rsid w:val="62C323A4"/>
    <w:rsid w:val="62CC27C3"/>
    <w:rsid w:val="62CC4571"/>
    <w:rsid w:val="62CC631F"/>
    <w:rsid w:val="62CF16B7"/>
    <w:rsid w:val="62D022B3"/>
    <w:rsid w:val="62D13DCC"/>
    <w:rsid w:val="62D17DD9"/>
    <w:rsid w:val="62D33B51"/>
    <w:rsid w:val="62D578C9"/>
    <w:rsid w:val="62D6719E"/>
    <w:rsid w:val="62DD6A26"/>
    <w:rsid w:val="62DF24F6"/>
    <w:rsid w:val="62DF5C71"/>
    <w:rsid w:val="62E418BB"/>
    <w:rsid w:val="62E45866"/>
    <w:rsid w:val="62E96ED1"/>
    <w:rsid w:val="62EA49F7"/>
    <w:rsid w:val="62EE098B"/>
    <w:rsid w:val="62EF025F"/>
    <w:rsid w:val="62F05A5B"/>
    <w:rsid w:val="62F13FD7"/>
    <w:rsid w:val="62F624D3"/>
    <w:rsid w:val="62F92E8C"/>
    <w:rsid w:val="62FA20CA"/>
    <w:rsid w:val="62FF4362"/>
    <w:rsid w:val="63004F53"/>
    <w:rsid w:val="63010F47"/>
    <w:rsid w:val="630755A9"/>
    <w:rsid w:val="63097573"/>
    <w:rsid w:val="630A5099"/>
    <w:rsid w:val="630B6593"/>
    <w:rsid w:val="630C7063"/>
    <w:rsid w:val="630F621F"/>
    <w:rsid w:val="6311467A"/>
    <w:rsid w:val="63137D72"/>
    <w:rsid w:val="63175C61"/>
    <w:rsid w:val="63184E5D"/>
    <w:rsid w:val="631965D8"/>
    <w:rsid w:val="631A16C3"/>
    <w:rsid w:val="631F6190"/>
    <w:rsid w:val="631F6D97"/>
    <w:rsid w:val="63275C4B"/>
    <w:rsid w:val="63292486"/>
    <w:rsid w:val="632A29AF"/>
    <w:rsid w:val="632E2B36"/>
    <w:rsid w:val="633345F0"/>
    <w:rsid w:val="63342065"/>
    <w:rsid w:val="63367C3C"/>
    <w:rsid w:val="633839B4"/>
    <w:rsid w:val="633A2C34"/>
    <w:rsid w:val="633D7D22"/>
    <w:rsid w:val="633E5FE7"/>
    <w:rsid w:val="633F2F95"/>
    <w:rsid w:val="63414416"/>
    <w:rsid w:val="634265CE"/>
    <w:rsid w:val="634560D1"/>
    <w:rsid w:val="63473BF7"/>
    <w:rsid w:val="63477EB5"/>
    <w:rsid w:val="634B193A"/>
    <w:rsid w:val="634E142A"/>
    <w:rsid w:val="634F5722"/>
    <w:rsid w:val="63506D72"/>
    <w:rsid w:val="63506F50"/>
    <w:rsid w:val="635661EB"/>
    <w:rsid w:val="63585E05"/>
    <w:rsid w:val="63604CB9"/>
    <w:rsid w:val="63636F94"/>
    <w:rsid w:val="63660F82"/>
    <w:rsid w:val="63690012"/>
    <w:rsid w:val="637075F2"/>
    <w:rsid w:val="63751134"/>
    <w:rsid w:val="637A089E"/>
    <w:rsid w:val="637B79D5"/>
    <w:rsid w:val="637D586B"/>
    <w:rsid w:val="637F15E3"/>
    <w:rsid w:val="637F327F"/>
    <w:rsid w:val="63802D08"/>
    <w:rsid w:val="6380470F"/>
    <w:rsid w:val="63846BFA"/>
    <w:rsid w:val="63870498"/>
    <w:rsid w:val="638906B4"/>
    <w:rsid w:val="638913B6"/>
    <w:rsid w:val="638C5C6A"/>
    <w:rsid w:val="638E098D"/>
    <w:rsid w:val="638E1826"/>
    <w:rsid w:val="6390559E"/>
    <w:rsid w:val="63915694"/>
    <w:rsid w:val="639257BA"/>
    <w:rsid w:val="63925F00"/>
    <w:rsid w:val="63953D64"/>
    <w:rsid w:val="63965964"/>
    <w:rsid w:val="639826A5"/>
    <w:rsid w:val="639A6BF2"/>
    <w:rsid w:val="639B185C"/>
    <w:rsid w:val="639E1341"/>
    <w:rsid w:val="639F3A33"/>
    <w:rsid w:val="639F7D2D"/>
    <w:rsid w:val="63A454EE"/>
    <w:rsid w:val="63A4599E"/>
    <w:rsid w:val="63A6046B"/>
    <w:rsid w:val="63A92B04"/>
    <w:rsid w:val="63AD5074"/>
    <w:rsid w:val="63AE655B"/>
    <w:rsid w:val="63B74933"/>
    <w:rsid w:val="63BE035D"/>
    <w:rsid w:val="63C33BC6"/>
    <w:rsid w:val="63C4349A"/>
    <w:rsid w:val="63C92918"/>
    <w:rsid w:val="63CC7254"/>
    <w:rsid w:val="63CD67F3"/>
    <w:rsid w:val="63CE60C7"/>
    <w:rsid w:val="63D113E6"/>
    <w:rsid w:val="63D27965"/>
    <w:rsid w:val="63D640D5"/>
    <w:rsid w:val="63D731CD"/>
    <w:rsid w:val="63D75951"/>
    <w:rsid w:val="63D95197"/>
    <w:rsid w:val="63DC07E4"/>
    <w:rsid w:val="63DD630A"/>
    <w:rsid w:val="63DF6526"/>
    <w:rsid w:val="63E1224D"/>
    <w:rsid w:val="63E36016"/>
    <w:rsid w:val="63E71212"/>
    <w:rsid w:val="63EF60B0"/>
    <w:rsid w:val="63FC0E86"/>
    <w:rsid w:val="63FC70D8"/>
    <w:rsid w:val="6401649C"/>
    <w:rsid w:val="64030921"/>
    <w:rsid w:val="6404589F"/>
    <w:rsid w:val="64061D04"/>
    <w:rsid w:val="640B2E77"/>
    <w:rsid w:val="641727B6"/>
    <w:rsid w:val="64175CC0"/>
    <w:rsid w:val="64185015"/>
    <w:rsid w:val="641A130C"/>
    <w:rsid w:val="641A649B"/>
    <w:rsid w:val="641F4B74"/>
    <w:rsid w:val="64283A29"/>
    <w:rsid w:val="642D5F90"/>
    <w:rsid w:val="64326656"/>
    <w:rsid w:val="64335F5E"/>
    <w:rsid w:val="64357EF4"/>
    <w:rsid w:val="643701CC"/>
    <w:rsid w:val="643E4FFA"/>
    <w:rsid w:val="644360B2"/>
    <w:rsid w:val="644B46DD"/>
    <w:rsid w:val="644B7717"/>
    <w:rsid w:val="644D7A03"/>
    <w:rsid w:val="6454481E"/>
    <w:rsid w:val="645B3DFE"/>
    <w:rsid w:val="64610CE9"/>
    <w:rsid w:val="6461518D"/>
    <w:rsid w:val="64623DB9"/>
    <w:rsid w:val="646A2293"/>
    <w:rsid w:val="646D768E"/>
    <w:rsid w:val="64722EF6"/>
    <w:rsid w:val="64754794"/>
    <w:rsid w:val="6477675E"/>
    <w:rsid w:val="64794284"/>
    <w:rsid w:val="64825E22"/>
    <w:rsid w:val="64826FFE"/>
    <w:rsid w:val="648844C8"/>
    <w:rsid w:val="648A55E8"/>
    <w:rsid w:val="648A6492"/>
    <w:rsid w:val="648D5F82"/>
    <w:rsid w:val="648D62B5"/>
    <w:rsid w:val="648E24D3"/>
    <w:rsid w:val="6491119F"/>
    <w:rsid w:val="64963F57"/>
    <w:rsid w:val="649B2CBB"/>
    <w:rsid w:val="649B41FB"/>
    <w:rsid w:val="649E3CEB"/>
    <w:rsid w:val="64A86918"/>
    <w:rsid w:val="64AF3298"/>
    <w:rsid w:val="64B21544"/>
    <w:rsid w:val="64B67287"/>
    <w:rsid w:val="64B825B5"/>
    <w:rsid w:val="64BA4D09"/>
    <w:rsid w:val="64C2170E"/>
    <w:rsid w:val="64C33752"/>
    <w:rsid w:val="64C6694E"/>
    <w:rsid w:val="64CF2896"/>
    <w:rsid w:val="64D616D7"/>
    <w:rsid w:val="64D7381D"/>
    <w:rsid w:val="64D771FD"/>
    <w:rsid w:val="64D9076B"/>
    <w:rsid w:val="64D94D23"/>
    <w:rsid w:val="64DE18E8"/>
    <w:rsid w:val="64DF1BC8"/>
    <w:rsid w:val="64E7255D"/>
    <w:rsid w:val="64EB71D9"/>
    <w:rsid w:val="64EC0EFA"/>
    <w:rsid w:val="64EF09EB"/>
    <w:rsid w:val="64EF5A33"/>
    <w:rsid w:val="64F031D4"/>
    <w:rsid w:val="64F2481C"/>
    <w:rsid w:val="64F47DAF"/>
    <w:rsid w:val="64F97173"/>
    <w:rsid w:val="64FE28B2"/>
    <w:rsid w:val="64FF26AE"/>
    <w:rsid w:val="6502427A"/>
    <w:rsid w:val="650370F5"/>
    <w:rsid w:val="65037FF2"/>
    <w:rsid w:val="6504321D"/>
    <w:rsid w:val="65044496"/>
    <w:rsid w:val="65055B18"/>
    <w:rsid w:val="65071890"/>
    <w:rsid w:val="65075D34"/>
    <w:rsid w:val="651A1C05"/>
    <w:rsid w:val="651D567F"/>
    <w:rsid w:val="651E310B"/>
    <w:rsid w:val="65220F61"/>
    <w:rsid w:val="65240694"/>
    <w:rsid w:val="65273CE0"/>
    <w:rsid w:val="652A4208"/>
    <w:rsid w:val="653308D7"/>
    <w:rsid w:val="653528A1"/>
    <w:rsid w:val="653603C7"/>
    <w:rsid w:val="65361035"/>
    <w:rsid w:val="65385EEE"/>
    <w:rsid w:val="653D1756"/>
    <w:rsid w:val="653D52B2"/>
    <w:rsid w:val="653E102A"/>
    <w:rsid w:val="65432E34"/>
    <w:rsid w:val="65461273"/>
    <w:rsid w:val="6547282B"/>
    <w:rsid w:val="654E4096"/>
    <w:rsid w:val="654E74BF"/>
    <w:rsid w:val="654F1BE9"/>
    <w:rsid w:val="65522806"/>
    <w:rsid w:val="6554084E"/>
    <w:rsid w:val="65586590"/>
    <w:rsid w:val="655B398A"/>
    <w:rsid w:val="655B4ADD"/>
    <w:rsid w:val="655B6881"/>
    <w:rsid w:val="655F791E"/>
    <w:rsid w:val="656A1E1F"/>
    <w:rsid w:val="656D5DF0"/>
    <w:rsid w:val="656F7435"/>
    <w:rsid w:val="65754F07"/>
    <w:rsid w:val="657563E1"/>
    <w:rsid w:val="65763410"/>
    <w:rsid w:val="657A02B4"/>
    <w:rsid w:val="657B5C23"/>
    <w:rsid w:val="657C1028"/>
    <w:rsid w:val="657E2BF2"/>
    <w:rsid w:val="65815AE7"/>
    <w:rsid w:val="65842EE1"/>
    <w:rsid w:val="65851B03"/>
    <w:rsid w:val="658630FD"/>
    <w:rsid w:val="658B08A0"/>
    <w:rsid w:val="658C1F54"/>
    <w:rsid w:val="658E3D60"/>
    <w:rsid w:val="658E5B0E"/>
    <w:rsid w:val="658F4DF7"/>
    <w:rsid w:val="6593334D"/>
    <w:rsid w:val="65953340"/>
    <w:rsid w:val="6598238B"/>
    <w:rsid w:val="659D0447"/>
    <w:rsid w:val="659D27A6"/>
    <w:rsid w:val="659F5F6D"/>
    <w:rsid w:val="65A05841"/>
    <w:rsid w:val="65A11CE5"/>
    <w:rsid w:val="65A215B9"/>
    <w:rsid w:val="65A417D5"/>
    <w:rsid w:val="65A45331"/>
    <w:rsid w:val="65A6554D"/>
    <w:rsid w:val="65A75A3F"/>
    <w:rsid w:val="65A96DEB"/>
    <w:rsid w:val="65AB0180"/>
    <w:rsid w:val="65AB2B63"/>
    <w:rsid w:val="65B0017A"/>
    <w:rsid w:val="65B23EF2"/>
    <w:rsid w:val="65B35574"/>
    <w:rsid w:val="65B5438B"/>
    <w:rsid w:val="65B55790"/>
    <w:rsid w:val="65B82AEE"/>
    <w:rsid w:val="65B8584E"/>
    <w:rsid w:val="65BD342C"/>
    <w:rsid w:val="65BD63F3"/>
    <w:rsid w:val="65BF03BD"/>
    <w:rsid w:val="65C42009"/>
    <w:rsid w:val="65C43C25"/>
    <w:rsid w:val="65C51CA9"/>
    <w:rsid w:val="65C6799D"/>
    <w:rsid w:val="65CC6636"/>
    <w:rsid w:val="65CE6852"/>
    <w:rsid w:val="65D04378"/>
    <w:rsid w:val="65D5373C"/>
    <w:rsid w:val="65D57BE0"/>
    <w:rsid w:val="65DA23AF"/>
    <w:rsid w:val="65DE531E"/>
    <w:rsid w:val="65DF280D"/>
    <w:rsid w:val="65DF7786"/>
    <w:rsid w:val="65E80A71"/>
    <w:rsid w:val="65E9368C"/>
    <w:rsid w:val="65E971E8"/>
    <w:rsid w:val="65EA7D54"/>
    <w:rsid w:val="65EB641E"/>
    <w:rsid w:val="65EC0A86"/>
    <w:rsid w:val="65EC7453"/>
    <w:rsid w:val="65F8742B"/>
    <w:rsid w:val="65FB1716"/>
    <w:rsid w:val="65FD7CC9"/>
    <w:rsid w:val="66000D6B"/>
    <w:rsid w:val="660202AA"/>
    <w:rsid w:val="6603474E"/>
    <w:rsid w:val="6607262E"/>
    <w:rsid w:val="660758C0"/>
    <w:rsid w:val="660A0E3D"/>
    <w:rsid w:val="660C7E7C"/>
    <w:rsid w:val="66106F08"/>
    <w:rsid w:val="661643B9"/>
    <w:rsid w:val="66184849"/>
    <w:rsid w:val="6619514F"/>
    <w:rsid w:val="661A71F1"/>
    <w:rsid w:val="661B0D26"/>
    <w:rsid w:val="662326FA"/>
    <w:rsid w:val="66236B9E"/>
    <w:rsid w:val="662463E4"/>
    <w:rsid w:val="66280D11"/>
    <w:rsid w:val="662B03CC"/>
    <w:rsid w:val="662F72F1"/>
    <w:rsid w:val="6635067F"/>
    <w:rsid w:val="663549E4"/>
    <w:rsid w:val="66363C68"/>
    <w:rsid w:val="663761A5"/>
    <w:rsid w:val="663A7A43"/>
    <w:rsid w:val="663B7C6B"/>
    <w:rsid w:val="663C1A0D"/>
    <w:rsid w:val="663C7C5F"/>
    <w:rsid w:val="66410190"/>
    <w:rsid w:val="664408C2"/>
    <w:rsid w:val="66476B75"/>
    <w:rsid w:val="664F7571"/>
    <w:rsid w:val="66501015"/>
    <w:rsid w:val="665705F5"/>
    <w:rsid w:val="66575D03"/>
    <w:rsid w:val="66591007"/>
    <w:rsid w:val="665C14BD"/>
    <w:rsid w:val="665C3E5E"/>
    <w:rsid w:val="665E3732"/>
    <w:rsid w:val="665F2A8B"/>
    <w:rsid w:val="6660394E"/>
    <w:rsid w:val="666856C3"/>
    <w:rsid w:val="666A0329"/>
    <w:rsid w:val="666C56AD"/>
    <w:rsid w:val="667411A7"/>
    <w:rsid w:val="66763171"/>
    <w:rsid w:val="66772126"/>
    <w:rsid w:val="667B2536"/>
    <w:rsid w:val="667E3DD4"/>
    <w:rsid w:val="66811B16"/>
    <w:rsid w:val="668138C4"/>
    <w:rsid w:val="66855163"/>
    <w:rsid w:val="66873A9B"/>
    <w:rsid w:val="668A09CB"/>
    <w:rsid w:val="668F5FE1"/>
    <w:rsid w:val="6694184A"/>
    <w:rsid w:val="66996E60"/>
    <w:rsid w:val="669A2894"/>
    <w:rsid w:val="669C06FE"/>
    <w:rsid w:val="669D5583"/>
    <w:rsid w:val="66A01F9C"/>
    <w:rsid w:val="66A15D14"/>
    <w:rsid w:val="66AB43DF"/>
    <w:rsid w:val="66AD4EBF"/>
    <w:rsid w:val="66B56E58"/>
    <w:rsid w:val="66B75538"/>
    <w:rsid w:val="66B9305E"/>
    <w:rsid w:val="66BB0B84"/>
    <w:rsid w:val="66BD1842"/>
    <w:rsid w:val="66BD6B99"/>
    <w:rsid w:val="66C01DE3"/>
    <w:rsid w:val="66C64D00"/>
    <w:rsid w:val="66C7577B"/>
    <w:rsid w:val="66C90958"/>
    <w:rsid w:val="66CA0BF5"/>
    <w:rsid w:val="66CA31C0"/>
    <w:rsid w:val="66CC0CEA"/>
    <w:rsid w:val="66CD7AB4"/>
    <w:rsid w:val="66CF382D"/>
    <w:rsid w:val="66D317F2"/>
    <w:rsid w:val="66D439F4"/>
    <w:rsid w:val="66D87988"/>
    <w:rsid w:val="66DD3331"/>
    <w:rsid w:val="66DD4B51"/>
    <w:rsid w:val="66DD5F97"/>
    <w:rsid w:val="66DE6245"/>
    <w:rsid w:val="66E0683D"/>
    <w:rsid w:val="66E102F0"/>
    <w:rsid w:val="66E12CB4"/>
    <w:rsid w:val="66E24C85"/>
    <w:rsid w:val="66ED2D08"/>
    <w:rsid w:val="66F127F8"/>
    <w:rsid w:val="66F1492A"/>
    <w:rsid w:val="66F2031E"/>
    <w:rsid w:val="66F67E0E"/>
    <w:rsid w:val="66F95B50"/>
    <w:rsid w:val="66FA1019"/>
    <w:rsid w:val="66FF2A2C"/>
    <w:rsid w:val="670047E9"/>
    <w:rsid w:val="67006EDF"/>
    <w:rsid w:val="67010561"/>
    <w:rsid w:val="670175BA"/>
    <w:rsid w:val="67022AB2"/>
    <w:rsid w:val="670562A3"/>
    <w:rsid w:val="6705765E"/>
    <w:rsid w:val="670C04C4"/>
    <w:rsid w:val="670F0ED0"/>
    <w:rsid w:val="67112E9A"/>
    <w:rsid w:val="67140447"/>
    <w:rsid w:val="67194418"/>
    <w:rsid w:val="671A4E40"/>
    <w:rsid w:val="671B1D7A"/>
    <w:rsid w:val="671E6D8D"/>
    <w:rsid w:val="671E7365"/>
    <w:rsid w:val="671F5ADA"/>
    <w:rsid w:val="6720463D"/>
    <w:rsid w:val="67220345"/>
    <w:rsid w:val="672544A9"/>
    <w:rsid w:val="672A7AB8"/>
    <w:rsid w:val="672B5E61"/>
    <w:rsid w:val="672F3320"/>
    <w:rsid w:val="67334BBF"/>
    <w:rsid w:val="67344FE3"/>
    <w:rsid w:val="67345094"/>
    <w:rsid w:val="67397CFB"/>
    <w:rsid w:val="673E5311"/>
    <w:rsid w:val="6740124F"/>
    <w:rsid w:val="67402BA0"/>
    <w:rsid w:val="67513297"/>
    <w:rsid w:val="67530DBD"/>
    <w:rsid w:val="67535261"/>
    <w:rsid w:val="6754719E"/>
    <w:rsid w:val="67564D51"/>
    <w:rsid w:val="67566238"/>
    <w:rsid w:val="675A65EF"/>
    <w:rsid w:val="675F60D7"/>
    <w:rsid w:val="67602B70"/>
    <w:rsid w:val="676B7603"/>
    <w:rsid w:val="676C5425"/>
    <w:rsid w:val="676E7D45"/>
    <w:rsid w:val="676F7BC1"/>
    <w:rsid w:val="677156E7"/>
    <w:rsid w:val="67724900"/>
    <w:rsid w:val="677551D7"/>
    <w:rsid w:val="67755B92"/>
    <w:rsid w:val="67760F4F"/>
    <w:rsid w:val="677A0E98"/>
    <w:rsid w:val="677A27ED"/>
    <w:rsid w:val="677B47B7"/>
    <w:rsid w:val="677B70EA"/>
    <w:rsid w:val="67805FF1"/>
    <w:rsid w:val="67820943"/>
    <w:rsid w:val="6784366C"/>
    <w:rsid w:val="67851192"/>
    <w:rsid w:val="67852F40"/>
    <w:rsid w:val="67890813"/>
    <w:rsid w:val="678C79CA"/>
    <w:rsid w:val="678D6ECF"/>
    <w:rsid w:val="678D79C8"/>
    <w:rsid w:val="678E06E3"/>
    <w:rsid w:val="67915D89"/>
    <w:rsid w:val="6793565D"/>
    <w:rsid w:val="67973E39"/>
    <w:rsid w:val="679A4C3E"/>
    <w:rsid w:val="679A69EC"/>
    <w:rsid w:val="67A21A46"/>
    <w:rsid w:val="67A40E6A"/>
    <w:rsid w:val="67A71109"/>
    <w:rsid w:val="67A7735B"/>
    <w:rsid w:val="67A81366"/>
    <w:rsid w:val="67A8580E"/>
    <w:rsid w:val="67AC608A"/>
    <w:rsid w:val="67AC671F"/>
    <w:rsid w:val="67AE06E9"/>
    <w:rsid w:val="67AE693B"/>
    <w:rsid w:val="67B0620F"/>
    <w:rsid w:val="67B44740"/>
    <w:rsid w:val="67BD2434"/>
    <w:rsid w:val="67C1666E"/>
    <w:rsid w:val="67C43A69"/>
    <w:rsid w:val="67C47F0C"/>
    <w:rsid w:val="67C5303F"/>
    <w:rsid w:val="67CE2B39"/>
    <w:rsid w:val="67CE48E7"/>
    <w:rsid w:val="67D0065F"/>
    <w:rsid w:val="67D0240D"/>
    <w:rsid w:val="67D57A24"/>
    <w:rsid w:val="67D619EE"/>
    <w:rsid w:val="67D8323F"/>
    <w:rsid w:val="67D92B32"/>
    <w:rsid w:val="67DA7DBE"/>
    <w:rsid w:val="67DF6AF4"/>
    <w:rsid w:val="67E05A2C"/>
    <w:rsid w:val="67E26298"/>
    <w:rsid w:val="67E42FEE"/>
    <w:rsid w:val="67E86BA9"/>
    <w:rsid w:val="67E879FE"/>
    <w:rsid w:val="67E94C6C"/>
    <w:rsid w:val="67EB5499"/>
    <w:rsid w:val="67EC6A4A"/>
    <w:rsid w:val="67EE31DB"/>
    <w:rsid w:val="67EE4F89"/>
    <w:rsid w:val="67EF4E72"/>
    <w:rsid w:val="67F02AB0"/>
    <w:rsid w:val="67F105D6"/>
    <w:rsid w:val="67F24A7A"/>
    <w:rsid w:val="67F30F00"/>
    <w:rsid w:val="67F325A0"/>
    <w:rsid w:val="67F500C6"/>
    <w:rsid w:val="67F56318"/>
    <w:rsid w:val="67F65BEC"/>
    <w:rsid w:val="67FC1454"/>
    <w:rsid w:val="67FC7F78"/>
    <w:rsid w:val="68000819"/>
    <w:rsid w:val="68014CBD"/>
    <w:rsid w:val="68022682"/>
    <w:rsid w:val="68030A35"/>
    <w:rsid w:val="68044E9B"/>
    <w:rsid w:val="6804655B"/>
    <w:rsid w:val="68071BA7"/>
    <w:rsid w:val="680A7E7B"/>
    <w:rsid w:val="680B1697"/>
    <w:rsid w:val="680B78E9"/>
    <w:rsid w:val="680E1188"/>
    <w:rsid w:val="680F6B7F"/>
    <w:rsid w:val="681341D9"/>
    <w:rsid w:val="681A01F7"/>
    <w:rsid w:val="681F5143"/>
    <w:rsid w:val="6826397D"/>
    <w:rsid w:val="682656D7"/>
    <w:rsid w:val="68275505"/>
    <w:rsid w:val="682D3710"/>
    <w:rsid w:val="683117E3"/>
    <w:rsid w:val="68321936"/>
    <w:rsid w:val="6833299C"/>
    <w:rsid w:val="68340AD1"/>
    <w:rsid w:val="683706DE"/>
    <w:rsid w:val="68394457"/>
    <w:rsid w:val="683A3D2B"/>
    <w:rsid w:val="683D6E27"/>
    <w:rsid w:val="683E02FA"/>
    <w:rsid w:val="683E1A6D"/>
    <w:rsid w:val="683F3A37"/>
    <w:rsid w:val="68437083"/>
    <w:rsid w:val="68462D8E"/>
    <w:rsid w:val="68480D45"/>
    <w:rsid w:val="6848469A"/>
    <w:rsid w:val="684A0896"/>
    <w:rsid w:val="684E5410"/>
    <w:rsid w:val="68520EB3"/>
    <w:rsid w:val="685272C6"/>
    <w:rsid w:val="68550B65"/>
    <w:rsid w:val="68570D81"/>
    <w:rsid w:val="68576D9F"/>
    <w:rsid w:val="68582403"/>
    <w:rsid w:val="685D2839"/>
    <w:rsid w:val="685E210F"/>
    <w:rsid w:val="68637725"/>
    <w:rsid w:val="68664739"/>
    <w:rsid w:val="686A0AB4"/>
    <w:rsid w:val="686B65DA"/>
    <w:rsid w:val="686E1C26"/>
    <w:rsid w:val="686F60CA"/>
    <w:rsid w:val="687139DC"/>
    <w:rsid w:val="687436E1"/>
    <w:rsid w:val="68774F7F"/>
    <w:rsid w:val="68790CF7"/>
    <w:rsid w:val="6881195A"/>
    <w:rsid w:val="68812DA4"/>
    <w:rsid w:val="688435A9"/>
    <w:rsid w:val="68863414"/>
    <w:rsid w:val="688637DC"/>
    <w:rsid w:val="68882CE8"/>
    <w:rsid w:val="68891E8F"/>
    <w:rsid w:val="6889720B"/>
    <w:rsid w:val="688C6EB0"/>
    <w:rsid w:val="688D02FE"/>
    <w:rsid w:val="689217BA"/>
    <w:rsid w:val="68944A78"/>
    <w:rsid w:val="68945B31"/>
    <w:rsid w:val="6897117D"/>
    <w:rsid w:val="68986ABC"/>
    <w:rsid w:val="689A0C6D"/>
    <w:rsid w:val="689C210F"/>
    <w:rsid w:val="689E69AF"/>
    <w:rsid w:val="689F6284"/>
    <w:rsid w:val="68A044D6"/>
    <w:rsid w:val="68A11FFC"/>
    <w:rsid w:val="68A97A41"/>
    <w:rsid w:val="68B038E9"/>
    <w:rsid w:val="68B154BC"/>
    <w:rsid w:val="68B477F1"/>
    <w:rsid w:val="68B82CFD"/>
    <w:rsid w:val="68BB130F"/>
    <w:rsid w:val="68BB4B1B"/>
    <w:rsid w:val="68BE2BAE"/>
    <w:rsid w:val="68BF62C6"/>
    <w:rsid w:val="68C05C3A"/>
    <w:rsid w:val="68C161FA"/>
    <w:rsid w:val="68C31C95"/>
    <w:rsid w:val="68C857DA"/>
    <w:rsid w:val="68C95D74"/>
    <w:rsid w:val="68CA3301"/>
    <w:rsid w:val="68CC6F4D"/>
    <w:rsid w:val="68CD2DF1"/>
    <w:rsid w:val="68D423D1"/>
    <w:rsid w:val="68D51CA5"/>
    <w:rsid w:val="68E40FDA"/>
    <w:rsid w:val="68E5638C"/>
    <w:rsid w:val="68E779E3"/>
    <w:rsid w:val="68E86BE3"/>
    <w:rsid w:val="68EC122F"/>
    <w:rsid w:val="68ED0399"/>
    <w:rsid w:val="68F2195D"/>
    <w:rsid w:val="68F56482"/>
    <w:rsid w:val="68F62348"/>
    <w:rsid w:val="68F71C1C"/>
    <w:rsid w:val="68F91E38"/>
    <w:rsid w:val="68F93BE6"/>
    <w:rsid w:val="68FE744E"/>
    <w:rsid w:val="68FF0BB1"/>
    <w:rsid w:val="69037D33"/>
    <w:rsid w:val="69083E29"/>
    <w:rsid w:val="690A793C"/>
    <w:rsid w:val="690C3919"/>
    <w:rsid w:val="690C7DA3"/>
    <w:rsid w:val="690E58E3"/>
    <w:rsid w:val="69112CDD"/>
    <w:rsid w:val="69132EFA"/>
    <w:rsid w:val="691532C3"/>
    <w:rsid w:val="691C78D4"/>
    <w:rsid w:val="691D506A"/>
    <w:rsid w:val="6921093E"/>
    <w:rsid w:val="69252C2D"/>
    <w:rsid w:val="692E7D33"/>
    <w:rsid w:val="692F7608"/>
    <w:rsid w:val="693115D2"/>
    <w:rsid w:val="693A53C2"/>
    <w:rsid w:val="693D1D24"/>
    <w:rsid w:val="693E1EF2"/>
    <w:rsid w:val="69474951"/>
    <w:rsid w:val="694D12DA"/>
    <w:rsid w:val="694D7A8E"/>
    <w:rsid w:val="695232F6"/>
    <w:rsid w:val="69531548"/>
    <w:rsid w:val="69543E93"/>
    <w:rsid w:val="69567C43"/>
    <w:rsid w:val="695D5F23"/>
    <w:rsid w:val="69603C65"/>
    <w:rsid w:val="69620B1A"/>
    <w:rsid w:val="696279DD"/>
    <w:rsid w:val="696574CD"/>
    <w:rsid w:val="696A4AE4"/>
    <w:rsid w:val="696A71A7"/>
    <w:rsid w:val="696B638F"/>
    <w:rsid w:val="696C085C"/>
    <w:rsid w:val="696F24F1"/>
    <w:rsid w:val="697320E8"/>
    <w:rsid w:val="69790883"/>
    <w:rsid w:val="69794D27"/>
    <w:rsid w:val="697A2F79"/>
    <w:rsid w:val="697B45FB"/>
    <w:rsid w:val="697E0B61"/>
    <w:rsid w:val="69807E63"/>
    <w:rsid w:val="698336C6"/>
    <w:rsid w:val="69847953"/>
    <w:rsid w:val="69872FA0"/>
    <w:rsid w:val="698F62F8"/>
    <w:rsid w:val="699022E4"/>
    <w:rsid w:val="69921DD2"/>
    <w:rsid w:val="6992436A"/>
    <w:rsid w:val="6996199D"/>
    <w:rsid w:val="69972CB4"/>
    <w:rsid w:val="69990F25"/>
    <w:rsid w:val="699C2877"/>
    <w:rsid w:val="69A01DB2"/>
    <w:rsid w:val="69A2602B"/>
    <w:rsid w:val="69A27DD9"/>
    <w:rsid w:val="69A34594"/>
    <w:rsid w:val="69A52636"/>
    <w:rsid w:val="69AF244E"/>
    <w:rsid w:val="69B1626F"/>
    <w:rsid w:val="69BD0C4D"/>
    <w:rsid w:val="69BD2017"/>
    <w:rsid w:val="69BF69DA"/>
    <w:rsid w:val="69C51D1A"/>
    <w:rsid w:val="69CB37D4"/>
    <w:rsid w:val="69CD09F4"/>
    <w:rsid w:val="69CF4947"/>
    <w:rsid w:val="69D106BF"/>
    <w:rsid w:val="69D326BF"/>
    <w:rsid w:val="69DA3254"/>
    <w:rsid w:val="69DF734D"/>
    <w:rsid w:val="69E6205D"/>
    <w:rsid w:val="69ED2BC7"/>
    <w:rsid w:val="69F46765"/>
    <w:rsid w:val="69FC59C4"/>
    <w:rsid w:val="69FD7706"/>
    <w:rsid w:val="69FF522C"/>
    <w:rsid w:val="6A040A94"/>
    <w:rsid w:val="6A0942FC"/>
    <w:rsid w:val="6A0C7465"/>
    <w:rsid w:val="6A0C7949"/>
    <w:rsid w:val="6A0E1913"/>
    <w:rsid w:val="6A102F95"/>
    <w:rsid w:val="6A114F5F"/>
    <w:rsid w:val="6A1327BB"/>
    <w:rsid w:val="6A133F2B"/>
    <w:rsid w:val="6A1410A5"/>
    <w:rsid w:val="6A1C4030"/>
    <w:rsid w:val="6A1C5DDE"/>
    <w:rsid w:val="6A206C3C"/>
    <w:rsid w:val="6A2133F4"/>
    <w:rsid w:val="6A246A40"/>
    <w:rsid w:val="6A2473CA"/>
    <w:rsid w:val="6A2704CE"/>
    <w:rsid w:val="6A274783"/>
    <w:rsid w:val="6A2C39AE"/>
    <w:rsid w:val="6A2E78BF"/>
    <w:rsid w:val="6A31115D"/>
    <w:rsid w:val="6A3452AB"/>
    <w:rsid w:val="6A356EA0"/>
    <w:rsid w:val="6A38073E"/>
    <w:rsid w:val="6A386990"/>
    <w:rsid w:val="6A3D5D54"/>
    <w:rsid w:val="6A42336B"/>
    <w:rsid w:val="6A4315DE"/>
    <w:rsid w:val="6A466703"/>
    <w:rsid w:val="6A4A545B"/>
    <w:rsid w:val="6A4B3817"/>
    <w:rsid w:val="6A4B51AA"/>
    <w:rsid w:val="6A4C5F97"/>
    <w:rsid w:val="6A4C6BA2"/>
    <w:rsid w:val="6A4E61B3"/>
    <w:rsid w:val="6A5512F0"/>
    <w:rsid w:val="6A556300"/>
    <w:rsid w:val="6A557B15"/>
    <w:rsid w:val="6A565F13"/>
    <w:rsid w:val="6A566725"/>
    <w:rsid w:val="6A576E16"/>
    <w:rsid w:val="6A5F216E"/>
    <w:rsid w:val="6A5F3F1C"/>
    <w:rsid w:val="6A627EE3"/>
    <w:rsid w:val="6A655955"/>
    <w:rsid w:val="6A674B7F"/>
    <w:rsid w:val="6A6908F7"/>
    <w:rsid w:val="6A6B7365"/>
    <w:rsid w:val="6A721EA2"/>
    <w:rsid w:val="6A731776"/>
    <w:rsid w:val="6A735AF7"/>
    <w:rsid w:val="6A747C16"/>
    <w:rsid w:val="6A783E25"/>
    <w:rsid w:val="6A7B2510"/>
    <w:rsid w:val="6A835E5D"/>
    <w:rsid w:val="6A8D2838"/>
    <w:rsid w:val="6A8E65B0"/>
    <w:rsid w:val="6A8F3CBF"/>
    <w:rsid w:val="6A90057A"/>
    <w:rsid w:val="6A9117F3"/>
    <w:rsid w:val="6A924484"/>
    <w:rsid w:val="6A935974"/>
    <w:rsid w:val="6A955B90"/>
    <w:rsid w:val="6A961877"/>
    <w:rsid w:val="6A9736B6"/>
    <w:rsid w:val="6A9A4F55"/>
    <w:rsid w:val="6A9B663B"/>
    <w:rsid w:val="6A9C2A7B"/>
    <w:rsid w:val="6A9C6283"/>
    <w:rsid w:val="6AA14535"/>
    <w:rsid w:val="6AA87672"/>
    <w:rsid w:val="6AB021BC"/>
    <w:rsid w:val="6ABA6BE3"/>
    <w:rsid w:val="6ABF4AD0"/>
    <w:rsid w:val="6AC10733"/>
    <w:rsid w:val="6AC33FCF"/>
    <w:rsid w:val="6AC41FD2"/>
    <w:rsid w:val="6AC50223"/>
    <w:rsid w:val="6AC83870"/>
    <w:rsid w:val="6ACA583A"/>
    <w:rsid w:val="6AD1136C"/>
    <w:rsid w:val="6AD20B92"/>
    <w:rsid w:val="6AD279A3"/>
    <w:rsid w:val="6AD53A0C"/>
    <w:rsid w:val="6AD9782B"/>
    <w:rsid w:val="6ADE12E5"/>
    <w:rsid w:val="6AE31959"/>
    <w:rsid w:val="6AE329B7"/>
    <w:rsid w:val="6AE54988"/>
    <w:rsid w:val="6AE830D3"/>
    <w:rsid w:val="6AE90161"/>
    <w:rsid w:val="6AEF0481"/>
    <w:rsid w:val="6AF12E6A"/>
    <w:rsid w:val="6AF61850"/>
    <w:rsid w:val="6AF6612B"/>
    <w:rsid w:val="6AF705F9"/>
    <w:rsid w:val="6AF723A7"/>
    <w:rsid w:val="6AFB1E97"/>
    <w:rsid w:val="6B014FD4"/>
    <w:rsid w:val="6B056872"/>
    <w:rsid w:val="6B0F5943"/>
    <w:rsid w:val="6B161576"/>
    <w:rsid w:val="6B164156"/>
    <w:rsid w:val="6B170353"/>
    <w:rsid w:val="6B1906BD"/>
    <w:rsid w:val="6B1A0A48"/>
    <w:rsid w:val="6B1A34D3"/>
    <w:rsid w:val="6B1A4A13"/>
    <w:rsid w:val="6B1E7934"/>
    <w:rsid w:val="6B217424"/>
    <w:rsid w:val="6B23319C"/>
    <w:rsid w:val="6B2A0087"/>
    <w:rsid w:val="6B2A31C1"/>
    <w:rsid w:val="6B2F7520"/>
    <w:rsid w:val="6B362ECF"/>
    <w:rsid w:val="6B364C7D"/>
    <w:rsid w:val="6B397D92"/>
    <w:rsid w:val="6B3C600C"/>
    <w:rsid w:val="6B3F57F2"/>
    <w:rsid w:val="6B400FC4"/>
    <w:rsid w:val="6B421874"/>
    <w:rsid w:val="6B453112"/>
    <w:rsid w:val="6B454EC0"/>
    <w:rsid w:val="6B4E0839"/>
    <w:rsid w:val="6B5275DD"/>
    <w:rsid w:val="6B533A81"/>
    <w:rsid w:val="6B534390"/>
    <w:rsid w:val="6B5477F9"/>
    <w:rsid w:val="6B5670CE"/>
    <w:rsid w:val="6B57393D"/>
    <w:rsid w:val="6B59096C"/>
    <w:rsid w:val="6B594C38"/>
    <w:rsid w:val="6B596BBE"/>
    <w:rsid w:val="6B5C07C8"/>
    <w:rsid w:val="6B607F4C"/>
    <w:rsid w:val="6B623CC4"/>
    <w:rsid w:val="6B686E01"/>
    <w:rsid w:val="6B6A092C"/>
    <w:rsid w:val="6B6C68F1"/>
    <w:rsid w:val="6B6E54C4"/>
    <w:rsid w:val="6B7262DE"/>
    <w:rsid w:val="6B741C4A"/>
    <w:rsid w:val="6B743270"/>
    <w:rsid w:val="6B76151E"/>
    <w:rsid w:val="6B7834E8"/>
    <w:rsid w:val="6B7848A0"/>
    <w:rsid w:val="6B793DC3"/>
    <w:rsid w:val="6B81229F"/>
    <w:rsid w:val="6B8B77E1"/>
    <w:rsid w:val="6B8C0482"/>
    <w:rsid w:val="6B8D38E9"/>
    <w:rsid w:val="6B8E2D0B"/>
    <w:rsid w:val="6B8E4AB9"/>
    <w:rsid w:val="6B8F438D"/>
    <w:rsid w:val="6B9320D0"/>
    <w:rsid w:val="6B950F34"/>
    <w:rsid w:val="6B95409A"/>
    <w:rsid w:val="6B967A7B"/>
    <w:rsid w:val="6B9C5061"/>
    <w:rsid w:val="6B9D011F"/>
    <w:rsid w:val="6B9F008F"/>
    <w:rsid w:val="6BA52EF3"/>
    <w:rsid w:val="6BA81981"/>
    <w:rsid w:val="6BA84BCE"/>
    <w:rsid w:val="6BAE6F0A"/>
    <w:rsid w:val="6BB107A8"/>
    <w:rsid w:val="6BB57574"/>
    <w:rsid w:val="6BB65351"/>
    <w:rsid w:val="6BBA3B00"/>
    <w:rsid w:val="6BBA58AE"/>
    <w:rsid w:val="6BBC1567"/>
    <w:rsid w:val="6BC02799"/>
    <w:rsid w:val="6BC04E8F"/>
    <w:rsid w:val="6BC06C3D"/>
    <w:rsid w:val="6BC229B5"/>
    <w:rsid w:val="6BC71D79"/>
    <w:rsid w:val="6BC93D43"/>
    <w:rsid w:val="6BCB7ABB"/>
    <w:rsid w:val="6BCC17B0"/>
    <w:rsid w:val="6BCC4063"/>
    <w:rsid w:val="6BCC7390"/>
    <w:rsid w:val="6BD3033D"/>
    <w:rsid w:val="6BD36970"/>
    <w:rsid w:val="6BD526E8"/>
    <w:rsid w:val="6BDA7CFF"/>
    <w:rsid w:val="6BDB42FE"/>
    <w:rsid w:val="6BDB4810"/>
    <w:rsid w:val="6BE2124F"/>
    <w:rsid w:val="6BE6246F"/>
    <w:rsid w:val="6BE709D1"/>
    <w:rsid w:val="6BE744F4"/>
    <w:rsid w:val="6BED6C25"/>
    <w:rsid w:val="6BF05467"/>
    <w:rsid w:val="6BF30DC0"/>
    <w:rsid w:val="6BF6440D"/>
    <w:rsid w:val="6BFB489E"/>
    <w:rsid w:val="6C007039"/>
    <w:rsid w:val="6C044D7B"/>
    <w:rsid w:val="6C0528A2"/>
    <w:rsid w:val="6C05346D"/>
    <w:rsid w:val="6C057D41"/>
    <w:rsid w:val="6C0C3A2F"/>
    <w:rsid w:val="6C133210"/>
    <w:rsid w:val="6C1672C1"/>
    <w:rsid w:val="6C1825D5"/>
    <w:rsid w:val="6C186A79"/>
    <w:rsid w:val="6C1A00FB"/>
    <w:rsid w:val="6C216BE8"/>
    <w:rsid w:val="6C2471CC"/>
    <w:rsid w:val="6C265E9E"/>
    <w:rsid w:val="6C2F41D7"/>
    <w:rsid w:val="6C304422"/>
    <w:rsid w:val="6C315445"/>
    <w:rsid w:val="6C3A7D82"/>
    <w:rsid w:val="6C3C4515"/>
    <w:rsid w:val="6C3C4D50"/>
    <w:rsid w:val="6C3D203B"/>
    <w:rsid w:val="6C3D2EA4"/>
    <w:rsid w:val="6C3F23AE"/>
    <w:rsid w:val="6C3F4006"/>
    <w:rsid w:val="6C403C57"/>
    <w:rsid w:val="6C452E70"/>
    <w:rsid w:val="6C472EBA"/>
    <w:rsid w:val="6C496C32"/>
    <w:rsid w:val="6C4D6722"/>
    <w:rsid w:val="6C4E4249"/>
    <w:rsid w:val="6C5850C7"/>
    <w:rsid w:val="6C5B2F36"/>
    <w:rsid w:val="6C5E551A"/>
    <w:rsid w:val="6C681E3D"/>
    <w:rsid w:val="6C6B54E9"/>
    <w:rsid w:val="6C6E29DA"/>
    <w:rsid w:val="6C7259AB"/>
    <w:rsid w:val="6C7641B1"/>
    <w:rsid w:val="6C787517"/>
    <w:rsid w:val="6C7C7ED1"/>
    <w:rsid w:val="6C833B24"/>
    <w:rsid w:val="6C8639E2"/>
    <w:rsid w:val="6C8845F7"/>
    <w:rsid w:val="6C8B724B"/>
    <w:rsid w:val="6C8C6B1F"/>
    <w:rsid w:val="6C8E6D3B"/>
    <w:rsid w:val="6C9102FF"/>
    <w:rsid w:val="6C950756"/>
    <w:rsid w:val="6CA51EA5"/>
    <w:rsid w:val="6CA65E33"/>
    <w:rsid w:val="6CA96BCC"/>
    <w:rsid w:val="6CA976D1"/>
    <w:rsid w:val="6CAB169B"/>
    <w:rsid w:val="6CAC7C61"/>
    <w:rsid w:val="6CB073F0"/>
    <w:rsid w:val="6CB56076"/>
    <w:rsid w:val="6CB93DB8"/>
    <w:rsid w:val="6CB95B66"/>
    <w:rsid w:val="6CBC3EB2"/>
    <w:rsid w:val="6CBD0AE3"/>
    <w:rsid w:val="6CBE13CE"/>
    <w:rsid w:val="6CBE6221"/>
    <w:rsid w:val="6CBF6EF4"/>
    <w:rsid w:val="6CC462B9"/>
    <w:rsid w:val="6CC8224D"/>
    <w:rsid w:val="6CC938CF"/>
    <w:rsid w:val="6CCB3AEB"/>
    <w:rsid w:val="6CCD0389"/>
    <w:rsid w:val="6CCD1611"/>
    <w:rsid w:val="6CCD37A9"/>
    <w:rsid w:val="6CD37761"/>
    <w:rsid w:val="6CD401C3"/>
    <w:rsid w:val="6CD56718"/>
    <w:rsid w:val="6CD615B0"/>
    <w:rsid w:val="6CD97FB6"/>
    <w:rsid w:val="6CDA5CED"/>
    <w:rsid w:val="6CDA788A"/>
    <w:rsid w:val="6CDB70F0"/>
    <w:rsid w:val="6CDD1A3E"/>
    <w:rsid w:val="6CDE55CC"/>
    <w:rsid w:val="6CE10C19"/>
    <w:rsid w:val="6CE626D3"/>
    <w:rsid w:val="6CE64481"/>
    <w:rsid w:val="6CE709A0"/>
    <w:rsid w:val="6CE77FFE"/>
    <w:rsid w:val="6CEB5F3B"/>
    <w:rsid w:val="6CF03552"/>
    <w:rsid w:val="6CF05300"/>
    <w:rsid w:val="6CF342D7"/>
    <w:rsid w:val="6CF52A43"/>
    <w:rsid w:val="6CFC1EF7"/>
    <w:rsid w:val="6CFD28A6"/>
    <w:rsid w:val="6D0019E7"/>
    <w:rsid w:val="6D050DAB"/>
    <w:rsid w:val="6D056FFD"/>
    <w:rsid w:val="6D062D75"/>
    <w:rsid w:val="6D107750"/>
    <w:rsid w:val="6D1234C8"/>
    <w:rsid w:val="6D17288C"/>
    <w:rsid w:val="6D25144D"/>
    <w:rsid w:val="6D264001"/>
    <w:rsid w:val="6D282CEC"/>
    <w:rsid w:val="6D285AAD"/>
    <w:rsid w:val="6D286848"/>
    <w:rsid w:val="6D2D3E5E"/>
    <w:rsid w:val="6D341690"/>
    <w:rsid w:val="6D371181"/>
    <w:rsid w:val="6D3F3B91"/>
    <w:rsid w:val="6D4657DF"/>
    <w:rsid w:val="6D475F5F"/>
    <w:rsid w:val="6D535528"/>
    <w:rsid w:val="6D55593E"/>
    <w:rsid w:val="6D5910F7"/>
    <w:rsid w:val="6D5F40F0"/>
    <w:rsid w:val="6D602A51"/>
    <w:rsid w:val="6D627806"/>
    <w:rsid w:val="6D627F42"/>
    <w:rsid w:val="6D635AD2"/>
    <w:rsid w:val="6D6B4986"/>
    <w:rsid w:val="6D716441"/>
    <w:rsid w:val="6D761CA9"/>
    <w:rsid w:val="6D77157D"/>
    <w:rsid w:val="6D777848"/>
    <w:rsid w:val="6D78515E"/>
    <w:rsid w:val="6D785A21"/>
    <w:rsid w:val="6D7970A3"/>
    <w:rsid w:val="6D7D3037"/>
    <w:rsid w:val="6D7F6FE9"/>
    <w:rsid w:val="6D7F7D4C"/>
    <w:rsid w:val="6D800EA4"/>
    <w:rsid w:val="6D851EEC"/>
    <w:rsid w:val="6D873A3E"/>
    <w:rsid w:val="6D8B6DC6"/>
    <w:rsid w:val="6D9A680E"/>
    <w:rsid w:val="6D9B3E6F"/>
    <w:rsid w:val="6D9D0BA0"/>
    <w:rsid w:val="6DA00AD4"/>
    <w:rsid w:val="6DA30C83"/>
    <w:rsid w:val="6DA32372"/>
    <w:rsid w:val="6DA63D6E"/>
    <w:rsid w:val="6DA85BDA"/>
    <w:rsid w:val="6DA87A71"/>
    <w:rsid w:val="6DAA1953"/>
    <w:rsid w:val="6DAF6F69"/>
    <w:rsid w:val="6DB12CE1"/>
    <w:rsid w:val="6DB620A5"/>
    <w:rsid w:val="6DB8406F"/>
    <w:rsid w:val="6DB8616B"/>
    <w:rsid w:val="6DBB3A8B"/>
    <w:rsid w:val="6DBB3B60"/>
    <w:rsid w:val="6DC20A4A"/>
    <w:rsid w:val="6DC347C2"/>
    <w:rsid w:val="6DCB0E0F"/>
    <w:rsid w:val="6DCD6471"/>
    <w:rsid w:val="6DCF2230"/>
    <w:rsid w:val="6DD10823"/>
    <w:rsid w:val="6DD53F7B"/>
    <w:rsid w:val="6DDB589A"/>
    <w:rsid w:val="6DDD7632"/>
    <w:rsid w:val="6DDE1136"/>
    <w:rsid w:val="6DE07122"/>
    <w:rsid w:val="6DE44E65"/>
    <w:rsid w:val="6DE5298B"/>
    <w:rsid w:val="6DE611E8"/>
    <w:rsid w:val="6DEA1D4F"/>
    <w:rsid w:val="6DEB2489"/>
    <w:rsid w:val="6DEE183F"/>
    <w:rsid w:val="6DF130DE"/>
    <w:rsid w:val="6DF332FA"/>
    <w:rsid w:val="6DFA4688"/>
    <w:rsid w:val="6DFD37D1"/>
    <w:rsid w:val="6DFE19B3"/>
    <w:rsid w:val="6E020C56"/>
    <w:rsid w:val="6E021343"/>
    <w:rsid w:val="6E054DDB"/>
    <w:rsid w:val="6E072901"/>
    <w:rsid w:val="6E076DA5"/>
    <w:rsid w:val="6E0A02F8"/>
    <w:rsid w:val="6E0C6169"/>
    <w:rsid w:val="6E0D7F8E"/>
    <w:rsid w:val="6E0E5912"/>
    <w:rsid w:val="6E14501E"/>
    <w:rsid w:val="6E152CDB"/>
    <w:rsid w:val="6E162B44"/>
    <w:rsid w:val="6E182D60"/>
    <w:rsid w:val="6E185038"/>
    <w:rsid w:val="6E193282"/>
    <w:rsid w:val="6E1E3CE9"/>
    <w:rsid w:val="6E2214E9"/>
    <w:rsid w:val="6E241705"/>
    <w:rsid w:val="6E243876"/>
    <w:rsid w:val="6E25722B"/>
    <w:rsid w:val="6E2C05BA"/>
    <w:rsid w:val="6E2E4442"/>
    <w:rsid w:val="6E2E7E8E"/>
    <w:rsid w:val="6E2F3C06"/>
    <w:rsid w:val="6E313E22"/>
    <w:rsid w:val="6E364F94"/>
    <w:rsid w:val="6E396C92"/>
    <w:rsid w:val="6E3A30F1"/>
    <w:rsid w:val="6E3C77B4"/>
    <w:rsid w:val="6E3D27C7"/>
    <w:rsid w:val="6E421EB0"/>
    <w:rsid w:val="6E4320F4"/>
    <w:rsid w:val="6E46167B"/>
    <w:rsid w:val="6E494CC8"/>
    <w:rsid w:val="6E4A0A40"/>
    <w:rsid w:val="6E4C0C5C"/>
    <w:rsid w:val="6E4E0530"/>
    <w:rsid w:val="6E535B46"/>
    <w:rsid w:val="6E5721D7"/>
    <w:rsid w:val="6E5A6ED5"/>
    <w:rsid w:val="6E5D0773"/>
    <w:rsid w:val="6E641B01"/>
    <w:rsid w:val="6E657628"/>
    <w:rsid w:val="6E663ACB"/>
    <w:rsid w:val="6E6A1647"/>
    <w:rsid w:val="6E6D289C"/>
    <w:rsid w:val="6E7066F8"/>
    <w:rsid w:val="6E712470"/>
    <w:rsid w:val="6E7361E8"/>
    <w:rsid w:val="6E751A95"/>
    <w:rsid w:val="6E775CD9"/>
    <w:rsid w:val="6E781A51"/>
    <w:rsid w:val="6E791F80"/>
    <w:rsid w:val="6E7A1325"/>
    <w:rsid w:val="6E7A30D3"/>
    <w:rsid w:val="6E7D3C18"/>
    <w:rsid w:val="6E7D7067"/>
    <w:rsid w:val="6E8265BC"/>
    <w:rsid w:val="6E8403F6"/>
    <w:rsid w:val="6E843F52"/>
    <w:rsid w:val="6E882595"/>
    <w:rsid w:val="6E8B3A13"/>
    <w:rsid w:val="6E8B52E0"/>
    <w:rsid w:val="6E8E6B7E"/>
    <w:rsid w:val="6E91666F"/>
    <w:rsid w:val="6E970F9D"/>
    <w:rsid w:val="6E9A3775"/>
    <w:rsid w:val="6E9C6C63"/>
    <w:rsid w:val="6E9E14B7"/>
    <w:rsid w:val="6E9E3366"/>
    <w:rsid w:val="6EA44F40"/>
    <w:rsid w:val="6EA55515"/>
    <w:rsid w:val="6EA6036C"/>
    <w:rsid w:val="6EA63EC8"/>
    <w:rsid w:val="6EA64666"/>
    <w:rsid w:val="6EAC4604"/>
    <w:rsid w:val="6EAE3FED"/>
    <w:rsid w:val="6EAE7221"/>
    <w:rsid w:val="6EAE733F"/>
    <w:rsid w:val="6EB04D47"/>
    <w:rsid w:val="6EB6115A"/>
    <w:rsid w:val="6EB83BFB"/>
    <w:rsid w:val="6EBF31DC"/>
    <w:rsid w:val="6EC1684B"/>
    <w:rsid w:val="6EC207A9"/>
    <w:rsid w:val="6EC425A0"/>
    <w:rsid w:val="6EC84CF0"/>
    <w:rsid w:val="6EC94BCE"/>
    <w:rsid w:val="6ED07EFC"/>
    <w:rsid w:val="6ED8429D"/>
    <w:rsid w:val="6EDC1FE0"/>
    <w:rsid w:val="6EDC2415"/>
    <w:rsid w:val="6EDF562C"/>
    <w:rsid w:val="6EE21242"/>
    <w:rsid w:val="6EE8016F"/>
    <w:rsid w:val="6EEC71C0"/>
    <w:rsid w:val="6EEF158D"/>
    <w:rsid w:val="6EF530A1"/>
    <w:rsid w:val="6EFF182A"/>
    <w:rsid w:val="6EFF5B4B"/>
    <w:rsid w:val="6F0B4673"/>
    <w:rsid w:val="6F0D2199"/>
    <w:rsid w:val="6F0E7CBF"/>
    <w:rsid w:val="6F122D5A"/>
    <w:rsid w:val="6F1572A0"/>
    <w:rsid w:val="6F1C062E"/>
    <w:rsid w:val="6F2153CA"/>
    <w:rsid w:val="6F2179F2"/>
    <w:rsid w:val="6F241291"/>
    <w:rsid w:val="6F247563"/>
    <w:rsid w:val="6F251C0C"/>
    <w:rsid w:val="6F272D95"/>
    <w:rsid w:val="6F2B6AC3"/>
    <w:rsid w:val="6F2D283B"/>
    <w:rsid w:val="6F3462E0"/>
    <w:rsid w:val="6F375468"/>
    <w:rsid w:val="6F3A0AB4"/>
    <w:rsid w:val="6F3A76A3"/>
    <w:rsid w:val="6F3C2A7E"/>
    <w:rsid w:val="6F422D16"/>
    <w:rsid w:val="6F4B4E12"/>
    <w:rsid w:val="6F4D70B5"/>
    <w:rsid w:val="6F543924"/>
    <w:rsid w:val="6F545424"/>
    <w:rsid w:val="6F5C4ECE"/>
    <w:rsid w:val="6F5E47A3"/>
    <w:rsid w:val="6F60676D"/>
    <w:rsid w:val="6F614293"/>
    <w:rsid w:val="6F616041"/>
    <w:rsid w:val="6F6F3A30"/>
    <w:rsid w:val="6F702D87"/>
    <w:rsid w:val="6F7044D6"/>
    <w:rsid w:val="6F71349E"/>
    <w:rsid w:val="6F743FC6"/>
    <w:rsid w:val="6F745D74"/>
    <w:rsid w:val="6F76189C"/>
    <w:rsid w:val="6F765F90"/>
    <w:rsid w:val="6F773AB6"/>
    <w:rsid w:val="6F7E0E44"/>
    <w:rsid w:val="6F7F6D2F"/>
    <w:rsid w:val="6F800BBD"/>
    <w:rsid w:val="6F817B96"/>
    <w:rsid w:val="6F834209"/>
    <w:rsid w:val="6F871F6E"/>
    <w:rsid w:val="6F881820"/>
    <w:rsid w:val="6F892F9E"/>
    <w:rsid w:val="6F8C2B70"/>
    <w:rsid w:val="6F8F0E00"/>
    <w:rsid w:val="6F91234A"/>
    <w:rsid w:val="6F912ED7"/>
    <w:rsid w:val="6F944668"/>
    <w:rsid w:val="6F9603E0"/>
    <w:rsid w:val="6F962C3B"/>
    <w:rsid w:val="6F981017"/>
    <w:rsid w:val="6F997ED1"/>
    <w:rsid w:val="6FA50623"/>
    <w:rsid w:val="6FAA2EC7"/>
    <w:rsid w:val="6FAA5C3A"/>
    <w:rsid w:val="6FAD76D1"/>
    <w:rsid w:val="6FAE4582"/>
    <w:rsid w:val="6FB67B0B"/>
    <w:rsid w:val="6FB95E7D"/>
    <w:rsid w:val="6FBE0EEA"/>
    <w:rsid w:val="6FBE16E5"/>
    <w:rsid w:val="6FBE6845"/>
    <w:rsid w:val="6FC565D0"/>
    <w:rsid w:val="6FC767EC"/>
    <w:rsid w:val="6FCF38F2"/>
    <w:rsid w:val="6FCF744E"/>
    <w:rsid w:val="6FD2169D"/>
    <w:rsid w:val="6FD33957"/>
    <w:rsid w:val="6FD45E2B"/>
    <w:rsid w:val="6FD80BB7"/>
    <w:rsid w:val="6FD91865"/>
    <w:rsid w:val="6FDF37AC"/>
    <w:rsid w:val="6FE134B0"/>
    <w:rsid w:val="6FE253D4"/>
    <w:rsid w:val="6FE67C46"/>
    <w:rsid w:val="6FE70092"/>
    <w:rsid w:val="6FE75301"/>
    <w:rsid w:val="6FEC1DAE"/>
    <w:rsid w:val="6FF00FE9"/>
    <w:rsid w:val="6FF13CE9"/>
    <w:rsid w:val="6FF375E1"/>
    <w:rsid w:val="6FF46EB5"/>
    <w:rsid w:val="6FF54188"/>
    <w:rsid w:val="6FF818D2"/>
    <w:rsid w:val="6FFB46E7"/>
    <w:rsid w:val="6FFD3FBC"/>
    <w:rsid w:val="6FFD5F05"/>
    <w:rsid w:val="70003AAC"/>
    <w:rsid w:val="70031467"/>
    <w:rsid w:val="700A0487"/>
    <w:rsid w:val="700D7F77"/>
    <w:rsid w:val="700E10B7"/>
    <w:rsid w:val="700E441B"/>
    <w:rsid w:val="70115CB9"/>
    <w:rsid w:val="70117A67"/>
    <w:rsid w:val="7015583D"/>
    <w:rsid w:val="70156034"/>
    <w:rsid w:val="70187047"/>
    <w:rsid w:val="701D28B0"/>
    <w:rsid w:val="70205EFC"/>
    <w:rsid w:val="70227EC6"/>
    <w:rsid w:val="70235E7F"/>
    <w:rsid w:val="7023779A"/>
    <w:rsid w:val="70283432"/>
    <w:rsid w:val="702E686B"/>
    <w:rsid w:val="703025E3"/>
    <w:rsid w:val="703419A7"/>
    <w:rsid w:val="70346B50"/>
    <w:rsid w:val="703E6382"/>
    <w:rsid w:val="70422316"/>
    <w:rsid w:val="70425E72"/>
    <w:rsid w:val="704503CA"/>
    <w:rsid w:val="70470505"/>
    <w:rsid w:val="704A3650"/>
    <w:rsid w:val="704C0A9F"/>
    <w:rsid w:val="704C6DE5"/>
    <w:rsid w:val="704E2A69"/>
    <w:rsid w:val="70542970"/>
    <w:rsid w:val="70566167"/>
    <w:rsid w:val="705931BC"/>
    <w:rsid w:val="705D2071"/>
    <w:rsid w:val="705D7312"/>
    <w:rsid w:val="7060454A"/>
    <w:rsid w:val="70616A73"/>
    <w:rsid w:val="70631275"/>
    <w:rsid w:val="706456CA"/>
    <w:rsid w:val="70666005"/>
    <w:rsid w:val="706B1F69"/>
    <w:rsid w:val="707324D0"/>
    <w:rsid w:val="70741DA4"/>
    <w:rsid w:val="70763D6E"/>
    <w:rsid w:val="70776CBE"/>
    <w:rsid w:val="707E38C7"/>
    <w:rsid w:val="707F70C6"/>
    <w:rsid w:val="70853FB1"/>
    <w:rsid w:val="70862203"/>
    <w:rsid w:val="70871AD7"/>
    <w:rsid w:val="708B7819"/>
    <w:rsid w:val="708E730A"/>
    <w:rsid w:val="70907CDF"/>
    <w:rsid w:val="709100FA"/>
    <w:rsid w:val="70942841"/>
    <w:rsid w:val="70952446"/>
    <w:rsid w:val="709661BE"/>
    <w:rsid w:val="7098100D"/>
    <w:rsid w:val="709B37D5"/>
    <w:rsid w:val="709E37B2"/>
    <w:rsid w:val="70A53DE2"/>
    <w:rsid w:val="70A97C9F"/>
    <w:rsid w:val="70AE6490"/>
    <w:rsid w:val="70B03FD1"/>
    <w:rsid w:val="70B623BC"/>
    <w:rsid w:val="70B77E27"/>
    <w:rsid w:val="70C04599"/>
    <w:rsid w:val="70C13D2D"/>
    <w:rsid w:val="70C40F7D"/>
    <w:rsid w:val="70C525FF"/>
    <w:rsid w:val="70C60851"/>
    <w:rsid w:val="70D171F6"/>
    <w:rsid w:val="70DC62C7"/>
    <w:rsid w:val="70DD5B9B"/>
    <w:rsid w:val="70DE5E6C"/>
    <w:rsid w:val="70E46F2A"/>
    <w:rsid w:val="70E5205F"/>
    <w:rsid w:val="70E54A0E"/>
    <w:rsid w:val="70E73C06"/>
    <w:rsid w:val="70E80E88"/>
    <w:rsid w:val="70ED2282"/>
    <w:rsid w:val="70ED4030"/>
    <w:rsid w:val="70ED7DC7"/>
    <w:rsid w:val="70EE4C7D"/>
    <w:rsid w:val="70F25624"/>
    <w:rsid w:val="70F32773"/>
    <w:rsid w:val="70FA5A7D"/>
    <w:rsid w:val="70FB534E"/>
    <w:rsid w:val="70FD0756"/>
    <w:rsid w:val="70FD5AF2"/>
    <w:rsid w:val="70FE1AE4"/>
    <w:rsid w:val="70FF3D63"/>
    <w:rsid w:val="71000934"/>
    <w:rsid w:val="71025602"/>
    <w:rsid w:val="71047B41"/>
    <w:rsid w:val="710E3FA6"/>
    <w:rsid w:val="71101B0C"/>
    <w:rsid w:val="711041C2"/>
    <w:rsid w:val="71105F71"/>
    <w:rsid w:val="71185E1A"/>
    <w:rsid w:val="711F4749"/>
    <w:rsid w:val="711F7F62"/>
    <w:rsid w:val="712102C0"/>
    <w:rsid w:val="71211F2C"/>
    <w:rsid w:val="712832BA"/>
    <w:rsid w:val="712C721A"/>
    <w:rsid w:val="71303A3D"/>
    <w:rsid w:val="7134245B"/>
    <w:rsid w:val="713954C7"/>
    <w:rsid w:val="71397275"/>
    <w:rsid w:val="713F23B2"/>
    <w:rsid w:val="714A3C7B"/>
    <w:rsid w:val="714D13E5"/>
    <w:rsid w:val="714E0847"/>
    <w:rsid w:val="71503EBD"/>
    <w:rsid w:val="7152012A"/>
    <w:rsid w:val="71520337"/>
    <w:rsid w:val="715730D0"/>
    <w:rsid w:val="715F2A54"/>
    <w:rsid w:val="716167CC"/>
    <w:rsid w:val="7164006A"/>
    <w:rsid w:val="71687B5B"/>
    <w:rsid w:val="716D2DA3"/>
    <w:rsid w:val="71705E05"/>
    <w:rsid w:val="71713B16"/>
    <w:rsid w:val="71720F5D"/>
    <w:rsid w:val="71744751"/>
    <w:rsid w:val="71755DD4"/>
    <w:rsid w:val="71774472"/>
    <w:rsid w:val="717C53B4"/>
    <w:rsid w:val="717D0435"/>
    <w:rsid w:val="71836742"/>
    <w:rsid w:val="718B55F7"/>
    <w:rsid w:val="718C6773"/>
    <w:rsid w:val="719170B1"/>
    <w:rsid w:val="71922E29"/>
    <w:rsid w:val="719941B8"/>
    <w:rsid w:val="719B1CDE"/>
    <w:rsid w:val="719D21D5"/>
    <w:rsid w:val="719E17CE"/>
    <w:rsid w:val="71A212BE"/>
    <w:rsid w:val="71A4709A"/>
    <w:rsid w:val="71A5490B"/>
    <w:rsid w:val="71A6149F"/>
    <w:rsid w:val="71A70C8A"/>
    <w:rsid w:val="71A768D5"/>
    <w:rsid w:val="71A861A9"/>
    <w:rsid w:val="71AA0173"/>
    <w:rsid w:val="71AA1F21"/>
    <w:rsid w:val="71AD1A11"/>
    <w:rsid w:val="71AD7C63"/>
    <w:rsid w:val="71B11502"/>
    <w:rsid w:val="71B501EB"/>
    <w:rsid w:val="71B608C6"/>
    <w:rsid w:val="71B73BB5"/>
    <w:rsid w:val="71BB5EDC"/>
    <w:rsid w:val="71BC3A02"/>
    <w:rsid w:val="71BD004A"/>
    <w:rsid w:val="71C805F9"/>
    <w:rsid w:val="71C8684B"/>
    <w:rsid w:val="71CB6314"/>
    <w:rsid w:val="71CC4DDF"/>
    <w:rsid w:val="71CD3E62"/>
    <w:rsid w:val="71CE5AF7"/>
    <w:rsid w:val="71D15700"/>
    <w:rsid w:val="71D3338E"/>
    <w:rsid w:val="71D67B32"/>
    <w:rsid w:val="71D87E69"/>
    <w:rsid w:val="71DC393E"/>
    <w:rsid w:val="71E01DE7"/>
    <w:rsid w:val="71E03B95"/>
    <w:rsid w:val="71E05943"/>
    <w:rsid w:val="71E371E1"/>
    <w:rsid w:val="71E40E64"/>
    <w:rsid w:val="71EC42E8"/>
    <w:rsid w:val="71F17ACA"/>
    <w:rsid w:val="71F25676"/>
    <w:rsid w:val="71FA6539"/>
    <w:rsid w:val="71FC2C99"/>
    <w:rsid w:val="72023B0B"/>
    <w:rsid w:val="720A6E64"/>
    <w:rsid w:val="720F436A"/>
    <w:rsid w:val="72114AAA"/>
    <w:rsid w:val="72141A90"/>
    <w:rsid w:val="7214383E"/>
    <w:rsid w:val="72150868"/>
    <w:rsid w:val="721536FE"/>
    <w:rsid w:val="721750DD"/>
    <w:rsid w:val="7218194A"/>
    <w:rsid w:val="721910BE"/>
    <w:rsid w:val="721C43D7"/>
    <w:rsid w:val="721F290F"/>
    <w:rsid w:val="722021E3"/>
    <w:rsid w:val="72275556"/>
    <w:rsid w:val="72292A47"/>
    <w:rsid w:val="722C2936"/>
    <w:rsid w:val="722F1EB8"/>
    <w:rsid w:val="722F68CA"/>
    <w:rsid w:val="72303324"/>
    <w:rsid w:val="72312642"/>
    <w:rsid w:val="72343EE1"/>
    <w:rsid w:val="72345C8F"/>
    <w:rsid w:val="72357C2E"/>
    <w:rsid w:val="723C32CE"/>
    <w:rsid w:val="723F4C6C"/>
    <w:rsid w:val="72414903"/>
    <w:rsid w:val="72451C4A"/>
    <w:rsid w:val="724A54B2"/>
    <w:rsid w:val="724C51C6"/>
    <w:rsid w:val="724D0AFE"/>
    <w:rsid w:val="724E6D50"/>
    <w:rsid w:val="724F43E0"/>
    <w:rsid w:val="72514749"/>
    <w:rsid w:val="72516841"/>
    <w:rsid w:val="72556331"/>
    <w:rsid w:val="725A21C1"/>
    <w:rsid w:val="726305E9"/>
    <w:rsid w:val="72634067"/>
    <w:rsid w:val="72646574"/>
    <w:rsid w:val="726D4139"/>
    <w:rsid w:val="726F2532"/>
    <w:rsid w:val="7270316B"/>
    <w:rsid w:val="727330E4"/>
    <w:rsid w:val="72750781"/>
    <w:rsid w:val="72774E77"/>
    <w:rsid w:val="72785B7B"/>
    <w:rsid w:val="727D2CEA"/>
    <w:rsid w:val="727E14FC"/>
    <w:rsid w:val="728564EA"/>
    <w:rsid w:val="728726BA"/>
    <w:rsid w:val="72895FDA"/>
    <w:rsid w:val="7291002D"/>
    <w:rsid w:val="72920575"/>
    <w:rsid w:val="72930C07"/>
    <w:rsid w:val="729606F7"/>
    <w:rsid w:val="72985D7F"/>
    <w:rsid w:val="729907F9"/>
    <w:rsid w:val="729B4DB1"/>
    <w:rsid w:val="729C2C4B"/>
    <w:rsid w:val="729D55E2"/>
    <w:rsid w:val="729F57FE"/>
    <w:rsid w:val="72A2709C"/>
    <w:rsid w:val="72A9669C"/>
    <w:rsid w:val="72AA7CFF"/>
    <w:rsid w:val="72AC5854"/>
    <w:rsid w:val="72AF2235"/>
    <w:rsid w:val="72B15531"/>
    <w:rsid w:val="72B214D6"/>
    <w:rsid w:val="72B51C51"/>
    <w:rsid w:val="72B62B48"/>
    <w:rsid w:val="72BA43E6"/>
    <w:rsid w:val="72BB1F0C"/>
    <w:rsid w:val="72BD7A32"/>
    <w:rsid w:val="72BE407D"/>
    <w:rsid w:val="72C23702"/>
    <w:rsid w:val="72C2773E"/>
    <w:rsid w:val="72C30E84"/>
    <w:rsid w:val="72C834C6"/>
    <w:rsid w:val="72C963D7"/>
    <w:rsid w:val="72CC5EC7"/>
    <w:rsid w:val="72CE1C3F"/>
    <w:rsid w:val="72D07765"/>
    <w:rsid w:val="72D54D7C"/>
    <w:rsid w:val="72D77926"/>
    <w:rsid w:val="72D80D10"/>
    <w:rsid w:val="72D82ABE"/>
    <w:rsid w:val="72DC1507"/>
    <w:rsid w:val="72E26575"/>
    <w:rsid w:val="72E8136F"/>
    <w:rsid w:val="72EB459F"/>
    <w:rsid w:val="72EC2FDA"/>
    <w:rsid w:val="72F1592E"/>
    <w:rsid w:val="72F71196"/>
    <w:rsid w:val="72F800FB"/>
    <w:rsid w:val="72F84F0E"/>
    <w:rsid w:val="72F97B71"/>
    <w:rsid w:val="72FD42D3"/>
    <w:rsid w:val="73025D8D"/>
    <w:rsid w:val="730527A4"/>
    <w:rsid w:val="73064C79"/>
    <w:rsid w:val="7306587D"/>
    <w:rsid w:val="73075151"/>
    <w:rsid w:val="73076EFF"/>
    <w:rsid w:val="7309076E"/>
    <w:rsid w:val="73090EC9"/>
    <w:rsid w:val="73092C77"/>
    <w:rsid w:val="7309711B"/>
    <w:rsid w:val="730F423F"/>
    <w:rsid w:val="73104006"/>
    <w:rsid w:val="73124222"/>
    <w:rsid w:val="73131D48"/>
    <w:rsid w:val="73161279"/>
    <w:rsid w:val="73174146"/>
    <w:rsid w:val="73192BD2"/>
    <w:rsid w:val="73214465"/>
    <w:rsid w:val="73223D39"/>
    <w:rsid w:val="732775A1"/>
    <w:rsid w:val="73292597"/>
    <w:rsid w:val="7329331A"/>
    <w:rsid w:val="732A3B2E"/>
    <w:rsid w:val="733046A8"/>
    <w:rsid w:val="73327137"/>
    <w:rsid w:val="73331915"/>
    <w:rsid w:val="73334255"/>
    <w:rsid w:val="733E6DC5"/>
    <w:rsid w:val="733F0D8F"/>
    <w:rsid w:val="73427F88"/>
    <w:rsid w:val="73440153"/>
    <w:rsid w:val="734B14E2"/>
    <w:rsid w:val="734D7008"/>
    <w:rsid w:val="7350597D"/>
    <w:rsid w:val="735063D7"/>
    <w:rsid w:val="73506AF8"/>
    <w:rsid w:val="73546D3E"/>
    <w:rsid w:val="73563370"/>
    <w:rsid w:val="73593E7F"/>
    <w:rsid w:val="735A34D3"/>
    <w:rsid w:val="735E7467"/>
    <w:rsid w:val="73610D05"/>
    <w:rsid w:val="73637E11"/>
    <w:rsid w:val="73677564"/>
    <w:rsid w:val="73697BBA"/>
    <w:rsid w:val="736B3932"/>
    <w:rsid w:val="736E51D0"/>
    <w:rsid w:val="736E6F7E"/>
    <w:rsid w:val="737536A7"/>
    <w:rsid w:val="73760479"/>
    <w:rsid w:val="73775FE8"/>
    <w:rsid w:val="737C169B"/>
    <w:rsid w:val="737C78ED"/>
    <w:rsid w:val="737D4C63"/>
    <w:rsid w:val="737E5413"/>
    <w:rsid w:val="737E5C2D"/>
    <w:rsid w:val="738806AE"/>
    <w:rsid w:val="738B5A23"/>
    <w:rsid w:val="738C32BA"/>
    <w:rsid w:val="738F33AD"/>
    <w:rsid w:val="738F7621"/>
    <w:rsid w:val="73903399"/>
    <w:rsid w:val="739151FB"/>
    <w:rsid w:val="739369E5"/>
    <w:rsid w:val="739629B5"/>
    <w:rsid w:val="73987651"/>
    <w:rsid w:val="739C0649"/>
    <w:rsid w:val="739F1EBE"/>
    <w:rsid w:val="73A3056D"/>
    <w:rsid w:val="73A56E44"/>
    <w:rsid w:val="73B259C8"/>
    <w:rsid w:val="73B3412C"/>
    <w:rsid w:val="73B40854"/>
    <w:rsid w:val="73B80FED"/>
    <w:rsid w:val="73BA21C4"/>
    <w:rsid w:val="73BB6668"/>
    <w:rsid w:val="73BD5740"/>
    <w:rsid w:val="73BE1CB4"/>
    <w:rsid w:val="73BF4099"/>
    <w:rsid w:val="73C372CA"/>
    <w:rsid w:val="73C66DBA"/>
    <w:rsid w:val="73C848E1"/>
    <w:rsid w:val="73C853F5"/>
    <w:rsid w:val="73C95AB9"/>
    <w:rsid w:val="73CA68AB"/>
    <w:rsid w:val="73CC2623"/>
    <w:rsid w:val="73CF5C6F"/>
    <w:rsid w:val="73D01D99"/>
    <w:rsid w:val="73D03795"/>
    <w:rsid w:val="73D47729"/>
    <w:rsid w:val="73D50144"/>
    <w:rsid w:val="73DB2866"/>
    <w:rsid w:val="73DB2B08"/>
    <w:rsid w:val="73E21E46"/>
    <w:rsid w:val="73E334C8"/>
    <w:rsid w:val="73E536E4"/>
    <w:rsid w:val="73E62FB9"/>
    <w:rsid w:val="73E81B7A"/>
    <w:rsid w:val="73E8718C"/>
    <w:rsid w:val="73EB236A"/>
    <w:rsid w:val="73EC08DB"/>
    <w:rsid w:val="73ED2599"/>
    <w:rsid w:val="73EE6D96"/>
    <w:rsid w:val="73F6144E"/>
    <w:rsid w:val="73F71F01"/>
    <w:rsid w:val="73FF60D8"/>
    <w:rsid w:val="740022CC"/>
    <w:rsid w:val="74031DBD"/>
    <w:rsid w:val="7406442C"/>
    <w:rsid w:val="740A314B"/>
    <w:rsid w:val="740A4EF9"/>
    <w:rsid w:val="740B4400"/>
    <w:rsid w:val="740C0C71"/>
    <w:rsid w:val="74116E20"/>
    <w:rsid w:val="74122000"/>
    <w:rsid w:val="7416664E"/>
    <w:rsid w:val="74177616"/>
    <w:rsid w:val="741A57BD"/>
    <w:rsid w:val="741C4C2C"/>
    <w:rsid w:val="741E709D"/>
    <w:rsid w:val="7421730C"/>
    <w:rsid w:val="742330DD"/>
    <w:rsid w:val="742D0BE7"/>
    <w:rsid w:val="743401C8"/>
    <w:rsid w:val="74355A4B"/>
    <w:rsid w:val="74356371"/>
    <w:rsid w:val="74367A9C"/>
    <w:rsid w:val="743B1556"/>
    <w:rsid w:val="743E1047"/>
    <w:rsid w:val="743E37CE"/>
    <w:rsid w:val="743F5C73"/>
    <w:rsid w:val="74406B6D"/>
    <w:rsid w:val="74411D8B"/>
    <w:rsid w:val="74437470"/>
    <w:rsid w:val="744877CF"/>
    <w:rsid w:val="74493C73"/>
    <w:rsid w:val="744D3038"/>
    <w:rsid w:val="744F4027"/>
    <w:rsid w:val="745148D6"/>
    <w:rsid w:val="745368A0"/>
    <w:rsid w:val="7456013E"/>
    <w:rsid w:val="7459531B"/>
    <w:rsid w:val="745D14CD"/>
    <w:rsid w:val="745E73DB"/>
    <w:rsid w:val="74604B19"/>
    <w:rsid w:val="74627647"/>
    <w:rsid w:val="74640AAD"/>
    <w:rsid w:val="74654825"/>
    <w:rsid w:val="746D0776"/>
    <w:rsid w:val="746F2FAE"/>
    <w:rsid w:val="74747483"/>
    <w:rsid w:val="74755D42"/>
    <w:rsid w:val="747B1953"/>
    <w:rsid w:val="747B2A32"/>
    <w:rsid w:val="747B4785"/>
    <w:rsid w:val="747B7C17"/>
    <w:rsid w:val="74827185"/>
    <w:rsid w:val="74844CAB"/>
    <w:rsid w:val="74856C75"/>
    <w:rsid w:val="748C1DB2"/>
    <w:rsid w:val="748C3B60"/>
    <w:rsid w:val="748F3474"/>
    <w:rsid w:val="748F3650"/>
    <w:rsid w:val="74911176"/>
    <w:rsid w:val="74934EEE"/>
    <w:rsid w:val="74956EB9"/>
    <w:rsid w:val="74982505"/>
    <w:rsid w:val="74992BB5"/>
    <w:rsid w:val="7499627D"/>
    <w:rsid w:val="749B0247"/>
    <w:rsid w:val="74A0736D"/>
    <w:rsid w:val="74A215D5"/>
    <w:rsid w:val="74A43991"/>
    <w:rsid w:val="74A76BEC"/>
    <w:rsid w:val="74A85450"/>
    <w:rsid w:val="74AA048A"/>
    <w:rsid w:val="74AB0B6C"/>
    <w:rsid w:val="74AC7D5E"/>
    <w:rsid w:val="74B13FC3"/>
    <w:rsid w:val="74B15375"/>
    <w:rsid w:val="74B60BDD"/>
    <w:rsid w:val="74C23276"/>
    <w:rsid w:val="74C27582"/>
    <w:rsid w:val="74C725A2"/>
    <w:rsid w:val="74C90910"/>
    <w:rsid w:val="74C94DB4"/>
    <w:rsid w:val="74CA7477"/>
    <w:rsid w:val="74CB5F92"/>
    <w:rsid w:val="74CE72E9"/>
    <w:rsid w:val="74D06143"/>
    <w:rsid w:val="74D37E9F"/>
    <w:rsid w:val="74D53759"/>
    <w:rsid w:val="74D55507"/>
    <w:rsid w:val="74D774D1"/>
    <w:rsid w:val="74D825D2"/>
    <w:rsid w:val="74DD616A"/>
    <w:rsid w:val="74E219ED"/>
    <w:rsid w:val="74E25E76"/>
    <w:rsid w:val="74E27C1C"/>
    <w:rsid w:val="74E40B5B"/>
    <w:rsid w:val="74E52DB9"/>
    <w:rsid w:val="74E90984"/>
    <w:rsid w:val="74EB35B2"/>
    <w:rsid w:val="74EC45FF"/>
    <w:rsid w:val="74ED288E"/>
    <w:rsid w:val="74EE4592"/>
    <w:rsid w:val="74F00593"/>
    <w:rsid w:val="74F31E31"/>
    <w:rsid w:val="74F71921"/>
    <w:rsid w:val="74FA31C0"/>
    <w:rsid w:val="74FC56A9"/>
    <w:rsid w:val="74FD05BA"/>
    <w:rsid w:val="7507768A"/>
    <w:rsid w:val="75093403"/>
    <w:rsid w:val="75096F5F"/>
    <w:rsid w:val="750B25C3"/>
    <w:rsid w:val="750D2EF3"/>
    <w:rsid w:val="751002ED"/>
    <w:rsid w:val="75104791"/>
    <w:rsid w:val="75134281"/>
    <w:rsid w:val="7513561E"/>
    <w:rsid w:val="75157C52"/>
    <w:rsid w:val="751B4EE4"/>
    <w:rsid w:val="751C3136"/>
    <w:rsid w:val="7521074C"/>
    <w:rsid w:val="7521699E"/>
    <w:rsid w:val="75220020"/>
    <w:rsid w:val="75243D99"/>
    <w:rsid w:val="75247F64"/>
    <w:rsid w:val="752520BF"/>
    <w:rsid w:val="75276B4B"/>
    <w:rsid w:val="752D6D51"/>
    <w:rsid w:val="752E2E69"/>
    <w:rsid w:val="753366D1"/>
    <w:rsid w:val="753C5586"/>
    <w:rsid w:val="75403F75"/>
    <w:rsid w:val="75406925"/>
    <w:rsid w:val="754206C3"/>
    <w:rsid w:val="7544443B"/>
    <w:rsid w:val="754C277B"/>
    <w:rsid w:val="754C50C8"/>
    <w:rsid w:val="75502DDF"/>
    <w:rsid w:val="75510906"/>
    <w:rsid w:val="755723C0"/>
    <w:rsid w:val="755A2F3D"/>
    <w:rsid w:val="755F3023"/>
    <w:rsid w:val="75610B49"/>
    <w:rsid w:val="756845CD"/>
    <w:rsid w:val="756B28FC"/>
    <w:rsid w:val="756D3991"/>
    <w:rsid w:val="75752846"/>
    <w:rsid w:val="757A1C0A"/>
    <w:rsid w:val="757C1E26"/>
    <w:rsid w:val="757C3BD5"/>
    <w:rsid w:val="757F5473"/>
    <w:rsid w:val="758067FF"/>
    <w:rsid w:val="75834F63"/>
    <w:rsid w:val="75866801"/>
    <w:rsid w:val="758962F1"/>
    <w:rsid w:val="758B02BC"/>
    <w:rsid w:val="758B206A"/>
    <w:rsid w:val="758D0CB2"/>
    <w:rsid w:val="758D4034"/>
    <w:rsid w:val="758D5DE2"/>
    <w:rsid w:val="758E3908"/>
    <w:rsid w:val="75913BF6"/>
    <w:rsid w:val="75932CCC"/>
    <w:rsid w:val="75986E78"/>
    <w:rsid w:val="759C6025"/>
    <w:rsid w:val="759D0D09"/>
    <w:rsid w:val="759E1AE9"/>
    <w:rsid w:val="759E3F2B"/>
    <w:rsid w:val="759F286D"/>
    <w:rsid w:val="75A4312B"/>
    <w:rsid w:val="75A4749B"/>
    <w:rsid w:val="75A51ECD"/>
    <w:rsid w:val="75A86778"/>
    <w:rsid w:val="75AC294E"/>
    <w:rsid w:val="75B07D22"/>
    <w:rsid w:val="75B275F6"/>
    <w:rsid w:val="75B55338"/>
    <w:rsid w:val="75B5617E"/>
    <w:rsid w:val="75B94E29"/>
    <w:rsid w:val="75BA46FD"/>
    <w:rsid w:val="75BE0042"/>
    <w:rsid w:val="75C31803"/>
    <w:rsid w:val="75C612F4"/>
    <w:rsid w:val="75C86E1A"/>
    <w:rsid w:val="75C97972"/>
    <w:rsid w:val="75CA6D2E"/>
    <w:rsid w:val="75CB2679"/>
    <w:rsid w:val="75CB6C60"/>
    <w:rsid w:val="75CC2E8E"/>
    <w:rsid w:val="75CD214C"/>
    <w:rsid w:val="75CD6EAD"/>
    <w:rsid w:val="75CE5AB7"/>
    <w:rsid w:val="75CF01A8"/>
    <w:rsid w:val="75D02172"/>
    <w:rsid w:val="75D237F5"/>
    <w:rsid w:val="75D30518"/>
    <w:rsid w:val="75D82CCE"/>
    <w:rsid w:val="75DF5F11"/>
    <w:rsid w:val="75E3349E"/>
    <w:rsid w:val="75E33C54"/>
    <w:rsid w:val="75E4177A"/>
    <w:rsid w:val="75E672A0"/>
    <w:rsid w:val="75EE758F"/>
    <w:rsid w:val="75EF084A"/>
    <w:rsid w:val="75FE6CDF"/>
    <w:rsid w:val="75FF1E33"/>
    <w:rsid w:val="76037E52"/>
    <w:rsid w:val="76042D01"/>
    <w:rsid w:val="76085468"/>
    <w:rsid w:val="760A7432"/>
    <w:rsid w:val="760B1A49"/>
    <w:rsid w:val="760B4F58"/>
    <w:rsid w:val="760C31AA"/>
    <w:rsid w:val="7610256F"/>
    <w:rsid w:val="7610431D"/>
    <w:rsid w:val="761107C1"/>
    <w:rsid w:val="76191423"/>
    <w:rsid w:val="761E3A36"/>
    <w:rsid w:val="761E4C8C"/>
    <w:rsid w:val="7621652A"/>
    <w:rsid w:val="762229CE"/>
    <w:rsid w:val="76320737"/>
    <w:rsid w:val="76381D81"/>
    <w:rsid w:val="76394C4B"/>
    <w:rsid w:val="763D3EB9"/>
    <w:rsid w:val="763E0E8A"/>
    <w:rsid w:val="76402E54"/>
    <w:rsid w:val="7641097A"/>
    <w:rsid w:val="76417C85"/>
    <w:rsid w:val="764212E5"/>
    <w:rsid w:val="7642132D"/>
    <w:rsid w:val="764329BC"/>
    <w:rsid w:val="76465F91"/>
    <w:rsid w:val="7648475D"/>
    <w:rsid w:val="764D028E"/>
    <w:rsid w:val="76512CD7"/>
    <w:rsid w:val="76545617"/>
    <w:rsid w:val="76557AC2"/>
    <w:rsid w:val="76562678"/>
    <w:rsid w:val="76571F4C"/>
    <w:rsid w:val="765863F0"/>
    <w:rsid w:val="76592168"/>
    <w:rsid w:val="765F16D9"/>
    <w:rsid w:val="7662101C"/>
    <w:rsid w:val="76634D94"/>
    <w:rsid w:val="7666122B"/>
    <w:rsid w:val="76667385"/>
    <w:rsid w:val="766D71A5"/>
    <w:rsid w:val="766E218A"/>
    <w:rsid w:val="7671300D"/>
    <w:rsid w:val="767174B1"/>
    <w:rsid w:val="76773E2F"/>
    <w:rsid w:val="767808D8"/>
    <w:rsid w:val="767B3E8C"/>
    <w:rsid w:val="768216BE"/>
    <w:rsid w:val="7682729E"/>
    <w:rsid w:val="768550FD"/>
    <w:rsid w:val="76867187"/>
    <w:rsid w:val="768B0212"/>
    <w:rsid w:val="768F5B89"/>
    <w:rsid w:val="769B1EF4"/>
    <w:rsid w:val="76A01B45"/>
    <w:rsid w:val="76A0637B"/>
    <w:rsid w:val="76A45139"/>
    <w:rsid w:val="76A519F0"/>
    <w:rsid w:val="76A809F9"/>
    <w:rsid w:val="76B30120"/>
    <w:rsid w:val="76B3074D"/>
    <w:rsid w:val="76B33626"/>
    <w:rsid w:val="76B34539"/>
    <w:rsid w:val="76B6461C"/>
    <w:rsid w:val="76B92C06"/>
    <w:rsid w:val="76BD26F7"/>
    <w:rsid w:val="76C2493D"/>
    <w:rsid w:val="76C41E3C"/>
    <w:rsid w:val="76C5614F"/>
    <w:rsid w:val="76C64EAF"/>
    <w:rsid w:val="76CB6B4C"/>
    <w:rsid w:val="76CD2AFD"/>
    <w:rsid w:val="76D17F50"/>
    <w:rsid w:val="76D96E05"/>
    <w:rsid w:val="76DC0B0B"/>
    <w:rsid w:val="76DD06A3"/>
    <w:rsid w:val="76DF01F6"/>
    <w:rsid w:val="76E00193"/>
    <w:rsid w:val="76E02109"/>
    <w:rsid w:val="76E27583"/>
    <w:rsid w:val="76E42E70"/>
    <w:rsid w:val="76EA2DC0"/>
    <w:rsid w:val="76EE6A42"/>
    <w:rsid w:val="76F65C09"/>
    <w:rsid w:val="76FA2478"/>
    <w:rsid w:val="7700131E"/>
    <w:rsid w:val="77023D34"/>
    <w:rsid w:val="7703391D"/>
    <w:rsid w:val="7706409E"/>
    <w:rsid w:val="770C0F88"/>
    <w:rsid w:val="770F0450"/>
    <w:rsid w:val="77161E07"/>
    <w:rsid w:val="771735EC"/>
    <w:rsid w:val="771A5453"/>
    <w:rsid w:val="77230642"/>
    <w:rsid w:val="772575BD"/>
    <w:rsid w:val="77275DC2"/>
    <w:rsid w:val="77297D8C"/>
    <w:rsid w:val="772C33D8"/>
    <w:rsid w:val="77334767"/>
    <w:rsid w:val="773504DF"/>
    <w:rsid w:val="773521BD"/>
    <w:rsid w:val="7735228D"/>
    <w:rsid w:val="77361AE6"/>
    <w:rsid w:val="77364257"/>
    <w:rsid w:val="773A78A3"/>
    <w:rsid w:val="774424D0"/>
    <w:rsid w:val="77452938"/>
    <w:rsid w:val="774B7D02"/>
    <w:rsid w:val="774F4664"/>
    <w:rsid w:val="77512E3F"/>
    <w:rsid w:val="77543075"/>
    <w:rsid w:val="7755292F"/>
    <w:rsid w:val="775A7F45"/>
    <w:rsid w:val="775F37AE"/>
    <w:rsid w:val="775F555C"/>
    <w:rsid w:val="77617526"/>
    <w:rsid w:val="77626DFA"/>
    <w:rsid w:val="77640DC4"/>
    <w:rsid w:val="77674410"/>
    <w:rsid w:val="776A184D"/>
    <w:rsid w:val="776B44D0"/>
    <w:rsid w:val="776B5CAF"/>
    <w:rsid w:val="776B60B0"/>
    <w:rsid w:val="776C400D"/>
    <w:rsid w:val="776F7B60"/>
    <w:rsid w:val="777032C5"/>
    <w:rsid w:val="777234E1"/>
    <w:rsid w:val="77732DB5"/>
    <w:rsid w:val="77744684"/>
    <w:rsid w:val="77744A54"/>
    <w:rsid w:val="777D1E86"/>
    <w:rsid w:val="77827D8F"/>
    <w:rsid w:val="77832A4C"/>
    <w:rsid w:val="778D20C9"/>
    <w:rsid w:val="77901BB9"/>
    <w:rsid w:val="77933457"/>
    <w:rsid w:val="779834E4"/>
    <w:rsid w:val="779A44EF"/>
    <w:rsid w:val="779A6594"/>
    <w:rsid w:val="779C230C"/>
    <w:rsid w:val="779C67B0"/>
    <w:rsid w:val="779E42D6"/>
    <w:rsid w:val="779F437F"/>
    <w:rsid w:val="77A25449"/>
    <w:rsid w:val="77A67A30"/>
    <w:rsid w:val="77A80CB1"/>
    <w:rsid w:val="77A94A29"/>
    <w:rsid w:val="77A975CA"/>
    <w:rsid w:val="77AB254F"/>
    <w:rsid w:val="77AD276B"/>
    <w:rsid w:val="77AD4519"/>
    <w:rsid w:val="77B66175"/>
    <w:rsid w:val="77B852EA"/>
    <w:rsid w:val="77BC1F58"/>
    <w:rsid w:val="77C1033F"/>
    <w:rsid w:val="77C33D3D"/>
    <w:rsid w:val="77C412B3"/>
    <w:rsid w:val="77C535CF"/>
    <w:rsid w:val="77C875A5"/>
    <w:rsid w:val="77CA24A3"/>
    <w:rsid w:val="77CB2BF1"/>
    <w:rsid w:val="77CF0F09"/>
    <w:rsid w:val="77CF1D1D"/>
    <w:rsid w:val="77D00208"/>
    <w:rsid w:val="77D048EE"/>
    <w:rsid w:val="77D26F08"/>
    <w:rsid w:val="77D30C61"/>
    <w:rsid w:val="77D3547F"/>
    <w:rsid w:val="77D73344"/>
    <w:rsid w:val="77D777E8"/>
    <w:rsid w:val="77D77AEA"/>
    <w:rsid w:val="77DA2E34"/>
    <w:rsid w:val="77DA3F20"/>
    <w:rsid w:val="77DA4BE2"/>
    <w:rsid w:val="77DC095A"/>
    <w:rsid w:val="77DE3A43"/>
    <w:rsid w:val="77E15873"/>
    <w:rsid w:val="77E774CA"/>
    <w:rsid w:val="77E872FF"/>
    <w:rsid w:val="77EA261D"/>
    <w:rsid w:val="77ED0DBA"/>
    <w:rsid w:val="77F2017E"/>
    <w:rsid w:val="77FA5285"/>
    <w:rsid w:val="77FC724F"/>
    <w:rsid w:val="77FE2FC7"/>
    <w:rsid w:val="7801684D"/>
    <w:rsid w:val="780F5AA2"/>
    <w:rsid w:val="78112CFA"/>
    <w:rsid w:val="78120820"/>
    <w:rsid w:val="78126A72"/>
    <w:rsid w:val="78151777"/>
    <w:rsid w:val="78153E6C"/>
    <w:rsid w:val="78177BE5"/>
    <w:rsid w:val="78191BAF"/>
    <w:rsid w:val="781C0323"/>
    <w:rsid w:val="781D0990"/>
    <w:rsid w:val="781D72B5"/>
    <w:rsid w:val="781E5417"/>
    <w:rsid w:val="781E70A6"/>
    <w:rsid w:val="78202F3D"/>
    <w:rsid w:val="78216CC1"/>
    <w:rsid w:val="7823468B"/>
    <w:rsid w:val="78250553"/>
    <w:rsid w:val="7826722D"/>
    <w:rsid w:val="78267E28"/>
    <w:rsid w:val="782C2386"/>
    <w:rsid w:val="782D562E"/>
    <w:rsid w:val="782D7408"/>
    <w:rsid w:val="782F4F2E"/>
    <w:rsid w:val="7831514A"/>
    <w:rsid w:val="783161F0"/>
    <w:rsid w:val="783267CC"/>
    <w:rsid w:val="7839549F"/>
    <w:rsid w:val="78436C2C"/>
    <w:rsid w:val="7844752F"/>
    <w:rsid w:val="784529A4"/>
    <w:rsid w:val="78470ECF"/>
    <w:rsid w:val="78493763"/>
    <w:rsid w:val="78496E99"/>
    <w:rsid w:val="784B788E"/>
    <w:rsid w:val="7850193E"/>
    <w:rsid w:val="78536F8A"/>
    <w:rsid w:val="78571967"/>
    <w:rsid w:val="78577125"/>
    <w:rsid w:val="78580EEC"/>
    <w:rsid w:val="785B21C7"/>
    <w:rsid w:val="785E5813"/>
    <w:rsid w:val="786022E2"/>
    <w:rsid w:val="786437BF"/>
    <w:rsid w:val="78656BA2"/>
    <w:rsid w:val="786646C8"/>
    <w:rsid w:val="78667A33"/>
    <w:rsid w:val="786C195E"/>
    <w:rsid w:val="787119EB"/>
    <w:rsid w:val="78770683"/>
    <w:rsid w:val="787768D5"/>
    <w:rsid w:val="787922A7"/>
    <w:rsid w:val="787D038F"/>
    <w:rsid w:val="7882338A"/>
    <w:rsid w:val="78843075"/>
    <w:rsid w:val="78886D34"/>
    <w:rsid w:val="788A485A"/>
    <w:rsid w:val="788E184B"/>
    <w:rsid w:val="788E787D"/>
    <w:rsid w:val="788F5673"/>
    <w:rsid w:val="78923590"/>
    <w:rsid w:val="78970D25"/>
    <w:rsid w:val="78995758"/>
    <w:rsid w:val="789C7F0C"/>
    <w:rsid w:val="789E0306"/>
    <w:rsid w:val="78A0407E"/>
    <w:rsid w:val="78A054F8"/>
    <w:rsid w:val="78A05E2C"/>
    <w:rsid w:val="78A61CA4"/>
    <w:rsid w:val="78A84CE1"/>
    <w:rsid w:val="78AA6CAB"/>
    <w:rsid w:val="78AB0BAA"/>
    <w:rsid w:val="78AC2A23"/>
    <w:rsid w:val="78AD0549"/>
    <w:rsid w:val="78AD26C5"/>
    <w:rsid w:val="78AD3462"/>
    <w:rsid w:val="78AF2513"/>
    <w:rsid w:val="78B15398"/>
    <w:rsid w:val="78B418D7"/>
    <w:rsid w:val="78B47B29"/>
    <w:rsid w:val="78B81FF7"/>
    <w:rsid w:val="78BB0F52"/>
    <w:rsid w:val="78BB3A88"/>
    <w:rsid w:val="78BB4A14"/>
    <w:rsid w:val="78BD078C"/>
    <w:rsid w:val="78C0027C"/>
    <w:rsid w:val="78C0202A"/>
    <w:rsid w:val="78C21CA4"/>
    <w:rsid w:val="78C23FF4"/>
    <w:rsid w:val="78CE2999"/>
    <w:rsid w:val="78D15FE5"/>
    <w:rsid w:val="78D43D28"/>
    <w:rsid w:val="78D6302E"/>
    <w:rsid w:val="78D8716E"/>
    <w:rsid w:val="78DE0702"/>
    <w:rsid w:val="78DF4BA6"/>
    <w:rsid w:val="78E0091E"/>
    <w:rsid w:val="78E51A91"/>
    <w:rsid w:val="78EB14BD"/>
    <w:rsid w:val="78EE6B97"/>
    <w:rsid w:val="78F34ED3"/>
    <w:rsid w:val="78F9378E"/>
    <w:rsid w:val="78FC3087"/>
    <w:rsid w:val="79035E58"/>
    <w:rsid w:val="79075EAB"/>
    <w:rsid w:val="79091C23"/>
    <w:rsid w:val="790E0FE8"/>
    <w:rsid w:val="790E37EC"/>
    <w:rsid w:val="79105A2C"/>
    <w:rsid w:val="79132AA2"/>
    <w:rsid w:val="791A5BDE"/>
    <w:rsid w:val="791B3704"/>
    <w:rsid w:val="791D0032"/>
    <w:rsid w:val="791F2CCE"/>
    <w:rsid w:val="791F4BA7"/>
    <w:rsid w:val="79200D1B"/>
    <w:rsid w:val="79202AC9"/>
    <w:rsid w:val="792151BF"/>
    <w:rsid w:val="79227276"/>
    <w:rsid w:val="792720A9"/>
    <w:rsid w:val="79306565"/>
    <w:rsid w:val="79314CD6"/>
    <w:rsid w:val="79330A4E"/>
    <w:rsid w:val="79334EF2"/>
    <w:rsid w:val="793F3BE6"/>
    <w:rsid w:val="793F73F3"/>
    <w:rsid w:val="793F7A4E"/>
    <w:rsid w:val="79400367"/>
    <w:rsid w:val="794133A9"/>
    <w:rsid w:val="794159AF"/>
    <w:rsid w:val="79440EAD"/>
    <w:rsid w:val="794562AF"/>
    <w:rsid w:val="79490272"/>
    <w:rsid w:val="794C1B10"/>
    <w:rsid w:val="794C3569"/>
    <w:rsid w:val="794C7D62"/>
    <w:rsid w:val="794E3F0E"/>
    <w:rsid w:val="794F33AE"/>
    <w:rsid w:val="79507595"/>
    <w:rsid w:val="79515378"/>
    <w:rsid w:val="79516F31"/>
    <w:rsid w:val="79560566"/>
    <w:rsid w:val="795A422D"/>
    <w:rsid w:val="795B7D6A"/>
    <w:rsid w:val="795D5ACB"/>
    <w:rsid w:val="795E63A3"/>
    <w:rsid w:val="795F5CE7"/>
    <w:rsid w:val="795F7A95"/>
    <w:rsid w:val="796926C2"/>
    <w:rsid w:val="796B4CD4"/>
    <w:rsid w:val="796C5D0E"/>
    <w:rsid w:val="796D4C26"/>
    <w:rsid w:val="7972247C"/>
    <w:rsid w:val="797846B3"/>
    <w:rsid w:val="797A48CF"/>
    <w:rsid w:val="797B21B4"/>
    <w:rsid w:val="797C23F5"/>
    <w:rsid w:val="797D616D"/>
    <w:rsid w:val="797E3479"/>
    <w:rsid w:val="79810275"/>
    <w:rsid w:val="79856B63"/>
    <w:rsid w:val="79856DD0"/>
    <w:rsid w:val="798A42B2"/>
    <w:rsid w:val="798B5B31"/>
    <w:rsid w:val="798D4602"/>
    <w:rsid w:val="79911B0C"/>
    <w:rsid w:val="79915775"/>
    <w:rsid w:val="799562B1"/>
    <w:rsid w:val="79960FDD"/>
    <w:rsid w:val="79971CF5"/>
    <w:rsid w:val="799A0ACD"/>
    <w:rsid w:val="79A501FE"/>
    <w:rsid w:val="79AB6836"/>
    <w:rsid w:val="79AD5238"/>
    <w:rsid w:val="79AF30F3"/>
    <w:rsid w:val="79B21984"/>
    <w:rsid w:val="79B31B8F"/>
    <w:rsid w:val="79B35BA8"/>
    <w:rsid w:val="79BE4B5E"/>
    <w:rsid w:val="79BF0534"/>
    <w:rsid w:val="79BF548D"/>
    <w:rsid w:val="79C1605A"/>
    <w:rsid w:val="79C24D13"/>
    <w:rsid w:val="79CB43E5"/>
    <w:rsid w:val="79CC1CC4"/>
    <w:rsid w:val="79D51B05"/>
    <w:rsid w:val="79D64AB6"/>
    <w:rsid w:val="79D833A4"/>
    <w:rsid w:val="79D97847"/>
    <w:rsid w:val="79DA711C"/>
    <w:rsid w:val="79DB434E"/>
    <w:rsid w:val="79ED50A1"/>
    <w:rsid w:val="79ED6EE8"/>
    <w:rsid w:val="79EE2C15"/>
    <w:rsid w:val="79F17E11"/>
    <w:rsid w:val="79F2350D"/>
    <w:rsid w:val="79F247EC"/>
    <w:rsid w:val="79F93A46"/>
    <w:rsid w:val="79FE105C"/>
    <w:rsid w:val="79FE72AE"/>
    <w:rsid w:val="79FF3026"/>
    <w:rsid w:val="7A004E36"/>
    <w:rsid w:val="7A033053"/>
    <w:rsid w:val="7A0348C4"/>
    <w:rsid w:val="7A0423EA"/>
    <w:rsid w:val="7A0917AF"/>
    <w:rsid w:val="7A092898"/>
    <w:rsid w:val="7A093DF8"/>
    <w:rsid w:val="7A0A4B46"/>
    <w:rsid w:val="7A0A57D4"/>
    <w:rsid w:val="7A0C2F65"/>
    <w:rsid w:val="7A100D8F"/>
    <w:rsid w:val="7A106FE1"/>
    <w:rsid w:val="7A124C2E"/>
    <w:rsid w:val="7A15284A"/>
    <w:rsid w:val="7A153839"/>
    <w:rsid w:val="7A163D77"/>
    <w:rsid w:val="7A16773C"/>
    <w:rsid w:val="7A1B7E60"/>
    <w:rsid w:val="7A1D58E4"/>
    <w:rsid w:val="7A2259F8"/>
    <w:rsid w:val="7A237B05"/>
    <w:rsid w:val="7A262C3C"/>
    <w:rsid w:val="7A263635"/>
    <w:rsid w:val="7A266805"/>
    <w:rsid w:val="7A297A7B"/>
    <w:rsid w:val="7A2B332B"/>
    <w:rsid w:val="7A2E4394"/>
    <w:rsid w:val="7A315BF4"/>
    <w:rsid w:val="7A3249E0"/>
    <w:rsid w:val="7A344A7E"/>
    <w:rsid w:val="7A35118D"/>
    <w:rsid w:val="7A356A48"/>
    <w:rsid w:val="7A3C5027"/>
    <w:rsid w:val="7A3E5AF4"/>
    <w:rsid w:val="7A401675"/>
    <w:rsid w:val="7A4131A1"/>
    <w:rsid w:val="7A4153ED"/>
    <w:rsid w:val="7A4271C3"/>
    <w:rsid w:val="7A48677B"/>
    <w:rsid w:val="7A4B0019"/>
    <w:rsid w:val="7A4D19C1"/>
    <w:rsid w:val="7A4F6EB0"/>
    <w:rsid w:val="7A5073DE"/>
    <w:rsid w:val="7A5275FA"/>
    <w:rsid w:val="7A540C7C"/>
    <w:rsid w:val="7A5A200A"/>
    <w:rsid w:val="7A5B64AE"/>
    <w:rsid w:val="7A634A83"/>
    <w:rsid w:val="7A664E53"/>
    <w:rsid w:val="7A6A66F1"/>
    <w:rsid w:val="7A6D1D3E"/>
    <w:rsid w:val="7A704E19"/>
    <w:rsid w:val="7A735F4E"/>
    <w:rsid w:val="7A7364B4"/>
    <w:rsid w:val="7A74131E"/>
    <w:rsid w:val="7A771D3C"/>
    <w:rsid w:val="7A772BBC"/>
    <w:rsid w:val="7A777060"/>
    <w:rsid w:val="7A7E03EF"/>
    <w:rsid w:val="7A811C8D"/>
    <w:rsid w:val="7A8157E9"/>
    <w:rsid w:val="7A8772A3"/>
    <w:rsid w:val="7A8A28F0"/>
    <w:rsid w:val="7A8C48BA"/>
    <w:rsid w:val="7A8D23E0"/>
    <w:rsid w:val="7A8F54C7"/>
    <w:rsid w:val="7A8F6158"/>
    <w:rsid w:val="7A94551C"/>
    <w:rsid w:val="7AA86A41"/>
    <w:rsid w:val="7AA8721A"/>
    <w:rsid w:val="7AB160CE"/>
    <w:rsid w:val="7AB35BC5"/>
    <w:rsid w:val="7AB6007C"/>
    <w:rsid w:val="7AC027B5"/>
    <w:rsid w:val="7ACA3634"/>
    <w:rsid w:val="7ACD0A2E"/>
    <w:rsid w:val="7ACD5E9B"/>
    <w:rsid w:val="7AD16771"/>
    <w:rsid w:val="7AD61FD9"/>
    <w:rsid w:val="7AD623EF"/>
    <w:rsid w:val="7AD86FC8"/>
    <w:rsid w:val="7AD95625"/>
    <w:rsid w:val="7AD96587"/>
    <w:rsid w:val="7ADA65C4"/>
    <w:rsid w:val="7AE04C06"/>
    <w:rsid w:val="7AE069B4"/>
    <w:rsid w:val="7AE2272C"/>
    <w:rsid w:val="7AE42B65"/>
    <w:rsid w:val="7AE43E60"/>
    <w:rsid w:val="7AE70D64"/>
    <w:rsid w:val="7AEE7323"/>
    <w:rsid w:val="7AEF4E49"/>
    <w:rsid w:val="7AEF5F46"/>
    <w:rsid w:val="7AF1296F"/>
    <w:rsid w:val="7B0326A2"/>
    <w:rsid w:val="7B046BAE"/>
    <w:rsid w:val="7B064646"/>
    <w:rsid w:val="7B09527D"/>
    <w:rsid w:val="7B0F1047"/>
    <w:rsid w:val="7B0F2381"/>
    <w:rsid w:val="7B0F586C"/>
    <w:rsid w:val="7B13672A"/>
    <w:rsid w:val="7B1505C8"/>
    <w:rsid w:val="7B2033AE"/>
    <w:rsid w:val="7B221A0A"/>
    <w:rsid w:val="7B29550A"/>
    <w:rsid w:val="7B297F24"/>
    <w:rsid w:val="7B2C39A7"/>
    <w:rsid w:val="7B2E5647"/>
    <w:rsid w:val="7B315461"/>
    <w:rsid w:val="7B354F51"/>
    <w:rsid w:val="7B4231CA"/>
    <w:rsid w:val="7B42540E"/>
    <w:rsid w:val="7B484F88"/>
    <w:rsid w:val="7B4B0FAD"/>
    <w:rsid w:val="7B560A24"/>
    <w:rsid w:val="7B5829EE"/>
    <w:rsid w:val="7B5955E7"/>
    <w:rsid w:val="7B60034F"/>
    <w:rsid w:val="7B62386D"/>
    <w:rsid w:val="7B635310"/>
    <w:rsid w:val="7B687429"/>
    <w:rsid w:val="7B6969A9"/>
    <w:rsid w:val="7B6A2721"/>
    <w:rsid w:val="7B6E3FBF"/>
    <w:rsid w:val="7B6F6D01"/>
    <w:rsid w:val="7B744E08"/>
    <w:rsid w:val="7B7517F2"/>
    <w:rsid w:val="7B771530"/>
    <w:rsid w:val="7B787A4F"/>
    <w:rsid w:val="7B7A5A82"/>
    <w:rsid w:val="7B7B5C2C"/>
    <w:rsid w:val="7B7D06A6"/>
    <w:rsid w:val="7B7D1817"/>
    <w:rsid w:val="7B7F441F"/>
    <w:rsid w:val="7B7F7F7B"/>
    <w:rsid w:val="7B8413F7"/>
    <w:rsid w:val="7B872369"/>
    <w:rsid w:val="7B8A1EE6"/>
    <w:rsid w:val="7B8B25F6"/>
    <w:rsid w:val="7B8D08B1"/>
    <w:rsid w:val="7B915F00"/>
    <w:rsid w:val="7B917CAE"/>
    <w:rsid w:val="7B95573E"/>
    <w:rsid w:val="7B963D9A"/>
    <w:rsid w:val="7B9A6B62"/>
    <w:rsid w:val="7B9C6D7F"/>
    <w:rsid w:val="7B9D2AF7"/>
    <w:rsid w:val="7BA05665"/>
    <w:rsid w:val="7BA5672C"/>
    <w:rsid w:val="7BA774D1"/>
    <w:rsid w:val="7BA97403"/>
    <w:rsid w:val="7BAB1AAD"/>
    <w:rsid w:val="7BB06386"/>
    <w:rsid w:val="7BB120FE"/>
    <w:rsid w:val="7BB253C3"/>
    <w:rsid w:val="7BB3754D"/>
    <w:rsid w:val="7BBA5457"/>
    <w:rsid w:val="7BBD6CF5"/>
    <w:rsid w:val="7BC31A12"/>
    <w:rsid w:val="7BC40083"/>
    <w:rsid w:val="7BC77B74"/>
    <w:rsid w:val="7BC9569A"/>
    <w:rsid w:val="7BC97448"/>
    <w:rsid w:val="7BCA372B"/>
    <w:rsid w:val="7BCB7664"/>
    <w:rsid w:val="7BCC55C4"/>
    <w:rsid w:val="7BCE0F02"/>
    <w:rsid w:val="7BD06A28"/>
    <w:rsid w:val="7BD227A0"/>
    <w:rsid w:val="7BDA42A2"/>
    <w:rsid w:val="7BDB5DF5"/>
    <w:rsid w:val="7BDE7397"/>
    <w:rsid w:val="7BE20509"/>
    <w:rsid w:val="7BE358B7"/>
    <w:rsid w:val="7BE40725"/>
    <w:rsid w:val="7BEA5DDA"/>
    <w:rsid w:val="7BF01505"/>
    <w:rsid w:val="7BF035B6"/>
    <w:rsid w:val="7BF070CA"/>
    <w:rsid w:val="7BF24BF0"/>
    <w:rsid w:val="7BF3758C"/>
    <w:rsid w:val="7BF63E27"/>
    <w:rsid w:val="7BF76FB8"/>
    <w:rsid w:val="7BF85F7F"/>
    <w:rsid w:val="7BFA1CF7"/>
    <w:rsid w:val="7BFF069E"/>
    <w:rsid w:val="7C014E34"/>
    <w:rsid w:val="7C023C1A"/>
    <w:rsid w:val="7C030BAC"/>
    <w:rsid w:val="7C0367F0"/>
    <w:rsid w:val="7C044924"/>
    <w:rsid w:val="7C0526B8"/>
    <w:rsid w:val="7C071DCA"/>
    <w:rsid w:val="7C096E5E"/>
    <w:rsid w:val="7C0B4DE9"/>
    <w:rsid w:val="7C105077"/>
    <w:rsid w:val="7C143533"/>
    <w:rsid w:val="7C15268D"/>
    <w:rsid w:val="7C183F2B"/>
    <w:rsid w:val="7C1E20D1"/>
    <w:rsid w:val="7C20690D"/>
    <w:rsid w:val="7C226A0C"/>
    <w:rsid w:val="7C232F9B"/>
    <w:rsid w:val="7C241BDC"/>
    <w:rsid w:val="7C255C9F"/>
    <w:rsid w:val="7C2823C0"/>
    <w:rsid w:val="7C283DBB"/>
    <w:rsid w:val="7C284D65"/>
    <w:rsid w:val="7C2874B9"/>
    <w:rsid w:val="7C2F2854"/>
    <w:rsid w:val="7C363706"/>
    <w:rsid w:val="7C374240"/>
    <w:rsid w:val="7C3844ED"/>
    <w:rsid w:val="7C393D73"/>
    <w:rsid w:val="7C4116D4"/>
    <w:rsid w:val="7C453802"/>
    <w:rsid w:val="7C482A62"/>
    <w:rsid w:val="7C4D62CB"/>
    <w:rsid w:val="7C4E08D5"/>
    <w:rsid w:val="7C4F3DF1"/>
    <w:rsid w:val="7C520A0E"/>
    <w:rsid w:val="7C5913DE"/>
    <w:rsid w:val="7C5B46DC"/>
    <w:rsid w:val="7C6011FA"/>
    <w:rsid w:val="7C684EB3"/>
    <w:rsid w:val="7C6D4277"/>
    <w:rsid w:val="7C6D637A"/>
    <w:rsid w:val="7C743857"/>
    <w:rsid w:val="7C7575D0"/>
    <w:rsid w:val="7C7D1A8F"/>
    <w:rsid w:val="7C7E46D6"/>
    <w:rsid w:val="7C887303"/>
    <w:rsid w:val="7C89416E"/>
    <w:rsid w:val="7C8C2645"/>
    <w:rsid w:val="7C920181"/>
    <w:rsid w:val="7C920C6D"/>
    <w:rsid w:val="7C921FFF"/>
    <w:rsid w:val="7C943EFA"/>
    <w:rsid w:val="7C983BC0"/>
    <w:rsid w:val="7CA0244B"/>
    <w:rsid w:val="7CA0464C"/>
    <w:rsid w:val="7CA627AA"/>
    <w:rsid w:val="7CA73C2D"/>
    <w:rsid w:val="7CAA1027"/>
    <w:rsid w:val="7CAA4A75"/>
    <w:rsid w:val="7CAD17D6"/>
    <w:rsid w:val="7CAF2AE1"/>
    <w:rsid w:val="7CB00608"/>
    <w:rsid w:val="7CB023B6"/>
    <w:rsid w:val="7CB10693"/>
    <w:rsid w:val="7CB4634A"/>
    <w:rsid w:val="7CB95C84"/>
    <w:rsid w:val="7CC0084B"/>
    <w:rsid w:val="7CC5620D"/>
    <w:rsid w:val="7CC85951"/>
    <w:rsid w:val="7CC876FF"/>
    <w:rsid w:val="7CCA3477"/>
    <w:rsid w:val="7CCC223C"/>
    <w:rsid w:val="7CD24C3B"/>
    <w:rsid w:val="7CD40F40"/>
    <w:rsid w:val="7CD460A4"/>
    <w:rsid w:val="7CD94DC3"/>
    <w:rsid w:val="7CDB7433"/>
    <w:rsid w:val="7CDC31AB"/>
    <w:rsid w:val="7CDE5175"/>
    <w:rsid w:val="7CE0713F"/>
    <w:rsid w:val="7CE3278B"/>
    <w:rsid w:val="7CE51182"/>
    <w:rsid w:val="7CE65DD7"/>
    <w:rsid w:val="7CEA5772"/>
    <w:rsid w:val="7CF229CE"/>
    <w:rsid w:val="7CF41971"/>
    <w:rsid w:val="7CF60710"/>
    <w:rsid w:val="7CF624BE"/>
    <w:rsid w:val="7CF80875"/>
    <w:rsid w:val="7CF93D5D"/>
    <w:rsid w:val="7CF95B0B"/>
    <w:rsid w:val="7CFD384D"/>
    <w:rsid w:val="7CFE5817"/>
    <w:rsid w:val="7D046E71"/>
    <w:rsid w:val="7D080444"/>
    <w:rsid w:val="7D0A5F6A"/>
    <w:rsid w:val="7D0C1CE2"/>
    <w:rsid w:val="7D170D27"/>
    <w:rsid w:val="7D19084D"/>
    <w:rsid w:val="7D1A518F"/>
    <w:rsid w:val="7D1F0710"/>
    <w:rsid w:val="7D263D51"/>
    <w:rsid w:val="7D2E7EAA"/>
    <w:rsid w:val="7D360B0D"/>
    <w:rsid w:val="7D372F22"/>
    <w:rsid w:val="7D376633"/>
    <w:rsid w:val="7D3B0CA8"/>
    <w:rsid w:val="7D40198C"/>
    <w:rsid w:val="7D423914"/>
    <w:rsid w:val="7D425704"/>
    <w:rsid w:val="7D4274B2"/>
    <w:rsid w:val="7D43515D"/>
    <w:rsid w:val="7D46198B"/>
    <w:rsid w:val="7D491FD6"/>
    <w:rsid w:val="7D4A4679"/>
    <w:rsid w:val="7D4E452A"/>
    <w:rsid w:val="7D4F1BCF"/>
    <w:rsid w:val="7D505F11"/>
    <w:rsid w:val="7D5611AF"/>
    <w:rsid w:val="7D58064C"/>
    <w:rsid w:val="7D5A5061"/>
    <w:rsid w:val="7D5B4A17"/>
    <w:rsid w:val="7D5D078F"/>
    <w:rsid w:val="7D5E6E37"/>
    <w:rsid w:val="7D625DA6"/>
    <w:rsid w:val="7D627B54"/>
    <w:rsid w:val="7D665608"/>
    <w:rsid w:val="7D6A07B6"/>
    <w:rsid w:val="7D6D6672"/>
    <w:rsid w:val="7D6E02A7"/>
    <w:rsid w:val="7D6E16D9"/>
    <w:rsid w:val="7D6E474B"/>
    <w:rsid w:val="7D731D61"/>
    <w:rsid w:val="7D763BC4"/>
    <w:rsid w:val="7D782ED3"/>
    <w:rsid w:val="7D7B6E68"/>
    <w:rsid w:val="7D80447E"/>
    <w:rsid w:val="7D821FA4"/>
    <w:rsid w:val="7D831878"/>
    <w:rsid w:val="7D8555F0"/>
    <w:rsid w:val="7D8775BA"/>
    <w:rsid w:val="7D893333"/>
    <w:rsid w:val="7D8C4BD1"/>
    <w:rsid w:val="7D8F3387"/>
    <w:rsid w:val="7D9046C1"/>
    <w:rsid w:val="7D910439"/>
    <w:rsid w:val="7D9341B1"/>
    <w:rsid w:val="7D9817C8"/>
    <w:rsid w:val="7D983576"/>
    <w:rsid w:val="7DA261A2"/>
    <w:rsid w:val="7DA72781"/>
    <w:rsid w:val="7DA97531"/>
    <w:rsid w:val="7DB149B2"/>
    <w:rsid w:val="7DB303AF"/>
    <w:rsid w:val="7DB326D6"/>
    <w:rsid w:val="7DB54EBB"/>
    <w:rsid w:val="7DB61695"/>
    <w:rsid w:val="7DB83C18"/>
    <w:rsid w:val="7DB9339A"/>
    <w:rsid w:val="7DBC0338"/>
    <w:rsid w:val="7DBC3708"/>
    <w:rsid w:val="7DBE247E"/>
    <w:rsid w:val="7DC15CCA"/>
    <w:rsid w:val="7DC73E5B"/>
    <w:rsid w:val="7DC911D9"/>
    <w:rsid w:val="7DC91981"/>
    <w:rsid w:val="7DCC76C3"/>
    <w:rsid w:val="7DD35E3D"/>
    <w:rsid w:val="7DD6409E"/>
    <w:rsid w:val="7DD82CD6"/>
    <w:rsid w:val="7DDA1DE0"/>
    <w:rsid w:val="7DDD367E"/>
    <w:rsid w:val="7DDD61DD"/>
    <w:rsid w:val="7DE642E1"/>
    <w:rsid w:val="7DE70059"/>
    <w:rsid w:val="7DE70C84"/>
    <w:rsid w:val="7DE762AB"/>
    <w:rsid w:val="7DE95B7F"/>
    <w:rsid w:val="7DEC463E"/>
    <w:rsid w:val="7DF52776"/>
    <w:rsid w:val="7DF82266"/>
    <w:rsid w:val="7DF95DE4"/>
    <w:rsid w:val="7DFC7E0D"/>
    <w:rsid w:val="7DFD787D"/>
    <w:rsid w:val="7E024E93"/>
    <w:rsid w:val="7E04739F"/>
    <w:rsid w:val="7E064983"/>
    <w:rsid w:val="7E06502C"/>
    <w:rsid w:val="7E0724A9"/>
    <w:rsid w:val="7E092989"/>
    <w:rsid w:val="7E0B3D48"/>
    <w:rsid w:val="7E0D5D12"/>
    <w:rsid w:val="7E0E55E6"/>
    <w:rsid w:val="7E10358D"/>
    <w:rsid w:val="7E1075B0"/>
    <w:rsid w:val="7E1352F2"/>
    <w:rsid w:val="7E151C20"/>
    <w:rsid w:val="7E17093E"/>
    <w:rsid w:val="7E1A21DD"/>
    <w:rsid w:val="7E1C5F55"/>
    <w:rsid w:val="7E21309A"/>
    <w:rsid w:val="7E2510C7"/>
    <w:rsid w:val="7E2748F9"/>
    <w:rsid w:val="7E2D63B4"/>
    <w:rsid w:val="7E2E7A36"/>
    <w:rsid w:val="7E325778"/>
    <w:rsid w:val="7E386B07"/>
    <w:rsid w:val="7E4436FD"/>
    <w:rsid w:val="7E4A55DE"/>
    <w:rsid w:val="7E4C11B9"/>
    <w:rsid w:val="7E4E43C2"/>
    <w:rsid w:val="7E561C84"/>
    <w:rsid w:val="7E5B7399"/>
    <w:rsid w:val="7E5C332C"/>
    <w:rsid w:val="7E5F5E41"/>
    <w:rsid w:val="7E6D055E"/>
    <w:rsid w:val="7E70242B"/>
    <w:rsid w:val="7E714CEC"/>
    <w:rsid w:val="7E7278BD"/>
    <w:rsid w:val="7E7349ED"/>
    <w:rsid w:val="7E747B3F"/>
    <w:rsid w:val="7E7C3540"/>
    <w:rsid w:val="7E817946"/>
    <w:rsid w:val="7E83198C"/>
    <w:rsid w:val="7E851D4C"/>
    <w:rsid w:val="7E867872"/>
    <w:rsid w:val="7E8B262B"/>
    <w:rsid w:val="7E8F07DA"/>
    <w:rsid w:val="7E8F2203"/>
    <w:rsid w:val="7E916D01"/>
    <w:rsid w:val="7E924469"/>
    <w:rsid w:val="7E961930"/>
    <w:rsid w:val="7E971A7F"/>
    <w:rsid w:val="7E98471A"/>
    <w:rsid w:val="7E9C52E7"/>
    <w:rsid w:val="7E9F0934"/>
    <w:rsid w:val="7EA44C50"/>
    <w:rsid w:val="7EAC301C"/>
    <w:rsid w:val="7EB10D93"/>
    <w:rsid w:val="7EB63ECB"/>
    <w:rsid w:val="7EB76DF1"/>
    <w:rsid w:val="7EB9547F"/>
    <w:rsid w:val="7EBE525E"/>
    <w:rsid w:val="7EC16994"/>
    <w:rsid w:val="7EC565EC"/>
    <w:rsid w:val="7EC63CEF"/>
    <w:rsid w:val="7ECA3C03"/>
    <w:rsid w:val="7ECB797B"/>
    <w:rsid w:val="7EDB1333"/>
    <w:rsid w:val="7EDC7492"/>
    <w:rsid w:val="7EE03426"/>
    <w:rsid w:val="7EE34CC4"/>
    <w:rsid w:val="7EE546B2"/>
    <w:rsid w:val="7EE747B5"/>
    <w:rsid w:val="7EE84089"/>
    <w:rsid w:val="7EE912B4"/>
    <w:rsid w:val="7EEA7D5B"/>
    <w:rsid w:val="7EED78F1"/>
    <w:rsid w:val="7EF00D77"/>
    <w:rsid w:val="7EF50D7A"/>
    <w:rsid w:val="7EF54BD7"/>
    <w:rsid w:val="7EFB200E"/>
    <w:rsid w:val="7F007624"/>
    <w:rsid w:val="7F013171"/>
    <w:rsid w:val="7F01339C"/>
    <w:rsid w:val="7F037115"/>
    <w:rsid w:val="7F052E8D"/>
    <w:rsid w:val="7F0703A8"/>
    <w:rsid w:val="7F0709B3"/>
    <w:rsid w:val="7F0B0B56"/>
    <w:rsid w:val="7F0B26A5"/>
    <w:rsid w:val="7F0F5AB9"/>
    <w:rsid w:val="7F163D6D"/>
    <w:rsid w:val="7F1B11CF"/>
    <w:rsid w:val="7F1B5223"/>
    <w:rsid w:val="7F1D04A2"/>
    <w:rsid w:val="7F1D649E"/>
    <w:rsid w:val="7F203823"/>
    <w:rsid w:val="7F210E45"/>
    <w:rsid w:val="7F253C46"/>
    <w:rsid w:val="7F2B12BF"/>
    <w:rsid w:val="7F2B2374"/>
    <w:rsid w:val="7F2D4191"/>
    <w:rsid w:val="7F2D5660"/>
    <w:rsid w:val="7F3128C8"/>
    <w:rsid w:val="7F317527"/>
    <w:rsid w:val="7F3379FA"/>
    <w:rsid w:val="7F340489"/>
    <w:rsid w:val="7F3457AB"/>
    <w:rsid w:val="7F390D88"/>
    <w:rsid w:val="7F39245E"/>
    <w:rsid w:val="7F3B19BF"/>
    <w:rsid w:val="7F3D43D5"/>
    <w:rsid w:val="7F3E1EFB"/>
    <w:rsid w:val="7F403EC5"/>
    <w:rsid w:val="7F4072E0"/>
    <w:rsid w:val="7F435763"/>
    <w:rsid w:val="7F4514DB"/>
    <w:rsid w:val="7F463648"/>
    <w:rsid w:val="7F477EB3"/>
    <w:rsid w:val="7F482D79"/>
    <w:rsid w:val="7F4D16AD"/>
    <w:rsid w:val="7F4F5EB6"/>
    <w:rsid w:val="7F500FCA"/>
    <w:rsid w:val="7F5068C3"/>
    <w:rsid w:val="7F56725F"/>
    <w:rsid w:val="7F567638"/>
    <w:rsid w:val="7F571FFC"/>
    <w:rsid w:val="7F592821"/>
    <w:rsid w:val="7F5B2662"/>
    <w:rsid w:val="7F5B485B"/>
    <w:rsid w:val="7F5D40E8"/>
    <w:rsid w:val="7F5D5C61"/>
    <w:rsid w:val="7F5E434B"/>
    <w:rsid w:val="7F5F07EF"/>
    <w:rsid w:val="7F5F7E0E"/>
    <w:rsid w:val="7F612BFE"/>
    <w:rsid w:val="7F613AB1"/>
    <w:rsid w:val="7F623E3B"/>
    <w:rsid w:val="7F671451"/>
    <w:rsid w:val="7F694E44"/>
    <w:rsid w:val="7F6F7A1A"/>
    <w:rsid w:val="7F7335B4"/>
    <w:rsid w:val="7F792C67"/>
    <w:rsid w:val="7F79715A"/>
    <w:rsid w:val="7F7B6CAB"/>
    <w:rsid w:val="7F827AE7"/>
    <w:rsid w:val="7F8503AD"/>
    <w:rsid w:val="7F871AF4"/>
    <w:rsid w:val="7F872CCD"/>
    <w:rsid w:val="7F8C2C66"/>
    <w:rsid w:val="7F8F2756"/>
    <w:rsid w:val="7F901680"/>
    <w:rsid w:val="7F9164CE"/>
    <w:rsid w:val="7F923FF5"/>
    <w:rsid w:val="7F9C39EC"/>
    <w:rsid w:val="7F9D2447"/>
    <w:rsid w:val="7F9D4E73"/>
    <w:rsid w:val="7F9E2466"/>
    <w:rsid w:val="7F9F508F"/>
    <w:rsid w:val="7FA06711"/>
    <w:rsid w:val="7FA2248A"/>
    <w:rsid w:val="7FA5097B"/>
    <w:rsid w:val="7FAD4202"/>
    <w:rsid w:val="7FB0104A"/>
    <w:rsid w:val="7FB1091F"/>
    <w:rsid w:val="7FB126CD"/>
    <w:rsid w:val="7FB328E9"/>
    <w:rsid w:val="7FB421BD"/>
    <w:rsid w:val="7FB84E1A"/>
    <w:rsid w:val="7FBA6267"/>
    <w:rsid w:val="7FBD3767"/>
    <w:rsid w:val="7FBE5032"/>
    <w:rsid w:val="7FC00B62"/>
    <w:rsid w:val="7FC56178"/>
    <w:rsid w:val="7FCD2538"/>
    <w:rsid w:val="7FCF68F2"/>
    <w:rsid w:val="7FDB599C"/>
    <w:rsid w:val="7FE42AA2"/>
    <w:rsid w:val="7FE505C8"/>
    <w:rsid w:val="7FE707E4"/>
    <w:rsid w:val="7FE74CF3"/>
    <w:rsid w:val="7FEA5BDF"/>
    <w:rsid w:val="7FEB563D"/>
    <w:rsid w:val="7FEB5BDF"/>
    <w:rsid w:val="7FED4A4C"/>
    <w:rsid w:val="7FF13411"/>
    <w:rsid w:val="7FF501B8"/>
    <w:rsid w:val="7FF57D5C"/>
    <w:rsid w:val="7FF627D5"/>
    <w:rsid w:val="7FF6326D"/>
    <w:rsid w:val="7FF63359"/>
    <w:rsid w:val="7FF64583"/>
    <w:rsid w:val="7FF77C9D"/>
    <w:rsid w:val="7FFB7DEC"/>
    <w:rsid w:val="7FFC1E5C"/>
    <w:rsid w:val="7FFC555D"/>
    <w:rsid w:val="7FFD1DB6"/>
    <w:rsid w:val="7FFF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500" w:lineRule="exact"/>
      <w:ind w:firstLine="200" w:firstLineChars="200"/>
      <w:jc w:val="both"/>
      <w:textAlignment w:val="center"/>
    </w:pPr>
    <w:rPr>
      <w:rFonts w:ascii="Times New Roman" w:hAnsi="Times New Roman" w:eastAsia="仿宋_GB2312" w:cs="Times New Roman"/>
      <w:kern w:val="2"/>
      <w:sz w:val="24"/>
      <w:szCs w:val="24"/>
      <w:lang w:val="en-US" w:eastAsia="zh-CN" w:bidi="ar-SA"/>
    </w:rPr>
  </w:style>
  <w:style w:type="paragraph" w:styleId="5">
    <w:name w:val="heading 1"/>
    <w:basedOn w:val="1"/>
    <w:next w:val="1"/>
    <w:link w:val="100"/>
    <w:qFormat/>
    <w:uiPriority w:val="0"/>
    <w:pPr>
      <w:keepNext/>
      <w:keepLines/>
      <w:ind w:firstLine="0" w:firstLineChars="0"/>
      <w:jc w:val="center"/>
      <w:outlineLvl w:val="0"/>
    </w:pPr>
    <w:rPr>
      <w:rFonts w:eastAsia="黑体"/>
      <w:bCs/>
      <w:kern w:val="44"/>
      <w:sz w:val="32"/>
      <w:szCs w:val="44"/>
    </w:rPr>
  </w:style>
  <w:style w:type="paragraph" w:styleId="6">
    <w:name w:val="heading 2"/>
    <w:basedOn w:val="1"/>
    <w:next w:val="1"/>
    <w:link w:val="101"/>
    <w:qFormat/>
    <w:uiPriority w:val="0"/>
    <w:pPr>
      <w:ind w:firstLine="0" w:firstLineChars="0"/>
      <w:outlineLvl w:val="1"/>
    </w:pPr>
    <w:rPr>
      <w:rFonts w:eastAsia="黑体"/>
      <w:bCs/>
      <w:sz w:val="30"/>
      <w:szCs w:val="32"/>
    </w:rPr>
  </w:style>
  <w:style w:type="paragraph" w:styleId="7">
    <w:name w:val="heading 3"/>
    <w:basedOn w:val="1"/>
    <w:next w:val="8"/>
    <w:qFormat/>
    <w:uiPriority w:val="0"/>
    <w:pPr>
      <w:ind w:firstLine="0" w:firstLineChars="0"/>
      <w:outlineLvl w:val="2"/>
    </w:pPr>
    <w:rPr>
      <w:rFonts w:eastAsia="黑体" w:cs="方正仿宋简体"/>
      <w:sz w:val="28"/>
    </w:rPr>
  </w:style>
  <w:style w:type="paragraph" w:styleId="9">
    <w:name w:val="heading 4"/>
    <w:basedOn w:val="1"/>
    <w:next w:val="1"/>
    <w:link w:val="103"/>
    <w:qFormat/>
    <w:uiPriority w:val="0"/>
    <w:pPr>
      <w:outlineLvl w:val="3"/>
    </w:pPr>
    <w:rPr>
      <w:b/>
      <w:bCs/>
      <w:szCs w:val="28"/>
    </w:rPr>
  </w:style>
  <w:style w:type="paragraph" w:styleId="10">
    <w:name w:val="heading 5"/>
    <w:basedOn w:val="1"/>
    <w:next w:val="1"/>
    <w:link w:val="104"/>
    <w:qFormat/>
    <w:uiPriority w:val="0"/>
    <w:pPr>
      <w:keepNext/>
      <w:keepLines/>
      <w:spacing w:before="280" w:after="290" w:line="374" w:lineRule="auto"/>
      <w:outlineLvl w:val="4"/>
    </w:pPr>
    <w:rPr>
      <w:rFonts w:eastAsia="方正仿宋简体"/>
      <w:b/>
      <w:bCs/>
      <w:sz w:val="28"/>
      <w:szCs w:val="28"/>
    </w:rPr>
  </w:style>
  <w:style w:type="paragraph" w:styleId="11">
    <w:name w:val="heading 6"/>
    <w:basedOn w:val="1"/>
    <w:next w:val="1"/>
    <w:link w:val="105"/>
    <w:qFormat/>
    <w:uiPriority w:val="0"/>
    <w:pPr>
      <w:keepNext/>
      <w:keepLines/>
      <w:tabs>
        <w:tab w:val="left" w:pos="1152"/>
      </w:tabs>
      <w:spacing w:before="240" w:after="64" w:line="320" w:lineRule="auto"/>
      <w:ind w:left="1152"/>
      <w:outlineLvl w:val="5"/>
    </w:pPr>
    <w:rPr>
      <w:rFonts w:ascii="Arial Unicode MS" w:hAnsi="Arial Unicode MS" w:eastAsia="华文中宋"/>
      <w:b/>
      <w:szCs w:val="28"/>
    </w:rPr>
  </w:style>
  <w:style w:type="paragraph" w:styleId="12">
    <w:name w:val="heading 7"/>
    <w:basedOn w:val="1"/>
    <w:next w:val="1"/>
    <w:link w:val="106"/>
    <w:qFormat/>
    <w:uiPriority w:val="0"/>
    <w:pPr>
      <w:keepNext/>
      <w:keepLines/>
      <w:tabs>
        <w:tab w:val="left" w:pos="1296"/>
      </w:tabs>
      <w:spacing w:before="240" w:after="64" w:line="320" w:lineRule="auto"/>
      <w:ind w:left="1296"/>
      <w:outlineLvl w:val="6"/>
    </w:pPr>
    <w:rPr>
      <w:rFonts w:ascii="方正仿宋简体"/>
      <w:b/>
      <w:szCs w:val="28"/>
    </w:rPr>
  </w:style>
  <w:style w:type="paragraph" w:styleId="13">
    <w:name w:val="heading 8"/>
    <w:basedOn w:val="1"/>
    <w:next w:val="1"/>
    <w:link w:val="107"/>
    <w:qFormat/>
    <w:uiPriority w:val="0"/>
    <w:pPr>
      <w:keepNext/>
      <w:keepLines/>
      <w:tabs>
        <w:tab w:val="left" w:pos="1440"/>
      </w:tabs>
      <w:spacing w:before="240" w:after="64" w:line="320" w:lineRule="auto"/>
      <w:ind w:left="1440"/>
      <w:outlineLvl w:val="7"/>
    </w:pPr>
    <w:rPr>
      <w:rFonts w:ascii="Arial Unicode MS" w:hAnsi="Arial Unicode MS" w:eastAsia="华文中宋"/>
      <w:szCs w:val="28"/>
    </w:rPr>
  </w:style>
  <w:style w:type="paragraph" w:styleId="14">
    <w:name w:val="heading 9"/>
    <w:basedOn w:val="1"/>
    <w:next w:val="1"/>
    <w:link w:val="108"/>
    <w:qFormat/>
    <w:uiPriority w:val="0"/>
    <w:pPr>
      <w:keepNext/>
      <w:keepLines/>
      <w:tabs>
        <w:tab w:val="left" w:pos="1584"/>
      </w:tabs>
      <w:spacing w:before="240" w:after="64" w:line="320" w:lineRule="auto"/>
      <w:ind w:left="1584"/>
      <w:outlineLvl w:val="8"/>
    </w:pPr>
    <w:rPr>
      <w:rFonts w:ascii="Arial Unicode MS" w:hAnsi="Arial Unicode MS" w:eastAsia="华文中宋"/>
      <w:szCs w:val="28"/>
    </w:rPr>
  </w:style>
  <w:style w:type="character" w:default="1" w:styleId="91">
    <w:name w:val="Default Paragraph Font"/>
    <w:semiHidden/>
    <w:unhideWhenUsed/>
    <w:qFormat/>
    <w:uiPriority w:val="1"/>
  </w:style>
  <w:style w:type="table" w:default="1" w:styleId="8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1"/>
    <w:next w:val="3"/>
    <w:link w:val="137"/>
    <w:qFormat/>
    <w:uiPriority w:val="0"/>
    <w:pPr>
      <w:spacing w:line="300" w:lineRule="auto"/>
      <w:ind w:left="420" w:firstLine="420"/>
    </w:pPr>
    <w:rPr>
      <w:rFonts w:ascii="方正仿宋简体"/>
      <w:sz w:val="28"/>
      <w:szCs w:val="28"/>
    </w:rPr>
  </w:style>
  <w:style w:type="paragraph" w:styleId="3">
    <w:name w:val="List Continue 4"/>
    <w:basedOn w:val="1"/>
    <w:next w:val="1"/>
    <w:qFormat/>
    <w:uiPriority w:val="0"/>
    <w:pPr>
      <w:spacing w:after="120" w:line="300" w:lineRule="auto"/>
      <w:ind w:left="1680" w:leftChars="800"/>
    </w:pPr>
    <w:rPr>
      <w:rFonts w:ascii="方正仿宋简体"/>
      <w:sz w:val="28"/>
      <w:szCs w:val="28"/>
    </w:rPr>
  </w:style>
  <w:style w:type="paragraph" w:styleId="4">
    <w:name w:val="macro"/>
    <w:link w:val="10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Verdana" w:hAnsi="Verdana" w:eastAsia="宋体" w:cs="Times New Roman"/>
      <w:spacing w:val="6"/>
      <w:kern w:val="2"/>
      <w:sz w:val="24"/>
      <w:szCs w:val="24"/>
      <w:lang w:val="en-US" w:eastAsia="zh-CN" w:bidi="ar-SA"/>
    </w:rPr>
  </w:style>
  <w:style w:type="paragraph" w:styleId="8">
    <w:name w:val="Normal Indent"/>
    <w:basedOn w:val="1"/>
    <w:link w:val="102"/>
    <w:qFormat/>
    <w:uiPriority w:val="99"/>
    <w:pPr>
      <w:ind w:firstLine="420"/>
    </w:pPr>
    <w:rPr>
      <w:rFonts w:ascii="方正仿宋简体" w:hAnsi="方正仿宋简体" w:eastAsia="方正仿宋简体"/>
      <w:szCs w:val="20"/>
    </w:rPr>
  </w:style>
  <w:style w:type="paragraph" w:styleId="15">
    <w:name w:val="List 3"/>
    <w:basedOn w:val="1"/>
    <w:qFormat/>
    <w:uiPriority w:val="0"/>
    <w:pPr>
      <w:spacing w:line="300" w:lineRule="auto"/>
      <w:ind w:left="100" w:leftChars="400" w:hanging="200" w:hangingChars="200"/>
    </w:pPr>
    <w:rPr>
      <w:rFonts w:ascii="方正仿宋简体"/>
      <w:sz w:val="28"/>
      <w:szCs w:val="28"/>
    </w:rPr>
  </w:style>
  <w:style w:type="paragraph" w:styleId="16">
    <w:name w:val="toc 7"/>
    <w:basedOn w:val="1"/>
    <w:next w:val="1"/>
    <w:qFormat/>
    <w:uiPriority w:val="39"/>
    <w:pPr>
      <w:ind w:left="1260"/>
      <w:jc w:val="left"/>
    </w:pPr>
    <w:rPr>
      <w:rFonts w:ascii="方正楷体简体" w:hAnsi="方正楷体简体"/>
      <w:sz w:val="18"/>
      <w:szCs w:val="18"/>
    </w:rPr>
  </w:style>
  <w:style w:type="paragraph" w:styleId="17">
    <w:name w:val="List Number 2"/>
    <w:basedOn w:val="1"/>
    <w:qFormat/>
    <w:uiPriority w:val="0"/>
    <w:pPr>
      <w:tabs>
        <w:tab w:val="left" w:pos="780"/>
      </w:tabs>
      <w:spacing w:line="300" w:lineRule="auto"/>
      <w:ind w:left="780" w:leftChars="200" w:hanging="360" w:hangingChars="200"/>
    </w:pPr>
    <w:rPr>
      <w:rFonts w:ascii="方正仿宋简体"/>
      <w:sz w:val="28"/>
      <w:szCs w:val="28"/>
    </w:rPr>
  </w:style>
  <w:style w:type="paragraph" w:styleId="18">
    <w:name w:val="table of authorities"/>
    <w:basedOn w:val="1"/>
    <w:next w:val="1"/>
    <w:qFormat/>
    <w:uiPriority w:val="0"/>
    <w:pPr>
      <w:spacing w:line="300" w:lineRule="auto"/>
      <w:ind w:left="420" w:leftChars="200"/>
    </w:pPr>
    <w:rPr>
      <w:rFonts w:ascii="方正仿宋简体"/>
      <w:sz w:val="28"/>
      <w:szCs w:val="28"/>
    </w:rPr>
  </w:style>
  <w:style w:type="paragraph" w:styleId="19">
    <w:name w:val="Note Heading"/>
    <w:basedOn w:val="1"/>
    <w:next w:val="1"/>
    <w:link w:val="110"/>
    <w:qFormat/>
    <w:uiPriority w:val="0"/>
    <w:pPr>
      <w:spacing w:line="300" w:lineRule="auto"/>
      <w:jc w:val="center"/>
    </w:pPr>
    <w:rPr>
      <w:rFonts w:ascii="方正仿宋简体"/>
      <w:sz w:val="28"/>
      <w:szCs w:val="28"/>
    </w:rPr>
  </w:style>
  <w:style w:type="paragraph" w:styleId="20">
    <w:name w:val="List Bullet 4"/>
    <w:basedOn w:val="1"/>
    <w:qFormat/>
    <w:uiPriority w:val="0"/>
    <w:pPr>
      <w:tabs>
        <w:tab w:val="left" w:pos="1620"/>
      </w:tabs>
      <w:spacing w:line="300" w:lineRule="auto"/>
      <w:ind w:left="1620" w:leftChars="600" w:hanging="360" w:hangingChars="200"/>
    </w:pPr>
    <w:rPr>
      <w:rFonts w:ascii="方正仿宋简体"/>
      <w:sz w:val="28"/>
      <w:szCs w:val="28"/>
    </w:rPr>
  </w:style>
  <w:style w:type="paragraph" w:styleId="21">
    <w:name w:val="index 8"/>
    <w:basedOn w:val="1"/>
    <w:next w:val="1"/>
    <w:qFormat/>
    <w:uiPriority w:val="0"/>
    <w:pPr>
      <w:spacing w:line="300" w:lineRule="auto"/>
      <w:ind w:left="1400" w:leftChars="1400"/>
    </w:pPr>
    <w:rPr>
      <w:rFonts w:ascii="方正仿宋简体"/>
      <w:sz w:val="28"/>
      <w:szCs w:val="28"/>
    </w:rPr>
  </w:style>
  <w:style w:type="paragraph" w:styleId="22">
    <w:name w:val="E-mail Signature"/>
    <w:basedOn w:val="1"/>
    <w:link w:val="111"/>
    <w:qFormat/>
    <w:uiPriority w:val="0"/>
    <w:pPr>
      <w:spacing w:line="300" w:lineRule="auto"/>
    </w:pPr>
    <w:rPr>
      <w:rFonts w:ascii="方正仿宋简体"/>
      <w:sz w:val="28"/>
      <w:szCs w:val="28"/>
    </w:rPr>
  </w:style>
  <w:style w:type="paragraph" w:styleId="23">
    <w:name w:val="List Number"/>
    <w:basedOn w:val="1"/>
    <w:qFormat/>
    <w:uiPriority w:val="0"/>
    <w:pPr>
      <w:tabs>
        <w:tab w:val="left" w:pos="360"/>
      </w:tabs>
      <w:spacing w:line="300" w:lineRule="auto"/>
      <w:ind w:left="360" w:hanging="360" w:hangingChars="200"/>
    </w:pPr>
    <w:rPr>
      <w:rFonts w:ascii="方正仿宋简体"/>
      <w:sz w:val="28"/>
      <w:szCs w:val="28"/>
    </w:rPr>
  </w:style>
  <w:style w:type="paragraph" w:styleId="24">
    <w:name w:val="caption"/>
    <w:basedOn w:val="1"/>
    <w:next w:val="1"/>
    <w:qFormat/>
    <w:uiPriority w:val="0"/>
    <w:rPr>
      <w:rFonts w:ascii="Georgia" w:hAnsi="Georgia" w:eastAsia="华文中宋" w:cs="TIME"/>
      <w:sz w:val="20"/>
      <w:szCs w:val="20"/>
    </w:rPr>
  </w:style>
  <w:style w:type="paragraph" w:styleId="25">
    <w:name w:val="index 5"/>
    <w:basedOn w:val="1"/>
    <w:next w:val="1"/>
    <w:qFormat/>
    <w:uiPriority w:val="0"/>
    <w:pPr>
      <w:spacing w:line="300" w:lineRule="auto"/>
      <w:ind w:left="800" w:leftChars="800"/>
    </w:pPr>
    <w:rPr>
      <w:rFonts w:ascii="方正仿宋简体"/>
      <w:sz w:val="28"/>
      <w:szCs w:val="28"/>
    </w:rPr>
  </w:style>
  <w:style w:type="paragraph" w:styleId="26">
    <w:name w:val="List Bullet"/>
    <w:basedOn w:val="1"/>
    <w:qFormat/>
    <w:uiPriority w:val="0"/>
    <w:pPr>
      <w:tabs>
        <w:tab w:val="left" w:pos="360"/>
      </w:tabs>
      <w:spacing w:line="300" w:lineRule="auto"/>
      <w:ind w:left="360" w:hanging="360" w:hangingChars="200"/>
    </w:pPr>
    <w:rPr>
      <w:rFonts w:ascii="方正仿宋简体"/>
      <w:sz w:val="28"/>
      <w:szCs w:val="28"/>
    </w:rPr>
  </w:style>
  <w:style w:type="paragraph" w:styleId="27">
    <w:name w:val="envelope address"/>
    <w:basedOn w:val="1"/>
    <w:qFormat/>
    <w:uiPriority w:val="0"/>
    <w:pPr>
      <w:framePr w:w="7920" w:h="1980" w:hRule="exact" w:hSpace="180" w:wrap="around" w:vAnchor="margin" w:hAnchor="page" w:xAlign="center" w:yAlign="bottom"/>
      <w:snapToGrid w:val="0"/>
      <w:spacing w:line="300" w:lineRule="auto"/>
      <w:ind w:left="100" w:leftChars="1400"/>
    </w:pPr>
    <w:rPr>
      <w:rFonts w:ascii="Arial Unicode MS" w:hAnsi="Arial Unicode MS"/>
    </w:rPr>
  </w:style>
  <w:style w:type="paragraph" w:styleId="28">
    <w:name w:val="Document Map"/>
    <w:basedOn w:val="1"/>
    <w:link w:val="112"/>
    <w:qFormat/>
    <w:uiPriority w:val="99"/>
    <w:rPr>
      <w:rFonts w:ascii="方正仿宋简体"/>
      <w:sz w:val="18"/>
      <w:szCs w:val="18"/>
    </w:rPr>
  </w:style>
  <w:style w:type="paragraph" w:styleId="29">
    <w:name w:val="toa heading"/>
    <w:basedOn w:val="1"/>
    <w:next w:val="1"/>
    <w:qFormat/>
    <w:uiPriority w:val="0"/>
    <w:pPr>
      <w:spacing w:before="120" w:line="300" w:lineRule="auto"/>
    </w:pPr>
    <w:rPr>
      <w:rFonts w:ascii="Arial Unicode MS" w:hAnsi="Arial Unicode MS"/>
    </w:rPr>
  </w:style>
  <w:style w:type="paragraph" w:styleId="30">
    <w:name w:val="annotation text"/>
    <w:basedOn w:val="1"/>
    <w:link w:val="113"/>
    <w:qFormat/>
    <w:uiPriority w:val="0"/>
    <w:pPr>
      <w:spacing w:line="300" w:lineRule="auto"/>
      <w:jc w:val="left"/>
    </w:pPr>
    <w:rPr>
      <w:rFonts w:ascii="方正仿宋简体"/>
      <w:sz w:val="28"/>
      <w:szCs w:val="28"/>
    </w:rPr>
  </w:style>
  <w:style w:type="paragraph" w:styleId="31">
    <w:name w:val="index 6"/>
    <w:basedOn w:val="1"/>
    <w:next w:val="1"/>
    <w:qFormat/>
    <w:uiPriority w:val="0"/>
    <w:pPr>
      <w:spacing w:line="300" w:lineRule="auto"/>
      <w:ind w:left="1000" w:leftChars="1000"/>
    </w:pPr>
    <w:rPr>
      <w:rFonts w:ascii="方正仿宋简体"/>
      <w:sz w:val="28"/>
      <w:szCs w:val="28"/>
    </w:rPr>
  </w:style>
  <w:style w:type="paragraph" w:styleId="32">
    <w:name w:val="Salutation"/>
    <w:basedOn w:val="1"/>
    <w:next w:val="1"/>
    <w:link w:val="114"/>
    <w:qFormat/>
    <w:uiPriority w:val="0"/>
    <w:pPr>
      <w:spacing w:line="300" w:lineRule="auto"/>
    </w:pPr>
    <w:rPr>
      <w:rFonts w:ascii="方正仿宋简体"/>
      <w:sz w:val="28"/>
      <w:szCs w:val="28"/>
    </w:rPr>
  </w:style>
  <w:style w:type="paragraph" w:styleId="33">
    <w:name w:val="Body Text 3"/>
    <w:basedOn w:val="1"/>
    <w:link w:val="115"/>
    <w:qFormat/>
    <w:uiPriority w:val="0"/>
    <w:pPr>
      <w:spacing w:after="120" w:line="300" w:lineRule="auto"/>
    </w:pPr>
    <w:rPr>
      <w:rFonts w:ascii="方正仿宋简体"/>
      <w:sz w:val="16"/>
      <w:szCs w:val="16"/>
    </w:rPr>
  </w:style>
  <w:style w:type="paragraph" w:styleId="34">
    <w:name w:val="Closing"/>
    <w:basedOn w:val="1"/>
    <w:link w:val="116"/>
    <w:qFormat/>
    <w:uiPriority w:val="0"/>
    <w:pPr>
      <w:spacing w:line="300" w:lineRule="auto"/>
      <w:ind w:left="100" w:leftChars="2100"/>
    </w:pPr>
    <w:rPr>
      <w:rFonts w:ascii="方正仿宋简体"/>
      <w:sz w:val="28"/>
      <w:szCs w:val="28"/>
    </w:rPr>
  </w:style>
  <w:style w:type="paragraph" w:styleId="35">
    <w:name w:val="List Bullet 3"/>
    <w:basedOn w:val="1"/>
    <w:qFormat/>
    <w:uiPriority w:val="0"/>
    <w:pPr>
      <w:tabs>
        <w:tab w:val="left" w:pos="1200"/>
      </w:tabs>
      <w:spacing w:line="300" w:lineRule="auto"/>
      <w:ind w:left="1200" w:leftChars="400" w:hanging="360" w:hangingChars="200"/>
    </w:pPr>
    <w:rPr>
      <w:rFonts w:ascii="方正仿宋简体"/>
      <w:sz w:val="28"/>
      <w:szCs w:val="28"/>
    </w:rPr>
  </w:style>
  <w:style w:type="paragraph" w:styleId="36">
    <w:name w:val="Body Text"/>
    <w:basedOn w:val="1"/>
    <w:link w:val="117"/>
    <w:qFormat/>
    <w:uiPriority w:val="0"/>
    <w:pPr>
      <w:spacing w:after="120"/>
    </w:pPr>
  </w:style>
  <w:style w:type="paragraph" w:styleId="37">
    <w:name w:val="Body Text Indent"/>
    <w:basedOn w:val="1"/>
    <w:next w:val="1"/>
    <w:link w:val="118"/>
    <w:qFormat/>
    <w:uiPriority w:val="0"/>
    <w:pPr>
      <w:spacing w:after="120"/>
      <w:ind w:left="200" w:leftChars="200"/>
    </w:pPr>
  </w:style>
  <w:style w:type="paragraph" w:styleId="38">
    <w:name w:val="List Number 3"/>
    <w:basedOn w:val="1"/>
    <w:qFormat/>
    <w:uiPriority w:val="0"/>
    <w:pPr>
      <w:tabs>
        <w:tab w:val="left" w:pos="1200"/>
      </w:tabs>
      <w:spacing w:line="300" w:lineRule="auto"/>
      <w:ind w:left="1200" w:leftChars="400" w:hanging="360" w:hangingChars="200"/>
    </w:pPr>
    <w:rPr>
      <w:rFonts w:ascii="方正仿宋简体"/>
      <w:sz w:val="28"/>
      <w:szCs w:val="28"/>
    </w:rPr>
  </w:style>
  <w:style w:type="paragraph" w:styleId="39">
    <w:name w:val="List 2"/>
    <w:basedOn w:val="1"/>
    <w:qFormat/>
    <w:uiPriority w:val="0"/>
    <w:pPr>
      <w:spacing w:line="300" w:lineRule="auto"/>
      <w:ind w:left="100" w:leftChars="200" w:hanging="200" w:hangingChars="200"/>
    </w:pPr>
    <w:rPr>
      <w:rFonts w:ascii="方正仿宋简体"/>
      <w:sz w:val="28"/>
      <w:szCs w:val="28"/>
    </w:rPr>
  </w:style>
  <w:style w:type="paragraph" w:styleId="40">
    <w:name w:val="List Continue"/>
    <w:basedOn w:val="1"/>
    <w:qFormat/>
    <w:uiPriority w:val="0"/>
    <w:pPr>
      <w:spacing w:after="120" w:line="300" w:lineRule="auto"/>
      <w:ind w:left="420" w:leftChars="200"/>
    </w:pPr>
    <w:rPr>
      <w:rFonts w:ascii="方正仿宋简体"/>
      <w:sz w:val="28"/>
      <w:szCs w:val="28"/>
    </w:rPr>
  </w:style>
  <w:style w:type="paragraph" w:styleId="41">
    <w:name w:val="Block Text"/>
    <w:basedOn w:val="1"/>
    <w:qFormat/>
    <w:uiPriority w:val="0"/>
    <w:pPr>
      <w:spacing w:after="120" w:line="300" w:lineRule="auto"/>
      <w:ind w:left="1440" w:leftChars="700" w:right="1440" w:rightChars="700"/>
    </w:pPr>
    <w:rPr>
      <w:rFonts w:ascii="方正仿宋简体"/>
      <w:sz w:val="28"/>
      <w:szCs w:val="28"/>
    </w:rPr>
  </w:style>
  <w:style w:type="paragraph" w:styleId="42">
    <w:name w:val="List Bullet 2"/>
    <w:basedOn w:val="1"/>
    <w:qFormat/>
    <w:uiPriority w:val="0"/>
    <w:pPr>
      <w:tabs>
        <w:tab w:val="left" w:pos="780"/>
      </w:tabs>
      <w:spacing w:line="300" w:lineRule="auto"/>
      <w:ind w:left="780" w:leftChars="200" w:hanging="360" w:hangingChars="200"/>
    </w:pPr>
    <w:rPr>
      <w:rFonts w:ascii="方正仿宋简体"/>
      <w:sz w:val="28"/>
      <w:szCs w:val="28"/>
    </w:rPr>
  </w:style>
  <w:style w:type="paragraph" w:styleId="43">
    <w:name w:val="HTML Address"/>
    <w:basedOn w:val="1"/>
    <w:link w:val="119"/>
    <w:qFormat/>
    <w:uiPriority w:val="0"/>
    <w:pPr>
      <w:spacing w:line="300" w:lineRule="auto"/>
    </w:pPr>
    <w:rPr>
      <w:rFonts w:ascii="方正仿宋简体"/>
      <w:i/>
      <w:iCs/>
      <w:sz w:val="28"/>
      <w:szCs w:val="28"/>
    </w:rPr>
  </w:style>
  <w:style w:type="paragraph" w:styleId="44">
    <w:name w:val="index 4"/>
    <w:basedOn w:val="1"/>
    <w:next w:val="1"/>
    <w:qFormat/>
    <w:uiPriority w:val="0"/>
    <w:pPr>
      <w:spacing w:line="300" w:lineRule="auto"/>
      <w:ind w:left="600" w:leftChars="600"/>
    </w:pPr>
    <w:rPr>
      <w:rFonts w:ascii="方正仿宋简体"/>
      <w:sz w:val="28"/>
      <w:szCs w:val="28"/>
    </w:rPr>
  </w:style>
  <w:style w:type="paragraph" w:styleId="45">
    <w:name w:val="toc 5"/>
    <w:basedOn w:val="1"/>
    <w:next w:val="1"/>
    <w:qFormat/>
    <w:uiPriority w:val="39"/>
    <w:pPr>
      <w:ind w:left="840"/>
      <w:jc w:val="left"/>
    </w:pPr>
    <w:rPr>
      <w:rFonts w:ascii="方正楷体简体" w:hAnsi="方正楷体简体"/>
      <w:sz w:val="18"/>
      <w:szCs w:val="18"/>
    </w:rPr>
  </w:style>
  <w:style w:type="paragraph" w:styleId="46">
    <w:name w:val="toc 3"/>
    <w:basedOn w:val="1"/>
    <w:next w:val="1"/>
    <w:qFormat/>
    <w:uiPriority w:val="39"/>
    <w:pPr>
      <w:spacing w:line="400" w:lineRule="exact"/>
      <w:ind w:firstLine="400" w:firstLineChars="400"/>
      <w:jc w:val="left"/>
    </w:pPr>
    <w:rPr>
      <w:iCs/>
      <w:szCs w:val="20"/>
    </w:rPr>
  </w:style>
  <w:style w:type="paragraph" w:styleId="47">
    <w:name w:val="Plain Text"/>
    <w:basedOn w:val="1"/>
    <w:link w:val="120"/>
    <w:qFormat/>
    <w:uiPriority w:val="0"/>
    <w:rPr>
      <w:rFonts w:ascii="方正仿宋简体" w:hAnsi="Verdana" w:eastAsia="方正仿宋简体"/>
      <w:szCs w:val="20"/>
    </w:rPr>
  </w:style>
  <w:style w:type="paragraph" w:styleId="48">
    <w:name w:val="List Bullet 5"/>
    <w:basedOn w:val="1"/>
    <w:qFormat/>
    <w:uiPriority w:val="0"/>
    <w:pPr>
      <w:tabs>
        <w:tab w:val="left" w:pos="2040"/>
      </w:tabs>
      <w:spacing w:line="300" w:lineRule="auto"/>
      <w:ind w:left="2040" w:leftChars="800" w:hanging="360" w:hangingChars="200"/>
    </w:pPr>
    <w:rPr>
      <w:rFonts w:ascii="方正仿宋简体"/>
      <w:sz w:val="28"/>
      <w:szCs w:val="28"/>
    </w:rPr>
  </w:style>
  <w:style w:type="paragraph" w:styleId="49">
    <w:name w:val="List Number 4"/>
    <w:basedOn w:val="1"/>
    <w:qFormat/>
    <w:uiPriority w:val="0"/>
    <w:pPr>
      <w:tabs>
        <w:tab w:val="left" w:pos="1620"/>
      </w:tabs>
      <w:spacing w:line="300" w:lineRule="auto"/>
      <w:ind w:left="1620" w:leftChars="600" w:hanging="360" w:hangingChars="200"/>
    </w:pPr>
    <w:rPr>
      <w:rFonts w:ascii="方正仿宋简体"/>
      <w:sz w:val="28"/>
      <w:szCs w:val="28"/>
    </w:rPr>
  </w:style>
  <w:style w:type="paragraph" w:styleId="50">
    <w:name w:val="toc 8"/>
    <w:basedOn w:val="1"/>
    <w:next w:val="1"/>
    <w:qFormat/>
    <w:uiPriority w:val="39"/>
    <w:pPr>
      <w:spacing w:before="156" w:beforeLines="50" w:after="156" w:afterLines="50"/>
    </w:pPr>
    <w:rPr>
      <w:rFonts w:ascii="黑体" w:eastAsia="黑体"/>
      <w:sz w:val="30"/>
      <w:szCs w:val="30"/>
    </w:rPr>
  </w:style>
  <w:style w:type="paragraph" w:styleId="51">
    <w:name w:val="index 3"/>
    <w:basedOn w:val="1"/>
    <w:next w:val="1"/>
    <w:qFormat/>
    <w:uiPriority w:val="0"/>
    <w:pPr>
      <w:spacing w:line="300" w:lineRule="auto"/>
      <w:ind w:left="400" w:leftChars="400"/>
    </w:pPr>
    <w:rPr>
      <w:rFonts w:ascii="方正仿宋简体"/>
      <w:sz w:val="28"/>
      <w:szCs w:val="28"/>
    </w:rPr>
  </w:style>
  <w:style w:type="paragraph" w:styleId="52">
    <w:name w:val="Date"/>
    <w:basedOn w:val="1"/>
    <w:next w:val="1"/>
    <w:link w:val="121"/>
    <w:qFormat/>
    <w:uiPriority w:val="99"/>
    <w:pPr>
      <w:ind w:left="100" w:leftChars="2500"/>
    </w:pPr>
  </w:style>
  <w:style w:type="paragraph" w:styleId="53">
    <w:name w:val="Body Text Indent 2"/>
    <w:basedOn w:val="1"/>
    <w:link w:val="122"/>
    <w:qFormat/>
    <w:uiPriority w:val="0"/>
    <w:pPr>
      <w:spacing w:after="120" w:line="480" w:lineRule="auto"/>
      <w:ind w:left="420" w:leftChars="200"/>
    </w:pPr>
    <w:rPr>
      <w:rFonts w:ascii="方正仿宋简体"/>
      <w:sz w:val="28"/>
      <w:szCs w:val="28"/>
    </w:rPr>
  </w:style>
  <w:style w:type="paragraph" w:styleId="54">
    <w:name w:val="endnote text"/>
    <w:basedOn w:val="1"/>
    <w:link w:val="123"/>
    <w:qFormat/>
    <w:uiPriority w:val="0"/>
    <w:pPr>
      <w:snapToGrid w:val="0"/>
      <w:spacing w:line="300" w:lineRule="auto"/>
      <w:jc w:val="left"/>
    </w:pPr>
    <w:rPr>
      <w:rFonts w:ascii="方正仿宋简体"/>
      <w:sz w:val="28"/>
      <w:szCs w:val="28"/>
    </w:rPr>
  </w:style>
  <w:style w:type="paragraph" w:styleId="55">
    <w:name w:val="List Continue 5"/>
    <w:basedOn w:val="1"/>
    <w:qFormat/>
    <w:uiPriority w:val="0"/>
    <w:pPr>
      <w:spacing w:after="120" w:line="300" w:lineRule="auto"/>
      <w:ind w:left="2100" w:leftChars="1000"/>
    </w:pPr>
    <w:rPr>
      <w:rFonts w:ascii="方正仿宋简体"/>
      <w:sz w:val="28"/>
      <w:szCs w:val="28"/>
    </w:rPr>
  </w:style>
  <w:style w:type="paragraph" w:styleId="56">
    <w:name w:val="Balloon Text"/>
    <w:basedOn w:val="1"/>
    <w:link w:val="124"/>
    <w:qFormat/>
    <w:uiPriority w:val="99"/>
    <w:pPr>
      <w:spacing w:line="240" w:lineRule="auto"/>
    </w:pPr>
    <w:rPr>
      <w:sz w:val="18"/>
      <w:szCs w:val="18"/>
    </w:rPr>
  </w:style>
  <w:style w:type="paragraph" w:styleId="57">
    <w:name w:val="footer"/>
    <w:basedOn w:val="1"/>
    <w:link w:val="125"/>
    <w:qFormat/>
    <w:uiPriority w:val="99"/>
    <w:pPr>
      <w:tabs>
        <w:tab w:val="center" w:pos="4153"/>
        <w:tab w:val="right" w:pos="8306"/>
      </w:tabs>
      <w:snapToGrid w:val="0"/>
      <w:spacing w:line="240" w:lineRule="auto"/>
      <w:ind w:firstLine="480"/>
      <w:jc w:val="center"/>
    </w:pPr>
  </w:style>
  <w:style w:type="paragraph" w:styleId="58">
    <w:name w:val="envelope return"/>
    <w:basedOn w:val="1"/>
    <w:qFormat/>
    <w:uiPriority w:val="0"/>
    <w:pPr>
      <w:snapToGrid w:val="0"/>
      <w:spacing w:line="300" w:lineRule="auto"/>
    </w:pPr>
    <w:rPr>
      <w:rFonts w:ascii="Arial Unicode MS" w:hAnsi="Arial Unicode MS"/>
      <w:sz w:val="28"/>
      <w:szCs w:val="28"/>
    </w:rPr>
  </w:style>
  <w:style w:type="paragraph" w:styleId="59">
    <w:name w:val="header"/>
    <w:basedOn w:val="1"/>
    <w:link w:val="126"/>
    <w:qFormat/>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link w:val="127"/>
    <w:qFormat/>
    <w:uiPriority w:val="0"/>
    <w:pPr>
      <w:spacing w:line="300" w:lineRule="auto"/>
      <w:ind w:left="100" w:leftChars="2100"/>
    </w:pPr>
    <w:rPr>
      <w:rFonts w:ascii="方正仿宋简体"/>
      <w:sz w:val="28"/>
      <w:szCs w:val="28"/>
    </w:rPr>
  </w:style>
  <w:style w:type="paragraph" w:styleId="61">
    <w:name w:val="toc 1"/>
    <w:basedOn w:val="1"/>
    <w:next w:val="1"/>
    <w:qFormat/>
    <w:uiPriority w:val="39"/>
    <w:pPr>
      <w:tabs>
        <w:tab w:val="right" w:leader="middleDot" w:pos="8295"/>
      </w:tabs>
      <w:spacing w:line="400" w:lineRule="exact"/>
      <w:jc w:val="left"/>
    </w:pPr>
    <w:rPr>
      <w:rFonts w:eastAsia="黑体"/>
      <w:bCs/>
    </w:rPr>
  </w:style>
  <w:style w:type="paragraph" w:styleId="62">
    <w:name w:val="toc 4"/>
    <w:basedOn w:val="1"/>
    <w:next w:val="1"/>
    <w:qFormat/>
    <w:uiPriority w:val="39"/>
    <w:pPr>
      <w:ind w:left="630"/>
      <w:jc w:val="left"/>
    </w:pPr>
    <w:rPr>
      <w:rFonts w:ascii="方正楷体简体" w:hAnsi="方正楷体简体"/>
      <w:sz w:val="18"/>
      <w:szCs w:val="18"/>
    </w:rPr>
  </w:style>
  <w:style w:type="paragraph" w:styleId="63">
    <w:name w:val="index heading"/>
    <w:basedOn w:val="1"/>
    <w:next w:val="64"/>
    <w:qFormat/>
    <w:uiPriority w:val="0"/>
    <w:pPr>
      <w:spacing w:line="300" w:lineRule="auto"/>
    </w:pPr>
    <w:rPr>
      <w:rFonts w:ascii="Arial Unicode MS" w:hAnsi="Arial Unicode MS"/>
      <w:b/>
      <w:bCs/>
      <w:sz w:val="28"/>
      <w:szCs w:val="28"/>
    </w:rPr>
  </w:style>
  <w:style w:type="paragraph" w:styleId="64">
    <w:name w:val="index 1"/>
    <w:basedOn w:val="1"/>
    <w:next w:val="1"/>
    <w:semiHidden/>
    <w:qFormat/>
    <w:uiPriority w:val="0"/>
  </w:style>
  <w:style w:type="paragraph" w:styleId="65">
    <w:name w:val="Subtitle"/>
    <w:basedOn w:val="1"/>
    <w:next w:val="1"/>
    <w:link w:val="128"/>
    <w:qFormat/>
    <w:uiPriority w:val="0"/>
    <w:pPr>
      <w:spacing w:before="120" w:after="120" w:line="240" w:lineRule="auto"/>
      <w:jc w:val="left"/>
      <w:outlineLvl w:val="1"/>
    </w:pPr>
    <w:rPr>
      <w:rFonts w:ascii="Georgia" w:hAnsi="Georgia"/>
      <w:b/>
      <w:bCs/>
      <w:kern w:val="28"/>
      <w:szCs w:val="32"/>
    </w:rPr>
  </w:style>
  <w:style w:type="paragraph" w:styleId="66">
    <w:name w:val="List Number 5"/>
    <w:basedOn w:val="1"/>
    <w:qFormat/>
    <w:uiPriority w:val="0"/>
    <w:pPr>
      <w:tabs>
        <w:tab w:val="left" w:pos="2040"/>
      </w:tabs>
      <w:spacing w:line="300" w:lineRule="auto"/>
      <w:ind w:left="2040" w:leftChars="800" w:hanging="360" w:hangingChars="200"/>
    </w:pPr>
    <w:rPr>
      <w:rFonts w:ascii="方正仿宋简体"/>
      <w:sz w:val="28"/>
      <w:szCs w:val="28"/>
    </w:rPr>
  </w:style>
  <w:style w:type="paragraph" w:styleId="67">
    <w:name w:val="List"/>
    <w:basedOn w:val="1"/>
    <w:qFormat/>
    <w:uiPriority w:val="0"/>
    <w:pPr>
      <w:spacing w:line="300" w:lineRule="auto"/>
      <w:ind w:left="200" w:hanging="200" w:hangingChars="200"/>
    </w:pPr>
    <w:rPr>
      <w:rFonts w:ascii="方正仿宋简体"/>
      <w:sz w:val="28"/>
      <w:szCs w:val="28"/>
    </w:rPr>
  </w:style>
  <w:style w:type="paragraph" w:styleId="68">
    <w:name w:val="footnote text"/>
    <w:basedOn w:val="1"/>
    <w:link w:val="129"/>
    <w:qFormat/>
    <w:uiPriority w:val="0"/>
    <w:pPr>
      <w:snapToGrid w:val="0"/>
      <w:spacing w:line="300" w:lineRule="auto"/>
      <w:jc w:val="left"/>
    </w:pPr>
    <w:rPr>
      <w:rFonts w:ascii="方正仿宋简体"/>
      <w:sz w:val="18"/>
      <w:szCs w:val="18"/>
    </w:rPr>
  </w:style>
  <w:style w:type="paragraph" w:styleId="69">
    <w:name w:val="toc 6"/>
    <w:basedOn w:val="1"/>
    <w:next w:val="1"/>
    <w:qFormat/>
    <w:uiPriority w:val="39"/>
    <w:pPr>
      <w:ind w:left="1050"/>
      <w:jc w:val="left"/>
    </w:pPr>
    <w:rPr>
      <w:rFonts w:ascii="方正楷体简体" w:hAnsi="方正楷体简体"/>
      <w:sz w:val="18"/>
      <w:szCs w:val="18"/>
    </w:rPr>
  </w:style>
  <w:style w:type="paragraph" w:styleId="70">
    <w:name w:val="List 5"/>
    <w:basedOn w:val="1"/>
    <w:qFormat/>
    <w:uiPriority w:val="0"/>
    <w:pPr>
      <w:spacing w:line="300" w:lineRule="auto"/>
      <w:ind w:left="100" w:leftChars="800" w:hanging="200" w:hangingChars="200"/>
    </w:pPr>
    <w:rPr>
      <w:rFonts w:ascii="方正仿宋简体"/>
      <w:sz w:val="28"/>
      <w:szCs w:val="28"/>
    </w:rPr>
  </w:style>
  <w:style w:type="paragraph" w:styleId="71">
    <w:name w:val="Body Text Indent 3"/>
    <w:basedOn w:val="1"/>
    <w:link w:val="130"/>
    <w:qFormat/>
    <w:uiPriority w:val="0"/>
    <w:pPr>
      <w:spacing w:after="120" w:line="300" w:lineRule="auto"/>
      <w:ind w:left="420" w:leftChars="200"/>
    </w:pPr>
    <w:rPr>
      <w:rFonts w:ascii="方正仿宋简体"/>
      <w:sz w:val="16"/>
      <w:szCs w:val="16"/>
    </w:rPr>
  </w:style>
  <w:style w:type="paragraph" w:styleId="72">
    <w:name w:val="index 7"/>
    <w:basedOn w:val="1"/>
    <w:next w:val="1"/>
    <w:qFormat/>
    <w:uiPriority w:val="0"/>
    <w:pPr>
      <w:spacing w:line="300" w:lineRule="auto"/>
      <w:ind w:left="1200" w:leftChars="1200"/>
    </w:pPr>
    <w:rPr>
      <w:rFonts w:ascii="方正仿宋简体"/>
      <w:sz w:val="28"/>
      <w:szCs w:val="28"/>
    </w:rPr>
  </w:style>
  <w:style w:type="paragraph" w:styleId="73">
    <w:name w:val="index 9"/>
    <w:basedOn w:val="1"/>
    <w:next w:val="1"/>
    <w:qFormat/>
    <w:uiPriority w:val="0"/>
    <w:pPr>
      <w:spacing w:line="300" w:lineRule="auto"/>
      <w:ind w:left="1600" w:leftChars="1600"/>
    </w:pPr>
    <w:rPr>
      <w:rFonts w:ascii="方正仿宋简体"/>
      <w:sz w:val="28"/>
      <w:szCs w:val="28"/>
    </w:rPr>
  </w:style>
  <w:style w:type="paragraph" w:styleId="74">
    <w:name w:val="table of figures"/>
    <w:basedOn w:val="1"/>
    <w:next w:val="1"/>
    <w:qFormat/>
    <w:uiPriority w:val="0"/>
    <w:pPr>
      <w:spacing w:line="300" w:lineRule="auto"/>
      <w:ind w:left="200" w:leftChars="200" w:hanging="200" w:hangingChars="200"/>
    </w:pPr>
    <w:rPr>
      <w:rFonts w:ascii="方正仿宋简体"/>
      <w:sz w:val="28"/>
      <w:szCs w:val="28"/>
    </w:rPr>
  </w:style>
  <w:style w:type="paragraph" w:styleId="75">
    <w:name w:val="toc 2"/>
    <w:basedOn w:val="1"/>
    <w:next w:val="1"/>
    <w:qFormat/>
    <w:uiPriority w:val="39"/>
    <w:pPr>
      <w:tabs>
        <w:tab w:val="right" w:leader="dot" w:pos="8295"/>
      </w:tabs>
      <w:spacing w:line="400" w:lineRule="exact"/>
      <w:jc w:val="center"/>
    </w:pPr>
    <w:rPr>
      <w:rFonts w:eastAsia="楷体_GB2312"/>
      <w:smallCaps/>
      <w:szCs w:val="20"/>
    </w:rPr>
  </w:style>
  <w:style w:type="paragraph" w:styleId="76">
    <w:name w:val="toc 9"/>
    <w:basedOn w:val="1"/>
    <w:next w:val="1"/>
    <w:qFormat/>
    <w:uiPriority w:val="39"/>
    <w:pPr>
      <w:ind w:left="1680"/>
      <w:jc w:val="left"/>
    </w:pPr>
    <w:rPr>
      <w:rFonts w:ascii="方正楷体简体" w:hAnsi="方正楷体简体"/>
      <w:sz w:val="18"/>
      <w:szCs w:val="18"/>
    </w:rPr>
  </w:style>
  <w:style w:type="paragraph" w:styleId="77">
    <w:name w:val="Body Text 2"/>
    <w:basedOn w:val="1"/>
    <w:link w:val="131"/>
    <w:qFormat/>
    <w:uiPriority w:val="0"/>
    <w:pPr>
      <w:spacing w:after="120" w:line="480" w:lineRule="auto"/>
    </w:pPr>
    <w:rPr>
      <w:rFonts w:ascii="方正仿宋简体"/>
      <w:sz w:val="28"/>
      <w:szCs w:val="28"/>
    </w:rPr>
  </w:style>
  <w:style w:type="paragraph" w:styleId="78">
    <w:name w:val="List 4"/>
    <w:basedOn w:val="1"/>
    <w:qFormat/>
    <w:uiPriority w:val="0"/>
    <w:pPr>
      <w:spacing w:line="300" w:lineRule="auto"/>
      <w:ind w:left="100" w:leftChars="600" w:hanging="200" w:hangingChars="200"/>
    </w:pPr>
    <w:rPr>
      <w:rFonts w:ascii="方正仿宋简体"/>
      <w:sz w:val="28"/>
      <w:szCs w:val="28"/>
    </w:rPr>
  </w:style>
  <w:style w:type="paragraph" w:styleId="79">
    <w:name w:val="List Continue 2"/>
    <w:basedOn w:val="1"/>
    <w:qFormat/>
    <w:uiPriority w:val="0"/>
    <w:pPr>
      <w:spacing w:after="120" w:line="300" w:lineRule="auto"/>
      <w:ind w:left="840" w:leftChars="400"/>
    </w:pPr>
    <w:rPr>
      <w:rFonts w:ascii="方正仿宋简体"/>
      <w:sz w:val="28"/>
      <w:szCs w:val="28"/>
    </w:rPr>
  </w:style>
  <w:style w:type="paragraph" w:styleId="80">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spacing w:line="300" w:lineRule="auto"/>
      <w:ind w:left="1080" w:leftChars="500" w:hanging="1080" w:hangingChars="500"/>
    </w:pPr>
    <w:rPr>
      <w:rFonts w:ascii="Arial Unicode MS" w:hAnsi="Arial Unicode MS"/>
    </w:rPr>
  </w:style>
  <w:style w:type="paragraph" w:styleId="81">
    <w:name w:val="HTML Preformatted"/>
    <w:basedOn w:val="1"/>
    <w:link w:val="133"/>
    <w:qFormat/>
    <w:uiPriority w:val="0"/>
    <w:pPr>
      <w:spacing w:line="300" w:lineRule="auto"/>
    </w:pPr>
    <w:rPr>
      <w:rFonts w:ascii="Verdana" w:hAnsi="Verdana"/>
      <w:sz w:val="20"/>
      <w:szCs w:val="20"/>
    </w:rPr>
  </w:style>
  <w:style w:type="paragraph" w:styleId="82">
    <w:name w:val="Normal (Web)"/>
    <w:basedOn w:val="1"/>
    <w:qFormat/>
    <w:uiPriority w:val="99"/>
    <w:pPr>
      <w:widowControl/>
      <w:spacing w:before="100" w:beforeAutospacing="1" w:after="100" w:afterAutospacing="1"/>
      <w:jc w:val="left"/>
    </w:pPr>
    <w:rPr>
      <w:rFonts w:ascii="方正仿宋简体" w:hAnsi="方正仿宋简体" w:cs="方正仿宋简体"/>
      <w:kern w:val="0"/>
    </w:rPr>
  </w:style>
  <w:style w:type="paragraph" w:styleId="83">
    <w:name w:val="List Continue 3"/>
    <w:basedOn w:val="1"/>
    <w:qFormat/>
    <w:uiPriority w:val="0"/>
    <w:pPr>
      <w:spacing w:after="120" w:line="300" w:lineRule="auto"/>
      <w:ind w:left="1260" w:leftChars="600"/>
    </w:pPr>
    <w:rPr>
      <w:rFonts w:ascii="方正仿宋简体"/>
      <w:sz w:val="28"/>
      <w:szCs w:val="28"/>
    </w:rPr>
  </w:style>
  <w:style w:type="paragraph" w:styleId="84">
    <w:name w:val="index 2"/>
    <w:basedOn w:val="1"/>
    <w:next w:val="1"/>
    <w:qFormat/>
    <w:uiPriority w:val="0"/>
    <w:pPr>
      <w:spacing w:line="300" w:lineRule="auto"/>
      <w:ind w:left="200" w:leftChars="200"/>
    </w:pPr>
    <w:rPr>
      <w:rFonts w:ascii="方正仿宋简体"/>
      <w:sz w:val="28"/>
      <w:szCs w:val="28"/>
    </w:rPr>
  </w:style>
  <w:style w:type="paragraph" w:styleId="85">
    <w:name w:val="Title"/>
    <w:basedOn w:val="1"/>
    <w:link w:val="134"/>
    <w:qFormat/>
    <w:uiPriority w:val="0"/>
    <w:pPr>
      <w:spacing w:before="240" w:after="60" w:line="300" w:lineRule="auto"/>
      <w:jc w:val="center"/>
      <w:outlineLvl w:val="0"/>
    </w:pPr>
    <w:rPr>
      <w:rFonts w:ascii="Arial Unicode MS" w:hAnsi="Arial Unicode MS"/>
      <w:b/>
      <w:bCs/>
      <w:sz w:val="32"/>
      <w:szCs w:val="32"/>
    </w:rPr>
  </w:style>
  <w:style w:type="paragraph" w:styleId="86">
    <w:name w:val="annotation subject"/>
    <w:basedOn w:val="30"/>
    <w:next w:val="30"/>
    <w:link w:val="135"/>
    <w:qFormat/>
    <w:uiPriority w:val="0"/>
    <w:rPr>
      <w:b/>
      <w:bCs/>
    </w:rPr>
  </w:style>
  <w:style w:type="paragraph" w:styleId="87">
    <w:name w:val="Body Text First Indent"/>
    <w:basedOn w:val="1"/>
    <w:link w:val="136"/>
    <w:qFormat/>
    <w:uiPriority w:val="0"/>
    <w:pPr>
      <w:spacing w:line="240" w:lineRule="auto"/>
      <w:ind w:firstLine="420" w:firstLineChars="100"/>
    </w:pPr>
    <w:rPr>
      <w:rFonts w:eastAsia="方正仿宋简体"/>
      <w:szCs w:val="20"/>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2">
    <w:name w:val="Strong"/>
    <w:qFormat/>
    <w:uiPriority w:val="0"/>
    <w:rPr>
      <w:b/>
      <w:bCs/>
    </w:rPr>
  </w:style>
  <w:style w:type="character" w:styleId="93">
    <w:name w:val="endnote reference"/>
    <w:semiHidden/>
    <w:qFormat/>
    <w:uiPriority w:val="0"/>
    <w:rPr>
      <w:vertAlign w:val="superscript"/>
    </w:rPr>
  </w:style>
  <w:style w:type="character" w:styleId="94">
    <w:name w:val="page number"/>
    <w:qFormat/>
    <w:uiPriority w:val="0"/>
  </w:style>
  <w:style w:type="character" w:styleId="95">
    <w:name w:val="FollowedHyperlink"/>
    <w:qFormat/>
    <w:uiPriority w:val="99"/>
    <w:rPr>
      <w:color w:val="800080"/>
      <w:u w:val="single"/>
    </w:rPr>
  </w:style>
  <w:style w:type="character" w:styleId="96">
    <w:name w:val="Emphasis"/>
    <w:qFormat/>
    <w:uiPriority w:val="0"/>
    <w:rPr>
      <w:i/>
      <w:iCs/>
    </w:rPr>
  </w:style>
  <w:style w:type="character" w:styleId="97">
    <w:name w:val="Hyperlink"/>
    <w:qFormat/>
    <w:uiPriority w:val="99"/>
    <w:rPr>
      <w:color w:val="0000FF"/>
      <w:u w:val="single"/>
    </w:rPr>
  </w:style>
  <w:style w:type="character" w:styleId="98">
    <w:name w:val="annotation reference"/>
    <w:qFormat/>
    <w:uiPriority w:val="0"/>
    <w:rPr>
      <w:sz w:val="21"/>
      <w:szCs w:val="21"/>
    </w:rPr>
  </w:style>
  <w:style w:type="character" w:styleId="99">
    <w:name w:val="footnote reference"/>
    <w:qFormat/>
    <w:uiPriority w:val="0"/>
    <w:rPr>
      <w:vertAlign w:val="superscript"/>
    </w:rPr>
  </w:style>
  <w:style w:type="character" w:customStyle="1" w:styleId="100">
    <w:name w:val="标题 1 Char"/>
    <w:link w:val="5"/>
    <w:qFormat/>
    <w:locked/>
    <w:uiPriority w:val="0"/>
    <w:rPr>
      <w:rFonts w:eastAsia="黑体"/>
      <w:bCs/>
      <w:kern w:val="44"/>
      <w:sz w:val="32"/>
      <w:szCs w:val="44"/>
    </w:rPr>
  </w:style>
  <w:style w:type="character" w:customStyle="1" w:styleId="101">
    <w:name w:val="标题 2 Char"/>
    <w:link w:val="6"/>
    <w:qFormat/>
    <w:locked/>
    <w:uiPriority w:val="0"/>
    <w:rPr>
      <w:rFonts w:eastAsia="黑体"/>
      <w:bCs/>
      <w:kern w:val="2"/>
      <w:sz w:val="30"/>
      <w:szCs w:val="32"/>
    </w:rPr>
  </w:style>
  <w:style w:type="character" w:customStyle="1" w:styleId="102">
    <w:name w:val="正文缩进 Char"/>
    <w:link w:val="8"/>
    <w:qFormat/>
    <w:locked/>
    <w:uiPriority w:val="0"/>
    <w:rPr>
      <w:rFonts w:ascii="方正仿宋简体" w:hAnsi="方正仿宋简体" w:eastAsia="方正仿宋简体"/>
      <w:kern w:val="2"/>
      <w:sz w:val="21"/>
      <w:lang w:val="en-US" w:eastAsia="zh-CN" w:bidi="ar-SA"/>
    </w:rPr>
  </w:style>
  <w:style w:type="character" w:customStyle="1" w:styleId="103">
    <w:name w:val="标题 4 Char"/>
    <w:link w:val="9"/>
    <w:qFormat/>
    <w:locked/>
    <w:uiPriority w:val="0"/>
    <w:rPr>
      <w:rFonts w:eastAsia="仿宋_GB2312"/>
      <w:b/>
      <w:bCs/>
      <w:kern w:val="2"/>
      <w:sz w:val="24"/>
      <w:szCs w:val="28"/>
    </w:rPr>
  </w:style>
  <w:style w:type="character" w:customStyle="1" w:styleId="104">
    <w:name w:val="标题 5 Char"/>
    <w:link w:val="10"/>
    <w:qFormat/>
    <w:locked/>
    <w:uiPriority w:val="0"/>
    <w:rPr>
      <w:rFonts w:eastAsia="方正仿宋简体"/>
      <w:b/>
      <w:bCs/>
      <w:kern w:val="2"/>
      <w:sz w:val="28"/>
      <w:szCs w:val="28"/>
      <w:lang w:val="en-US" w:eastAsia="zh-CN" w:bidi="ar-SA"/>
    </w:rPr>
  </w:style>
  <w:style w:type="character" w:customStyle="1" w:styleId="105">
    <w:name w:val="标题 6 Char"/>
    <w:link w:val="11"/>
    <w:qFormat/>
    <w:uiPriority w:val="0"/>
    <w:rPr>
      <w:rFonts w:ascii="Arial Unicode MS" w:hAnsi="Arial Unicode MS" w:eastAsia="华文中宋"/>
      <w:b/>
      <w:kern w:val="2"/>
      <w:sz w:val="24"/>
      <w:szCs w:val="28"/>
    </w:rPr>
  </w:style>
  <w:style w:type="character" w:customStyle="1" w:styleId="106">
    <w:name w:val="标题 7 Char"/>
    <w:link w:val="12"/>
    <w:qFormat/>
    <w:uiPriority w:val="0"/>
    <w:rPr>
      <w:rFonts w:ascii="方正仿宋简体"/>
      <w:b/>
      <w:kern w:val="2"/>
      <w:sz w:val="24"/>
      <w:szCs w:val="28"/>
    </w:rPr>
  </w:style>
  <w:style w:type="character" w:customStyle="1" w:styleId="107">
    <w:name w:val="标题 8 Char"/>
    <w:link w:val="13"/>
    <w:qFormat/>
    <w:uiPriority w:val="0"/>
    <w:rPr>
      <w:rFonts w:ascii="Arial Unicode MS" w:hAnsi="Arial Unicode MS" w:eastAsia="华文中宋"/>
      <w:kern w:val="2"/>
      <w:sz w:val="24"/>
      <w:szCs w:val="28"/>
    </w:rPr>
  </w:style>
  <w:style w:type="character" w:customStyle="1" w:styleId="108">
    <w:name w:val="标题 9 Char"/>
    <w:link w:val="14"/>
    <w:qFormat/>
    <w:uiPriority w:val="0"/>
    <w:rPr>
      <w:rFonts w:ascii="Arial Unicode MS" w:hAnsi="Arial Unicode MS" w:eastAsia="华文中宋"/>
      <w:kern w:val="2"/>
      <w:sz w:val="21"/>
      <w:szCs w:val="28"/>
    </w:rPr>
  </w:style>
  <w:style w:type="character" w:customStyle="1" w:styleId="109">
    <w:name w:val="宏文本 Char"/>
    <w:link w:val="4"/>
    <w:qFormat/>
    <w:uiPriority w:val="0"/>
    <w:rPr>
      <w:rFonts w:ascii="Verdana" w:hAnsi="Verdana"/>
      <w:spacing w:val="6"/>
      <w:kern w:val="2"/>
      <w:sz w:val="24"/>
      <w:szCs w:val="24"/>
      <w:lang w:val="en-US" w:eastAsia="zh-CN" w:bidi="ar-SA"/>
    </w:rPr>
  </w:style>
  <w:style w:type="character" w:customStyle="1" w:styleId="110">
    <w:name w:val="注释标题 Char"/>
    <w:link w:val="19"/>
    <w:qFormat/>
    <w:uiPriority w:val="0"/>
    <w:rPr>
      <w:rFonts w:ascii="方正仿宋简体"/>
      <w:kern w:val="2"/>
      <w:sz w:val="28"/>
      <w:szCs w:val="28"/>
    </w:rPr>
  </w:style>
  <w:style w:type="character" w:customStyle="1" w:styleId="111">
    <w:name w:val="电子邮件签名 Char"/>
    <w:link w:val="22"/>
    <w:qFormat/>
    <w:uiPriority w:val="0"/>
    <w:rPr>
      <w:rFonts w:ascii="方正仿宋简体"/>
      <w:kern w:val="2"/>
      <w:sz w:val="28"/>
      <w:szCs w:val="28"/>
    </w:rPr>
  </w:style>
  <w:style w:type="character" w:customStyle="1" w:styleId="112">
    <w:name w:val="文档结构图 Char"/>
    <w:link w:val="28"/>
    <w:qFormat/>
    <w:uiPriority w:val="99"/>
    <w:rPr>
      <w:rFonts w:ascii="方正仿宋简体"/>
      <w:kern w:val="2"/>
      <w:sz w:val="18"/>
      <w:szCs w:val="18"/>
    </w:rPr>
  </w:style>
  <w:style w:type="character" w:customStyle="1" w:styleId="113">
    <w:name w:val="批注文字 Char"/>
    <w:link w:val="30"/>
    <w:qFormat/>
    <w:uiPriority w:val="0"/>
    <w:rPr>
      <w:rFonts w:ascii="方正仿宋简体"/>
      <w:kern w:val="2"/>
      <w:sz w:val="28"/>
      <w:szCs w:val="28"/>
    </w:rPr>
  </w:style>
  <w:style w:type="character" w:customStyle="1" w:styleId="114">
    <w:name w:val="称呼 Char"/>
    <w:link w:val="32"/>
    <w:qFormat/>
    <w:uiPriority w:val="0"/>
    <w:rPr>
      <w:rFonts w:ascii="方正仿宋简体"/>
      <w:kern w:val="2"/>
      <w:sz w:val="28"/>
      <w:szCs w:val="28"/>
    </w:rPr>
  </w:style>
  <w:style w:type="character" w:customStyle="1" w:styleId="115">
    <w:name w:val="正文文本 3 Char"/>
    <w:link w:val="33"/>
    <w:qFormat/>
    <w:uiPriority w:val="0"/>
    <w:rPr>
      <w:rFonts w:ascii="方正仿宋简体"/>
      <w:kern w:val="2"/>
      <w:sz w:val="16"/>
      <w:szCs w:val="16"/>
    </w:rPr>
  </w:style>
  <w:style w:type="character" w:customStyle="1" w:styleId="116">
    <w:name w:val="结束语 Char"/>
    <w:link w:val="34"/>
    <w:qFormat/>
    <w:uiPriority w:val="0"/>
    <w:rPr>
      <w:rFonts w:ascii="方正仿宋简体"/>
      <w:kern w:val="2"/>
      <w:sz w:val="28"/>
      <w:szCs w:val="28"/>
    </w:rPr>
  </w:style>
  <w:style w:type="character" w:customStyle="1" w:styleId="117">
    <w:name w:val="正文文本 Char"/>
    <w:link w:val="36"/>
    <w:qFormat/>
    <w:uiPriority w:val="0"/>
    <w:rPr>
      <w:kern w:val="2"/>
      <w:sz w:val="21"/>
      <w:szCs w:val="24"/>
    </w:rPr>
  </w:style>
  <w:style w:type="character" w:customStyle="1" w:styleId="118">
    <w:name w:val="正文文本缩进 Char"/>
    <w:link w:val="37"/>
    <w:qFormat/>
    <w:uiPriority w:val="0"/>
    <w:rPr>
      <w:kern w:val="2"/>
      <w:sz w:val="21"/>
      <w:szCs w:val="24"/>
    </w:rPr>
  </w:style>
  <w:style w:type="character" w:customStyle="1" w:styleId="119">
    <w:name w:val="HTML 地址 Char"/>
    <w:link w:val="43"/>
    <w:qFormat/>
    <w:uiPriority w:val="0"/>
    <w:rPr>
      <w:rFonts w:ascii="方正仿宋简体"/>
      <w:i/>
      <w:iCs/>
      <w:kern w:val="2"/>
      <w:sz w:val="28"/>
      <w:szCs w:val="28"/>
    </w:rPr>
  </w:style>
  <w:style w:type="character" w:customStyle="1" w:styleId="120">
    <w:name w:val="纯文本 Char"/>
    <w:link w:val="47"/>
    <w:qFormat/>
    <w:locked/>
    <w:uiPriority w:val="0"/>
    <w:rPr>
      <w:rFonts w:ascii="方正仿宋简体" w:hAnsi="Verdana" w:eastAsia="方正仿宋简体"/>
      <w:kern w:val="2"/>
      <w:sz w:val="21"/>
      <w:lang w:val="en-US" w:eastAsia="zh-CN" w:bidi="ar-SA"/>
    </w:rPr>
  </w:style>
  <w:style w:type="character" w:customStyle="1" w:styleId="121">
    <w:name w:val="日期 Char"/>
    <w:link w:val="52"/>
    <w:qFormat/>
    <w:uiPriority w:val="99"/>
    <w:rPr>
      <w:kern w:val="2"/>
      <w:sz w:val="21"/>
      <w:szCs w:val="24"/>
    </w:rPr>
  </w:style>
  <w:style w:type="character" w:customStyle="1" w:styleId="122">
    <w:name w:val="正文文本缩进 2 Char"/>
    <w:link w:val="53"/>
    <w:qFormat/>
    <w:uiPriority w:val="0"/>
    <w:rPr>
      <w:rFonts w:ascii="方正仿宋简体"/>
      <w:kern w:val="2"/>
      <w:sz w:val="28"/>
      <w:szCs w:val="28"/>
    </w:rPr>
  </w:style>
  <w:style w:type="character" w:customStyle="1" w:styleId="123">
    <w:name w:val="尾注文本 Char"/>
    <w:link w:val="54"/>
    <w:qFormat/>
    <w:uiPriority w:val="0"/>
    <w:rPr>
      <w:rFonts w:ascii="方正仿宋简体"/>
      <w:kern w:val="2"/>
      <w:sz w:val="28"/>
      <w:szCs w:val="28"/>
    </w:rPr>
  </w:style>
  <w:style w:type="character" w:customStyle="1" w:styleId="124">
    <w:name w:val="批注框文本 Char"/>
    <w:link w:val="56"/>
    <w:qFormat/>
    <w:uiPriority w:val="99"/>
    <w:rPr>
      <w:kern w:val="2"/>
      <w:sz w:val="18"/>
      <w:szCs w:val="18"/>
    </w:rPr>
  </w:style>
  <w:style w:type="character" w:customStyle="1" w:styleId="125">
    <w:name w:val="页脚 Char"/>
    <w:link w:val="57"/>
    <w:qFormat/>
    <w:uiPriority w:val="99"/>
    <w:rPr>
      <w:rFonts w:eastAsia="仿宋_GB2312"/>
      <w:kern w:val="2"/>
      <w:sz w:val="24"/>
      <w:szCs w:val="24"/>
    </w:rPr>
  </w:style>
  <w:style w:type="character" w:customStyle="1" w:styleId="126">
    <w:name w:val="页眉 Char"/>
    <w:link w:val="59"/>
    <w:qFormat/>
    <w:uiPriority w:val="0"/>
    <w:rPr>
      <w:kern w:val="2"/>
      <w:sz w:val="18"/>
      <w:szCs w:val="18"/>
    </w:rPr>
  </w:style>
  <w:style w:type="character" w:customStyle="1" w:styleId="127">
    <w:name w:val="签名 Char"/>
    <w:link w:val="60"/>
    <w:qFormat/>
    <w:uiPriority w:val="0"/>
    <w:rPr>
      <w:rFonts w:ascii="方正仿宋简体"/>
      <w:kern w:val="2"/>
      <w:sz w:val="28"/>
      <w:szCs w:val="28"/>
    </w:rPr>
  </w:style>
  <w:style w:type="character" w:customStyle="1" w:styleId="128">
    <w:name w:val="副标题 Char"/>
    <w:link w:val="65"/>
    <w:qFormat/>
    <w:uiPriority w:val="0"/>
    <w:rPr>
      <w:rFonts w:ascii="Georgia" w:hAnsi="Georgia"/>
      <w:b/>
      <w:bCs/>
      <w:kern w:val="28"/>
      <w:sz w:val="24"/>
      <w:szCs w:val="32"/>
    </w:rPr>
  </w:style>
  <w:style w:type="character" w:customStyle="1" w:styleId="129">
    <w:name w:val="脚注文本 Char"/>
    <w:link w:val="68"/>
    <w:qFormat/>
    <w:uiPriority w:val="0"/>
    <w:rPr>
      <w:rFonts w:ascii="方正仿宋简体"/>
      <w:kern w:val="2"/>
      <w:sz w:val="18"/>
      <w:szCs w:val="18"/>
    </w:rPr>
  </w:style>
  <w:style w:type="character" w:customStyle="1" w:styleId="130">
    <w:name w:val="正文文本缩进 3 Char"/>
    <w:link w:val="71"/>
    <w:qFormat/>
    <w:uiPriority w:val="0"/>
    <w:rPr>
      <w:rFonts w:ascii="方正仿宋简体"/>
      <w:kern w:val="2"/>
      <w:sz w:val="16"/>
      <w:szCs w:val="16"/>
    </w:rPr>
  </w:style>
  <w:style w:type="character" w:customStyle="1" w:styleId="131">
    <w:name w:val="正文文本 2 Char"/>
    <w:link w:val="77"/>
    <w:qFormat/>
    <w:uiPriority w:val="0"/>
    <w:rPr>
      <w:rFonts w:ascii="方正仿宋简体"/>
      <w:kern w:val="2"/>
      <w:sz w:val="28"/>
      <w:szCs w:val="28"/>
    </w:rPr>
  </w:style>
  <w:style w:type="character" w:customStyle="1" w:styleId="132">
    <w:name w:val="信息标题 Char"/>
    <w:link w:val="80"/>
    <w:qFormat/>
    <w:uiPriority w:val="0"/>
    <w:rPr>
      <w:rFonts w:ascii="Arial Unicode MS" w:hAnsi="Arial Unicode MS"/>
      <w:kern w:val="2"/>
      <w:sz w:val="24"/>
      <w:szCs w:val="24"/>
      <w:shd w:val="pct20" w:color="auto" w:fill="auto"/>
    </w:rPr>
  </w:style>
  <w:style w:type="character" w:customStyle="1" w:styleId="133">
    <w:name w:val="HTML 预设格式 Char"/>
    <w:link w:val="81"/>
    <w:qFormat/>
    <w:uiPriority w:val="0"/>
    <w:rPr>
      <w:rFonts w:ascii="Verdana" w:hAnsi="Verdana"/>
      <w:kern w:val="2"/>
    </w:rPr>
  </w:style>
  <w:style w:type="character" w:customStyle="1" w:styleId="134">
    <w:name w:val="标题 Char"/>
    <w:link w:val="85"/>
    <w:qFormat/>
    <w:uiPriority w:val="0"/>
    <w:rPr>
      <w:rFonts w:ascii="Arial Unicode MS" w:hAnsi="Arial Unicode MS"/>
      <w:b/>
      <w:bCs/>
      <w:kern w:val="2"/>
      <w:sz w:val="32"/>
      <w:szCs w:val="32"/>
    </w:rPr>
  </w:style>
  <w:style w:type="character" w:customStyle="1" w:styleId="135">
    <w:name w:val="批注主题 Char"/>
    <w:link w:val="86"/>
    <w:qFormat/>
    <w:uiPriority w:val="0"/>
    <w:rPr>
      <w:rFonts w:ascii="方正仿宋简体"/>
      <w:b/>
      <w:bCs/>
      <w:kern w:val="2"/>
      <w:sz w:val="28"/>
      <w:szCs w:val="28"/>
    </w:rPr>
  </w:style>
  <w:style w:type="character" w:customStyle="1" w:styleId="136">
    <w:name w:val="正文首行缩进 Char"/>
    <w:link w:val="87"/>
    <w:qFormat/>
    <w:uiPriority w:val="0"/>
    <w:rPr>
      <w:rFonts w:eastAsia="方正仿宋简体"/>
      <w:kern w:val="2"/>
      <w:sz w:val="21"/>
      <w:lang w:val="en-US" w:eastAsia="zh-CN" w:bidi="ar-SA"/>
    </w:rPr>
  </w:style>
  <w:style w:type="character" w:customStyle="1" w:styleId="137">
    <w:name w:val="正文首行缩进 2 Char"/>
    <w:link w:val="2"/>
    <w:qFormat/>
    <w:uiPriority w:val="0"/>
    <w:rPr>
      <w:rFonts w:ascii="方正仿宋简体"/>
      <w:kern w:val="2"/>
      <w:sz w:val="28"/>
      <w:szCs w:val="28"/>
    </w:rPr>
  </w:style>
  <w:style w:type="character" w:customStyle="1" w:styleId="138">
    <w:name w:val="样式 333333333333333 + 四号 加粗 Char"/>
    <w:link w:val="139"/>
    <w:qFormat/>
    <w:locked/>
    <w:uiPriority w:val="0"/>
  </w:style>
  <w:style w:type="paragraph" w:customStyle="1" w:styleId="139">
    <w:name w:val="样式 333333333333333 + 四号 加粗"/>
    <w:basedOn w:val="1"/>
    <w:link w:val="138"/>
    <w:qFormat/>
    <w:uiPriority w:val="0"/>
    <w:pPr>
      <w:keepNext/>
      <w:keepLines/>
      <w:ind w:firstLine="482"/>
      <w:jc w:val="center"/>
      <w:outlineLvl w:val="0"/>
    </w:pPr>
    <w:rPr>
      <w:rFonts w:ascii="方正仿宋简体" w:hAnsi="方正仿宋简体" w:eastAsia="Courier New"/>
      <w:bCs/>
      <w:kern w:val="44"/>
      <w:sz w:val="28"/>
    </w:rPr>
  </w:style>
  <w:style w:type="character" w:customStyle="1" w:styleId="140">
    <w:name w:val="HTML 地址 Char1"/>
    <w:semiHidden/>
    <w:qFormat/>
    <w:uiPriority w:val="99"/>
    <w:rPr>
      <w:rFonts w:ascii="TIME" w:hAnsi="TIME" w:eastAsia="方正仿宋简体" w:cs="TIME"/>
      <w:i/>
      <w:iCs/>
      <w:szCs w:val="24"/>
    </w:rPr>
  </w:style>
  <w:style w:type="character" w:customStyle="1" w:styleId="141">
    <w:name w:val="表格 Char"/>
    <w:link w:val="142"/>
    <w:qFormat/>
    <w:uiPriority w:val="0"/>
    <w:rPr>
      <w:rFonts w:eastAsia="仿宋_GB2312"/>
      <w:kern w:val="2"/>
      <w:sz w:val="21"/>
    </w:rPr>
  </w:style>
  <w:style w:type="paragraph" w:customStyle="1" w:styleId="142">
    <w:name w:val="表格"/>
    <w:basedOn w:val="1"/>
    <w:next w:val="1"/>
    <w:link w:val="141"/>
    <w:qFormat/>
    <w:uiPriority w:val="0"/>
    <w:pPr>
      <w:spacing w:line="240" w:lineRule="auto"/>
      <w:ind w:firstLine="0" w:firstLineChars="0"/>
      <w:jc w:val="center"/>
    </w:pPr>
    <w:rPr>
      <w:sz w:val="21"/>
      <w:szCs w:val="20"/>
    </w:rPr>
  </w:style>
  <w:style w:type="character" w:customStyle="1" w:styleId="143">
    <w:name w:val="0正文 Char"/>
    <w:link w:val="144"/>
    <w:qFormat/>
    <w:uiPriority w:val="0"/>
    <w:rPr>
      <w:rFonts w:ascii="方正仿宋简体"/>
      <w:sz w:val="28"/>
      <w:szCs w:val="24"/>
    </w:rPr>
  </w:style>
  <w:style w:type="paragraph" w:customStyle="1" w:styleId="144">
    <w:name w:val="0正文"/>
    <w:basedOn w:val="1"/>
    <w:link w:val="143"/>
    <w:qFormat/>
    <w:uiPriority w:val="0"/>
    <w:pPr>
      <w:spacing w:line="480" w:lineRule="exact"/>
      <w:jc w:val="center"/>
      <w:textAlignment w:val="baseline"/>
    </w:pPr>
    <w:rPr>
      <w:rFonts w:ascii="方正仿宋简体"/>
      <w:kern w:val="0"/>
      <w:sz w:val="28"/>
    </w:rPr>
  </w:style>
  <w:style w:type="character" w:customStyle="1" w:styleId="145">
    <w:name w:val="f141"/>
    <w:qFormat/>
    <w:uiPriority w:val="0"/>
    <w:rPr>
      <w:color w:val="000000"/>
      <w:spacing w:val="360"/>
      <w:sz w:val="21"/>
      <w:szCs w:val="21"/>
    </w:rPr>
  </w:style>
  <w:style w:type="character" w:customStyle="1" w:styleId="146">
    <w:name w:val="yf_表样式1 Char"/>
    <w:qFormat/>
    <w:uiPriority w:val="0"/>
    <w:rPr>
      <w:rFonts w:hAnsi="方正仿宋简体"/>
      <w:sz w:val="21"/>
      <w:szCs w:val="21"/>
    </w:rPr>
  </w:style>
  <w:style w:type="character" w:customStyle="1" w:styleId="147">
    <w:name w:val="图题、表题 Char"/>
    <w:link w:val="148"/>
    <w:qFormat/>
    <w:uiPriority w:val="0"/>
    <w:rPr>
      <w:rFonts w:ascii="仿宋_GB2312" w:hAnsi="黑体" w:eastAsia="仿宋_GB2312"/>
      <w:kern w:val="2"/>
      <w:sz w:val="24"/>
      <w:szCs w:val="24"/>
      <w:lang w:val="en-US" w:eastAsia="zh-CN" w:bidi="ar-SA"/>
    </w:rPr>
  </w:style>
  <w:style w:type="paragraph" w:customStyle="1" w:styleId="148">
    <w:name w:val="图题、表题1"/>
    <w:next w:val="1"/>
    <w:link w:val="147"/>
    <w:qFormat/>
    <w:uiPriority w:val="0"/>
    <w:pPr>
      <w:adjustRightInd w:val="0"/>
      <w:snapToGrid w:val="0"/>
      <w:spacing w:line="360" w:lineRule="auto"/>
      <w:ind w:firstLine="482"/>
      <w:jc w:val="center"/>
    </w:pPr>
    <w:rPr>
      <w:rFonts w:ascii="仿宋_GB2312" w:hAnsi="黑体" w:eastAsia="仿宋_GB2312" w:cs="Times New Roman"/>
      <w:kern w:val="2"/>
      <w:sz w:val="24"/>
      <w:szCs w:val="24"/>
      <w:lang w:val="en-US" w:eastAsia="zh-CN" w:bidi="ar-SA"/>
    </w:rPr>
  </w:style>
  <w:style w:type="character" w:customStyle="1" w:styleId="149">
    <w:name w:val="z-窗体顶端 Char"/>
    <w:link w:val="150"/>
    <w:qFormat/>
    <w:uiPriority w:val="0"/>
    <w:rPr>
      <w:rFonts w:ascii="方正仿宋简体" w:hAnsi="Verdana"/>
      <w:kern w:val="2"/>
      <w:sz w:val="21"/>
      <w:szCs w:val="21"/>
    </w:rPr>
  </w:style>
  <w:style w:type="paragraph" w:customStyle="1" w:styleId="150">
    <w:name w:val="_Style 149"/>
    <w:basedOn w:val="1"/>
    <w:next w:val="1"/>
    <w:link w:val="149"/>
    <w:qFormat/>
    <w:uiPriority w:val="0"/>
    <w:pPr>
      <w:widowControl/>
      <w:pBdr>
        <w:bottom w:val="single" w:color="auto" w:sz="6" w:space="1"/>
      </w:pBdr>
      <w:spacing w:line="240" w:lineRule="auto"/>
      <w:ind w:firstLine="480"/>
      <w:jc w:val="center"/>
    </w:pPr>
    <w:rPr>
      <w:rFonts w:ascii="方正仿宋简体" w:hAnsi="Verdana"/>
      <w:szCs w:val="21"/>
    </w:rPr>
  </w:style>
  <w:style w:type="character" w:customStyle="1" w:styleId="151">
    <w:name w:val="样式4 Char"/>
    <w:link w:val="152"/>
    <w:qFormat/>
    <w:locked/>
    <w:uiPriority w:val="0"/>
    <w:rPr>
      <w:rFonts w:ascii="方正仿宋简体" w:hAnsi="方正仿宋简体" w:eastAsia="方正仿宋简体" w:cs="方正仿宋简体"/>
      <w:kern w:val="2"/>
      <w:sz w:val="24"/>
      <w:lang w:val="en-US" w:eastAsia="zh-CN" w:bidi="ar-SA"/>
    </w:rPr>
  </w:style>
  <w:style w:type="paragraph" w:customStyle="1" w:styleId="152">
    <w:name w:val="样式4"/>
    <w:basedOn w:val="1"/>
    <w:link w:val="151"/>
    <w:qFormat/>
    <w:uiPriority w:val="0"/>
    <w:pPr>
      <w:spacing w:line="312" w:lineRule="auto"/>
      <w:ind w:firstLine="480"/>
    </w:pPr>
    <w:rPr>
      <w:rFonts w:ascii="方正仿宋简体" w:hAnsi="方正仿宋简体" w:eastAsia="方正仿宋简体" w:cs="方正仿宋简体"/>
      <w:szCs w:val="20"/>
    </w:rPr>
  </w:style>
  <w:style w:type="character" w:customStyle="1" w:styleId="153">
    <w:name w:val="表头 Char"/>
    <w:link w:val="154"/>
    <w:qFormat/>
    <w:uiPriority w:val="0"/>
    <w:rPr>
      <w:rFonts w:ascii="华文中宋" w:eastAsia="华文中宋"/>
      <w:sz w:val="24"/>
      <w:szCs w:val="28"/>
    </w:rPr>
  </w:style>
  <w:style w:type="paragraph" w:customStyle="1" w:styleId="154">
    <w:name w:val="表头"/>
    <w:basedOn w:val="1"/>
    <w:next w:val="142"/>
    <w:link w:val="153"/>
    <w:qFormat/>
    <w:uiPriority w:val="0"/>
    <w:pPr>
      <w:suppressAutoHyphens/>
      <w:spacing w:before="240" w:after="120" w:line="240" w:lineRule="auto"/>
      <w:jc w:val="center"/>
    </w:pPr>
    <w:rPr>
      <w:rFonts w:ascii="华文中宋" w:eastAsia="华文中宋"/>
      <w:kern w:val="0"/>
      <w:szCs w:val="28"/>
    </w:rPr>
  </w:style>
  <w:style w:type="character" w:customStyle="1" w:styleId="155">
    <w:name w:val="font81"/>
    <w:qFormat/>
    <w:uiPriority w:val="0"/>
    <w:rPr>
      <w:rFonts w:hint="default" w:ascii="Times New Roman" w:hAnsi="Times New Roman" w:cs="Times New Roman"/>
      <w:color w:val="000000"/>
      <w:sz w:val="21"/>
      <w:szCs w:val="21"/>
      <w:u w:val="none"/>
    </w:rPr>
  </w:style>
  <w:style w:type="character" w:customStyle="1" w:styleId="156">
    <w:name w:val="注释标题 Char1"/>
    <w:semiHidden/>
    <w:qFormat/>
    <w:uiPriority w:val="99"/>
    <w:rPr>
      <w:rFonts w:ascii="TIME" w:hAnsi="TIME" w:eastAsia="方正仿宋简体" w:cs="TIME"/>
      <w:szCs w:val="24"/>
    </w:rPr>
  </w:style>
  <w:style w:type="character" w:customStyle="1" w:styleId="157">
    <w:name w:val="font51"/>
    <w:qFormat/>
    <w:uiPriority w:val="0"/>
    <w:rPr>
      <w:rFonts w:hint="eastAsia" w:ascii="仿宋_GB2312" w:eastAsia="仿宋_GB2312" w:cs="仿宋_GB2312"/>
      <w:color w:val="000000"/>
      <w:sz w:val="21"/>
      <w:szCs w:val="21"/>
      <w:u w:val="none"/>
    </w:rPr>
  </w:style>
  <w:style w:type="character" w:customStyle="1" w:styleId="158">
    <w:name w:val="font71"/>
    <w:qFormat/>
    <w:uiPriority w:val="0"/>
    <w:rPr>
      <w:rFonts w:hint="eastAsia" w:ascii="宋体" w:hAnsi="宋体" w:eastAsia="宋体" w:cs="宋体"/>
      <w:color w:val="000000"/>
      <w:sz w:val="20"/>
      <w:szCs w:val="20"/>
      <w:u w:val="none"/>
    </w:rPr>
  </w:style>
  <w:style w:type="character" w:customStyle="1" w:styleId="159">
    <w:name w:val="li-正文 Char1"/>
    <w:link w:val="160"/>
    <w:qFormat/>
    <w:locked/>
    <w:uiPriority w:val="0"/>
    <w:rPr>
      <w:rFonts w:ascii="方正仿宋简体" w:hAnsi="方正仿宋简体" w:eastAsia="方正仿宋简体" w:cs="方正仿宋简体"/>
      <w:kern w:val="2"/>
      <w:sz w:val="24"/>
      <w:lang w:val="en-US" w:eastAsia="zh-CN" w:bidi="ar-SA"/>
    </w:rPr>
  </w:style>
  <w:style w:type="paragraph" w:customStyle="1" w:styleId="160">
    <w:name w:val="li-正文"/>
    <w:basedOn w:val="1"/>
    <w:link w:val="159"/>
    <w:qFormat/>
    <w:uiPriority w:val="0"/>
    <w:pPr>
      <w:spacing w:line="360" w:lineRule="auto"/>
      <w:ind w:firstLine="480"/>
    </w:pPr>
    <w:rPr>
      <w:rFonts w:ascii="方正仿宋简体" w:hAnsi="方正仿宋简体" w:eastAsia="方正仿宋简体" w:cs="方正仿宋简体"/>
      <w:szCs w:val="20"/>
    </w:rPr>
  </w:style>
  <w:style w:type="character" w:customStyle="1" w:styleId="161">
    <w:name w:val="说明书正文 Char"/>
    <w:link w:val="162"/>
    <w:qFormat/>
    <w:uiPriority w:val="0"/>
    <w:rPr>
      <w:rFonts w:ascii="宋体" w:hAnsi="宋体" w:eastAsia="宋体" w:cs="Times New Roman"/>
      <w:kern w:val="2"/>
      <w:sz w:val="28"/>
      <w:szCs w:val="28"/>
    </w:rPr>
  </w:style>
  <w:style w:type="paragraph" w:customStyle="1" w:styleId="162">
    <w:name w:val="说明书正文"/>
    <w:basedOn w:val="1"/>
    <w:link w:val="161"/>
    <w:qFormat/>
    <w:uiPriority w:val="0"/>
    <w:pPr>
      <w:snapToGrid w:val="0"/>
      <w:spacing w:line="480" w:lineRule="exact"/>
      <w:ind w:firstLine="560"/>
    </w:pPr>
    <w:rPr>
      <w:rFonts w:ascii="宋体" w:hAnsi="宋体"/>
      <w:sz w:val="28"/>
      <w:szCs w:val="28"/>
    </w:rPr>
  </w:style>
  <w:style w:type="character" w:customStyle="1" w:styleId="163">
    <w:name w:val="apple-converted-space"/>
    <w:qFormat/>
    <w:uiPriority w:val="0"/>
  </w:style>
  <w:style w:type="character" w:customStyle="1" w:styleId="164">
    <w:name w:val="样式一 Char"/>
    <w:link w:val="165"/>
    <w:qFormat/>
    <w:uiPriority w:val="0"/>
    <w:rPr>
      <w:color w:val="000000"/>
      <w:sz w:val="24"/>
      <w:szCs w:val="24"/>
    </w:rPr>
  </w:style>
  <w:style w:type="paragraph" w:customStyle="1" w:styleId="165">
    <w:name w:val="样式一"/>
    <w:basedOn w:val="1"/>
    <w:link w:val="164"/>
    <w:qFormat/>
    <w:uiPriority w:val="0"/>
    <w:pPr>
      <w:widowControl/>
      <w:snapToGrid w:val="0"/>
      <w:ind w:left="240" w:leftChars="100" w:right="240" w:rightChars="100" w:firstLine="480"/>
      <w:jc w:val="left"/>
      <w:textAlignment w:val="baseline"/>
    </w:pPr>
    <w:rPr>
      <w:color w:val="000000"/>
      <w:kern w:val="0"/>
    </w:rPr>
  </w:style>
  <w:style w:type="character" w:customStyle="1" w:styleId="166">
    <w:name w:val="big1"/>
    <w:qFormat/>
    <w:uiPriority w:val="0"/>
  </w:style>
  <w:style w:type="character" w:customStyle="1" w:styleId="167">
    <w:name w:val="样式 正文缩进 + (西文) Arial 小四 Char"/>
    <w:qFormat/>
    <w:uiPriority w:val="0"/>
    <w:rPr>
      <w:rFonts w:eastAsia="方正仿宋简体"/>
      <w:kern w:val="2"/>
      <w:sz w:val="28"/>
      <w:lang w:val="en-US" w:eastAsia="zh-CN" w:bidi="ar-SA"/>
    </w:rPr>
  </w:style>
  <w:style w:type="character" w:customStyle="1" w:styleId="168">
    <w:name w:val="样式 首行缩进:  2 字符 Char"/>
    <w:link w:val="169"/>
    <w:qFormat/>
    <w:uiPriority w:val="0"/>
    <w:rPr>
      <w:rFonts w:cs="方正仿宋简体"/>
      <w:snapToGrid/>
      <w:sz w:val="24"/>
      <w:szCs w:val="24"/>
    </w:rPr>
  </w:style>
  <w:style w:type="paragraph" w:customStyle="1" w:styleId="169">
    <w:name w:val="样式 首行缩进:  2 字符"/>
    <w:basedOn w:val="1"/>
    <w:link w:val="168"/>
    <w:qFormat/>
    <w:uiPriority w:val="0"/>
    <w:pPr>
      <w:snapToGrid w:val="0"/>
      <w:ind w:firstLine="480"/>
      <w:jc w:val="center"/>
    </w:pPr>
    <w:rPr>
      <w:kern w:val="0"/>
    </w:rPr>
  </w:style>
  <w:style w:type="character" w:customStyle="1" w:styleId="170">
    <w:name w:val="样式 样式 标题 2 + 左侧:  1 字符 右侧:  1 字符 + (西文) 黑体1 Char"/>
    <w:qFormat/>
    <w:uiPriority w:val="0"/>
  </w:style>
  <w:style w:type="character" w:customStyle="1" w:styleId="171">
    <w:name w:val="表头图名 Char"/>
    <w:link w:val="172"/>
    <w:qFormat/>
    <w:uiPriority w:val="0"/>
    <w:rPr>
      <w:rFonts w:ascii="黑体" w:hAnsi="宋体" w:eastAsia="黑体" w:cs="Times New Roman"/>
      <w:kern w:val="2"/>
      <w:sz w:val="28"/>
      <w:szCs w:val="28"/>
    </w:rPr>
  </w:style>
  <w:style w:type="paragraph" w:customStyle="1" w:styleId="172">
    <w:name w:val="表头图名"/>
    <w:basedOn w:val="162"/>
    <w:link w:val="171"/>
    <w:qFormat/>
    <w:uiPriority w:val="0"/>
    <w:pPr>
      <w:spacing w:before="240" w:after="48" w:line="240" w:lineRule="exact"/>
      <w:ind w:firstLine="0" w:firstLineChars="0"/>
      <w:jc w:val="center"/>
    </w:pPr>
    <w:rPr>
      <w:rFonts w:ascii="黑体" w:eastAsia="黑体"/>
    </w:rPr>
  </w:style>
  <w:style w:type="character" w:customStyle="1" w:styleId="173">
    <w:name w:val="yf_正文～ Char"/>
    <w:qFormat/>
    <w:uiPriority w:val="0"/>
  </w:style>
  <w:style w:type="character" w:customStyle="1" w:styleId="174">
    <w:name w:val="报告正文 Char1"/>
    <w:link w:val="175"/>
    <w:qFormat/>
    <w:uiPriority w:val="0"/>
    <w:rPr>
      <w:rFonts w:ascii="方正仿宋简体"/>
      <w:kern w:val="2"/>
      <w:sz w:val="28"/>
    </w:rPr>
  </w:style>
  <w:style w:type="paragraph" w:customStyle="1" w:styleId="175">
    <w:name w:val="报告正文"/>
    <w:basedOn w:val="1"/>
    <w:link w:val="174"/>
    <w:qFormat/>
    <w:uiPriority w:val="0"/>
    <w:pPr>
      <w:snapToGrid w:val="0"/>
      <w:spacing w:line="300" w:lineRule="auto"/>
    </w:pPr>
    <w:rPr>
      <w:rFonts w:ascii="方正仿宋简体"/>
      <w:sz w:val="28"/>
      <w:szCs w:val="20"/>
    </w:rPr>
  </w:style>
  <w:style w:type="character" w:customStyle="1" w:styleId="176">
    <w:name w:val="样式 四号"/>
    <w:qFormat/>
    <w:uiPriority w:val="0"/>
  </w:style>
  <w:style w:type="character" w:customStyle="1" w:styleId="177">
    <w:name w:val="apple-style-span"/>
    <w:qFormat/>
    <w:uiPriority w:val="0"/>
  </w:style>
  <w:style w:type="character" w:customStyle="1" w:styleId="178">
    <w:name w:val="二线图表 Char"/>
    <w:link w:val="179"/>
    <w:qFormat/>
    <w:uiPriority w:val="0"/>
    <w:rPr>
      <w:rFonts w:ascii="方正仿宋简体" w:hAnsi="方正仿宋简体"/>
      <w:kern w:val="2"/>
      <w:sz w:val="28"/>
      <w:szCs w:val="28"/>
    </w:rPr>
  </w:style>
  <w:style w:type="paragraph" w:customStyle="1" w:styleId="179">
    <w:name w:val="二线图表"/>
    <w:basedOn w:val="1"/>
    <w:link w:val="178"/>
    <w:qFormat/>
    <w:uiPriority w:val="0"/>
    <w:pPr>
      <w:spacing w:line="240" w:lineRule="auto"/>
      <w:ind w:firstLine="480"/>
      <w:jc w:val="center"/>
    </w:pPr>
    <w:rPr>
      <w:rFonts w:ascii="方正仿宋简体" w:hAnsi="方正仿宋简体"/>
      <w:sz w:val="28"/>
      <w:szCs w:val="28"/>
    </w:rPr>
  </w:style>
  <w:style w:type="character" w:customStyle="1" w:styleId="180">
    <w:name w:val="表格5居中 Char"/>
    <w:link w:val="181"/>
    <w:qFormat/>
    <w:uiPriority w:val="0"/>
    <w:rPr>
      <w:rFonts w:ascii="Calibri" w:hAnsi="Calibri" w:eastAsia="仿宋_GB2312" w:cs="Times New Roman"/>
      <w:sz w:val="18"/>
      <w:szCs w:val="18"/>
    </w:rPr>
  </w:style>
  <w:style w:type="paragraph" w:customStyle="1" w:styleId="181">
    <w:name w:val="表格5居中"/>
    <w:basedOn w:val="1"/>
    <w:link w:val="180"/>
    <w:qFormat/>
    <w:uiPriority w:val="0"/>
    <w:pPr>
      <w:spacing w:line="0" w:lineRule="atLeast"/>
      <w:ind w:left="-84" w:leftChars="-35" w:firstLine="13" w:firstLineChars="7"/>
      <w:jc w:val="center"/>
    </w:pPr>
    <w:rPr>
      <w:rFonts w:ascii="Calibri" w:hAnsi="Calibri"/>
      <w:kern w:val="0"/>
      <w:sz w:val="18"/>
      <w:szCs w:val="18"/>
    </w:rPr>
  </w:style>
  <w:style w:type="character" w:customStyle="1" w:styleId="182">
    <w:name w:val="样式 标题 2 + 左侧:  1 字符 右侧:  1 字符 Char"/>
    <w:qFormat/>
    <w:uiPriority w:val="0"/>
    <w:rPr>
      <w:rFonts w:ascii="Arial Unicode MS" w:hAnsi="Arial Unicode MS" w:eastAsia="方正仿宋简体" w:cs="方正仿宋简体"/>
      <w:bCs/>
      <w:kern w:val="2"/>
      <w:sz w:val="28"/>
      <w:szCs w:val="28"/>
      <w:lang w:val="en-US" w:eastAsia="zh-CN" w:bidi="ar-SA"/>
    </w:rPr>
  </w:style>
  <w:style w:type="character" w:customStyle="1" w:styleId="183">
    <w:name w:val="font31"/>
    <w:qFormat/>
    <w:uiPriority w:val="0"/>
    <w:rPr>
      <w:rFonts w:hint="eastAsia" w:ascii="宋体" w:hAnsi="宋体" w:eastAsia="宋体" w:cs="宋体"/>
      <w:color w:val="000000"/>
      <w:sz w:val="21"/>
      <w:szCs w:val="21"/>
      <w:u w:val="none"/>
    </w:rPr>
  </w:style>
  <w:style w:type="character" w:customStyle="1" w:styleId="184">
    <w:name w:val="font91"/>
    <w:qFormat/>
    <w:uiPriority w:val="0"/>
    <w:rPr>
      <w:rFonts w:hint="default" w:ascii="Times New Roman" w:hAnsi="Times New Roman" w:cs="Times New Roman"/>
      <w:color w:val="000000"/>
      <w:sz w:val="21"/>
      <w:szCs w:val="21"/>
      <w:u w:val="none"/>
    </w:rPr>
  </w:style>
  <w:style w:type="character" w:customStyle="1" w:styleId="185">
    <w:name w:val="样式 样式 标题 1 + 左侧:  1 字符 右侧:  1 字符 + 宋体 Char"/>
    <w:qFormat/>
    <w:uiPriority w:val="0"/>
  </w:style>
  <w:style w:type="character" w:customStyle="1" w:styleId="186">
    <w:name w:val="正文1 Char"/>
    <w:link w:val="187"/>
    <w:qFormat/>
    <w:uiPriority w:val="0"/>
    <w:rPr>
      <w:kern w:val="2"/>
      <w:sz w:val="24"/>
      <w:szCs w:val="24"/>
    </w:rPr>
  </w:style>
  <w:style w:type="paragraph" w:customStyle="1" w:styleId="187">
    <w:name w:val="正文1"/>
    <w:basedOn w:val="1"/>
    <w:link w:val="186"/>
    <w:qFormat/>
    <w:uiPriority w:val="0"/>
    <w:pPr>
      <w:spacing w:line="480" w:lineRule="exact"/>
    </w:pPr>
  </w:style>
  <w:style w:type="character" w:customStyle="1" w:styleId="188">
    <w:name w:val="图头 Char"/>
    <w:link w:val="189"/>
    <w:qFormat/>
    <w:uiPriority w:val="0"/>
    <w:rPr>
      <w:rFonts w:eastAsia="华文中宋"/>
      <w:kern w:val="2"/>
      <w:sz w:val="24"/>
      <w:szCs w:val="24"/>
    </w:rPr>
  </w:style>
  <w:style w:type="paragraph" w:customStyle="1" w:styleId="189">
    <w:name w:val="图头"/>
    <w:basedOn w:val="1"/>
    <w:link w:val="188"/>
    <w:qFormat/>
    <w:uiPriority w:val="0"/>
    <w:pPr>
      <w:spacing w:before="50" w:beforeLines="50" w:line="300" w:lineRule="auto"/>
      <w:jc w:val="center"/>
    </w:pPr>
    <w:rPr>
      <w:rFonts w:eastAsia="华文中宋"/>
    </w:rPr>
  </w:style>
  <w:style w:type="character" w:customStyle="1" w:styleId="190">
    <w:name w:val="图标标题B Char"/>
    <w:link w:val="191"/>
    <w:qFormat/>
    <w:uiPriority w:val="0"/>
    <w:rPr>
      <w:rFonts w:ascii="华文中宋" w:hAnsi="方正仿宋简体" w:eastAsia="华文中宋"/>
      <w:kern w:val="2"/>
      <w:sz w:val="24"/>
    </w:rPr>
  </w:style>
  <w:style w:type="paragraph" w:customStyle="1" w:styleId="191">
    <w:name w:val="图标标题B"/>
    <w:basedOn w:val="1"/>
    <w:link w:val="190"/>
    <w:qFormat/>
    <w:uiPriority w:val="0"/>
    <w:pPr>
      <w:ind w:right="210" w:rightChars="100" w:firstLine="240" w:firstLineChars="100"/>
      <w:jc w:val="center"/>
    </w:pPr>
    <w:rPr>
      <w:rFonts w:ascii="华文中宋" w:hAnsi="方正仿宋简体" w:eastAsia="华文中宋"/>
      <w:szCs w:val="20"/>
    </w:rPr>
  </w:style>
  <w:style w:type="character" w:customStyle="1" w:styleId="192">
    <w:name w:val="内容 Char"/>
    <w:link w:val="193"/>
    <w:qFormat/>
    <w:uiPriority w:val="0"/>
    <w:rPr>
      <w:bCs/>
      <w:snapToGrid/>
      <w:sz w:val="24"/>
      <w:szCs w:val="24"/>
    </w:rPr>
  </w:style>
  <w:style w:type="paragraph" w:customStyle="1" w:styleId="193">
    <w:name w:val="内容"/>
    <w:basedOn w:val="1"/>
    <w:link w:val="192"/>
    <w:qFormat/>
    <w:uiPriority w:val="0"/>
    <w:pPr>
      <w:snapToGrid w:val="0"/>
      <w:spacing w:line="336" w:lineRule="auto"/>
      <w:ind w:firstLine="480"/>
      <w:textAlignment w:val="baseline"/>
    </w:pPr>
    <w:rPr>
      <w:bCs/>
      <w:kern w:val="0"/>
    </w:rPr>
  </w:style>
  <w:style w:type="character" w:customStyle="1" w:styleId="194">
    <w:name w:val="正文11111111111111111111 Char"/>
    <w:link w:val="195"/>
    <w:qFormat/>
    <w:locked/>
    <w:uiPriority w:val="0"/>
    <w:rPr>
      <w:rFonts w:ascii="Courier New" w:hAnsi="方正仿宋简体"/>
      <w:sz w:val="24"/>
      <w:szCs w:val="24"/>
    </w:rPr>
  </w:style>
  <w:style w:type="paragraph" w:customStyle="1" w:styleId="195">
    <w:name w:val="正文11111111111111111111"/>
    <w:basedOn w:val="1"/>
    <w:link w:val="194"/>
    <w:qFormat/>
    <w:uiPriority w:val="0"/>
    <w:pPr>
      <w:ind w:firstLine="480"/>
      <w:jc w:val="right"/>
    </w:pPr>
    <w:rPr>
      <w:rFonts w:ascii="Courier New" w:hAnsi="方正仿宋简体"/>
      <w:kern w:val="0"/>
    </w:rPr>
  </w:style>
  <w:style w:type="character" w:customStyle="1" w:styleId="196">
    <w:name w:val="表格文字居中（小四） Char"/>
    <w:link w:val="197"/>
    <w:qFormat/>
    <w:uiPriority w:val="0"/>
    <w:rPr>
      <w:rFonts w:ascii="宋体" w:hAnsi="宋体" w:eastAsia="宋体" w:cs="宋体"/>
      <w:kern w:val="2"/>
      <w:sz w:val="24"/>
      <w:szCs w:val="21"/>
    </w:rPr>
  </w:style>
  <w:style w:type="paragraph" w:customStyle="1" w:styleId="197">
    <w:name w:val="表格文字居中（小四）"/>
    <w:basedOn w:val="162"/>
    <w:link w:val="196"/>
    <w:qFormat/>
    <w:uiPriority w:val="0"/>
    <w:pPr>
      <w:tabs>
        <w:tab w:val="left" w:pos="360"/>
      </w:tabs>
      <w:spacing w:line="240" w:lineRule="auto"/>
      <w:ind w:firstLine="0" w:firstLineChars="0"/>
      <w:jc w:val="center"/>
    </w:pPr>
    <w:rPr>
      <w:sz w:val="24"/>
      <w:szCs w:val="21"/>
    </w:rPr>
  </w:style>
  <w:style w:type="character" w:customStyle="1" w:styleId="198">
    <w:name w:val="章标题 Char"/>
    <w:link w:val="199"/>
    <w:qFormat/>
    <w:uiPriority w:val="0"/>
    <w:rPr>
      <w:rFonts w:ascii="华文中宋" w:eastAsia="华文中宋"/>
      <w:sz w:val="21"/>
      <w:lang w:val="en-US" w:eastAsia="zh-CN" w:bidi="ar-SA"/>
    </w:rPr>
  </w:style>
  <w:style w:type="paragraph" w:customStyle="1" w:styleId="199">
    <w:name w:val="章标题"/>
    <w:next w:val="1"/>
    <w:link w:val="198"/>
    <w:qFormat/>
    <w:uiPriority w:val="0"/>
    <w:pPr>
      <w:spacing w:before="312" w:beforeLines="100" w:after="312" w:afterLines="100"/>
      <w:jc w:val="both"/>
      <w:outlineLvl w:val="1"/>
    </w:pPr>
    <w:rPr>
      <w:rFonts w:ascii="华文中宋" w:hAnsi="Times New Roman" w:eastAsia="华文中宋" w:cs="Times New Roman"/>
      <w:sz w:val="21"/>
      <w:lang w:val="en-US" w:eastAsia="zh-CN" w:bidi="ar-SA"/>
    </w:rPr>
  </w:style>
  <w:style w:type="character" w:customStyle="1" w:styleId="200">
    <w:name w:val="标题 3 Char"/>
    <w:qFormat/>
    <w:uiPriority w:val="9"/>
    <w:rPr>
      <w:rFonts w:ascii="方正仿宋简体" w:hAnsi="方正仿宋简体"/>
      <w:b/>
      <w:sz w:val="28"/>
      <w:szCs w:val="32"/>
    </w:rPr>
  </w:style>
  <w:style w:type="character" w:customStyle="1" w:styleId="201">
    <w:name w:val="B一级 Char"/>
    <w:link w:val="202"/>
    <w:qFormat/>
    <w:uiPriority w:val="0"/>
    <w:rPr>
      <w:rFonts w:ascii="方正仿宋简体" w:hAnsi="方正仿宋简体"/>
      <w:b/>
      <w:kern w:val="2"/>
      <w:sz w:val="28"/>
      <w:szCs w:val="28"/>
    </w:rPr>
  </w:style>
  <w:style w:type="paragraph" w:customStyle="1" w:styleId="202">
    <w:name w:val="B一级"/>
    <w:basedOn w:val="1"/>
    <w:link w:val="201"/>
    <w:qFormat/>
    <w:uiPriority w:val="0"/>
    <w:pPr>
      <w:snapToGrid w:val="0"/>
      <w:spacing w:line="336" w:lineRule="auto"/>
      <w:ind w:left="210" w:leftChars="100" w:right="105" w:rightChars="50" w:firstLine="480"/>
      <w:jc w:val="center"/>
      <w:outlineLvl w:val="0"/>
    </w:pPr>
    <w:rPr>
      <w:rFonts w:ascii="方正仿宋简体" w:hAnsi="方正仿宋简体"/>
      <w:b/>
      <w:sz w:val="28"/>
      <w:szCs w:val="28"/>
    </w:rPr>
  </w:style>
  <w:style w:type="character" w:customStyle="1" w:styleId="203">
    <w:name w:val="z-窗体顶端 Char1"/>
    <w:qFormat/>
    <w:uiPriority w:val="99"/>
    <w:rPr>
      <w:rFonts w:ascii="Arial Unicode MS" w:hAnsi="Arial Unicode MS" w:cs="Arial Unicode MS"/>
      <w:vanish/>
      <w:kern w:val="2"/>
      <w:sz w:val="16"/>
      <w:szCs w:val="16"/>
    </w:rPr>
  </w:style>
  <w:style w:type="character" w:customStyle="1" w:styleId="204">
    <w:name w:val="表内容       .. Char"/>
    <w:link w:val="205"/>
    <w:qFormat/>
    <w:uiPriority w:val="0"/>
    <w:rPr>
      <w:rFonts w:ascii="方正仿宋简体" w:hAnsi="方正仿宋简体" w:eastAsia="方正仿宋简体"/>
      <w:kern w:val="2"/>
      <w:sz w:val="18"/>
      <w:szCs w:val="18"/>
      <w:lang w:val="en-US" w:eastAsia="zh-CN" w:bidi="ar-SA"/>
    </w:rPr>
  </w:style>
  <w:style w:type="paragraph" w:customStyle="1" w:styleId="205">
    <w:name w:val="表内容       .."/>
    <w:basedOn w:val="1"/>
    <w:link w:val="204"/>
    <w:qFormat/>
    <w:uiPriority w:val="0"/>
    <w:pPr>
      <w:spacing w:line="240" w:lineRule="auto"/>
      <w:ind w:left="-31" w:leftChars="-15" w:right="-31" w:rightChars="-15"/>
      <w:jc w:val="center"/>
    </w:pPr>
    <w:rPr>
      <w:rFonts w:ascii="方正仿宋简体" w:hAnsi="方正仿宋简体" w:eastAsia="方正仿宋简体"/>
      <w:sz w:val="18"/>
      <w:szCs w:val="18"/>
    </w:rPr>
  </w:style>
  <w:style w:type="character" w:customStyle="1" w:styleId="206">
    <w:name w:val="B图表 Char"/>
    <w:link w:val="207"/>
    <w:qFormat/>
    <w:uiPriority w:val="0"/>
    <w:rPr>
      <w:rFonts w:ascii="方正仿宋简体" w:hAnsi="方正仿宋简体"/>
      <w:kern w:val="2"/>
      <w:sz w:val="28"/>
      <w:szCs w:val="28"/>
    </w:rPr>
  </w:style>
  <w:style w:type="paragraph" w:customStyle="1" w:styleId="207">
    <w:name w:val="B图表"/>
    <w:basedOn w:val="1"/>
    <w:link w:val="206"/>
    <w:qFormat/>
    <w:uiPriority w:val="0"/>
    <w:pPr>
      <w:ind w:left="240" w:leftChars="100" w:right="240" w:rightChars="100" w:firstLine="560"/>
      <w:jc w:val="center"/>
    </w:pPr>
    <w:rPr>
      <w:rFonts w:ascii="方正仿宋简体" w:hAnsi="方正仿宋简体"/>
      <w:sz w:val="28"/>
      <w:szCs w:val="28"/>
    </w:rPr>
  </w:style>
  <w:style w:type="character" w:customStyle="1" w:styleId="208">
    <w:name w:val="wt正文 Char"/>
    <w:link w:val="209"/>
    <w:qFormat/>
    <w:locked/>
    <w:uiPriority w:val="0"/>
    <w:rPr>
      <w:rFonts w:ascii="方正仿宋简体" w:hAnsi="方正仿宋简体" w:eastAsia="方正仿宋简体"/>
      <w:kern w:val="2"/>
      <w:sz w:val="24"/>
      <w:szCs w:val="24"/>
      <w:lang w:val="en-US" w:eastAsia="zh-CN" w:bidi="ar-SA"/>
    </w:rPr>
  </w:style>
  <w:style w:type="paragraph" w:customStyle="1" w:styleId="209">
    <w:name w:val="wt正文"/>
    <w:basedOn w:val="1"/>
    <w:link w:val="208"/>
    <w:qFormat/>
    <w:uiPriority w:val="0"/>
    <w:pPr>
      <w:snapToGrid w:val="0"/>
      <w:spacing w:line="300" w:lineRule="auto"/>
      <w:ind w:firstLine="500"/>
      <w:jc w:val="left"/>
    </w:pPr>
    <w:rPr>
      <w:rFonts w:ascii="方正仿宋简体" w:hAnsi="方正仿宋简体" w:eastAsia="方正仿宋简体"/>
    </w:rPr>
  </w:style>
  <w:style w:type="character" w:customStyle="1" w:styleId="210">
    <w:name w:val="二线三级标题 Char"/>
    <w:link w:val="211"/>
    <w:qFormat/>
    <w:uiPriority w:val="0"/>
    <w:rPr>
      <w:rFonts w:hAnsi="方正仿宋简体"/>
      <w:kern w:val="2"/>
      <w:sz w:val="28"/>
      <w:szCs w:val="28"/>
    </w:rPr>
  </w:style>
  <w:style w:type="paragraph" w:customStyle="1" w:styleId="211">
    <w:name w:val="二线三级标题"/>
    <w:basedOn w:val="1"/>
    <w:link w:val="210"/>
    <w:qFormat/>
    <w:uiPriority w:val="0"/>
    <w:pPr>
      <w:snapToGrid w:val="0"/>
      <w:ind w:left="100" w:leftChars="100" w:right="147" w:rightChars="147" w:firstLine="480"/>
      <w:jc w:val="center"/>
      <w:outlineLvl w:val="2"/>
    </w:pPr>
    <w:rPr>
      <w:rFonts w:hAnsi="方正仿宋简体"/>
      <w:sz w:val="28"/>
      <w:szCs w:val="28"/>
    </w:rPr>
  </w:style>
  <w:style w:type="character" w:customStyle="1" w:styleId="212">
    <w:name w:val="无间隔 Char"/>
    <w:link w:val="213"/>
    <w:qFormat/>
    <w:uiPriority w:val="1"/>
    <w:rPr>
      <w:kern w:val="2"/>
      <w:sz w:val="21"/>
      <w:szCs w:val="24"/>
      <w:lang w:val="en-US" w:eastAsia="zh-CN" w:bidi="ar-SA"/>
    </w:rPr>
  </w:style>
  <w:style w:type="paragraph" w:styleId="213">
    <w:name w:val="No Spacing"/>
    <w:link w:val="212"/>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character" w:customStyle="1" w:styleId="214">
    <w:name w:val="电子邮件签名 Char1"/>
    <w:semiHidden/>
    <w:qFormat/>
    <w:uiPriority w:val="99"/>
    <w:rPr>
      <w:rFonts w:ascii="TIME" w:hAnsi="TIME" w:eastAsia="方正仿宋简体" w:cs="TIME"/>
      <w:szCs w:val="24"/>
    </w:rPr>
  </w:style>
  <w:style w:type="character" w:customStyle="1" w:styleId="215">
    <w:name w:val="签名 Char1"/>
    <w:semiHidden/>
    <w:qFormat/>
    <w:uiPriority w:val="99"/>
    <w:rPr>
      <w:rFonts w:ascii="TIME" w:hAnsi="TIME" w:eastAsia="方正仿宋简体" w:cs="TIME"/>
      <w:szCs w:val="24"/>
    </w:rPr>
  </w:style>
  <w:style w:type="character" w:customStyle="1" w:styleId="216">
    <w:name w:val="font01"/>
    <w:qFormat/>
    <w:uiPriority w:val="0"/>
    <w:rPr>
      <w:rFonts w:hint="default" w:ascii="Times New Roman" w:hAnsi="Times New Roman" w:cs="Times New Roman"/>
      <w:color w:val="000000"/>
      <w:sz w:val="14"/>
      <w:szCs w:val="14"/>
      <w:u w:val="none"/>
    </w:rPr>
  </w:style>
  <w:style w:type="character" w:customStyle="1" w:styleId="217">
    <w:name w:val="文档正文 Char"/>
    <w:link w:val="218"/>
    <w:qFormat/>
    <w:uiPriority w:val="0"/>
    <w:rPr>
      <w:rFonts w:ascii="Courier New" w:hAnsi="方正仿宋简体" w:eastAsia="Courier New" w:cs="方正仿宋简体"/>
      <w:sz w:val="28"/>
      <w:szCs w:val="28"/>
    </w:rPr>
  </w:style>
  <w:style w:type="paragraph" w:customStyle="1" w:styleId="218">
    <w:name w:val="文档正文"/>
    <w:basedOn w:val="1"/>
    <w:link w:val="217"/>
    <w:qFormat/>
    <w:uiPriority w:val="0"/>
    <w:pPr>
      <w:widowControl/>
      <w:spacing w:line="480" w:lineRule="atLeast"/>
      <w:ind w:firstLine="567"/>
      <w:jc w:val="left"/>
      <w:textAlignment w:val="baseline"/>
    </w:pPr>
    <w:rPr>
      <w:rFonts w:ascii="Courier New" w:hAnsi="方正仿宋简体" w:eastAsia="Courier New"/>
      <w:kern w:val="0"/>
      <w:sz w:val="28"/>
      <w:szCs w:val="28"/>
    </w:rPr>
  </w:style>
  <w:style w:type="character" w:customStyle="1" w:styleId="219">
    <w:name w:val="font11"/>
    <w:qFormat/>
    <w:uiPriority w:val="0"/>
    <w:rPr>
      <w:rFonts w:hint="default" w:ascii="Times New Roman" w:hAnsi="Times New Roman" w:cs="Times New Roman"/>
      <w:color w:val="000000"/>
      <w:sz w:val="21"/>
      <w:szCs w:val="21"/>
      <w:u w:val="none"/>
    </w:rPr>
  </w:style>
  <w:style w:type="character" w:customStyle="1" w:styleId="220">
    <w:name w:val="结束语 Char1"/>
    <w:semiHidden/>
    <w:qFormat/>
    <w:uiPriority w:val="99"/>
    <w:rPr>
      <w:rFonts w:ascii="TIME" w:hAnsi="TIME" w:eastAsia="方正仿宋简体" w:cs="TIME"/>
      <w:szCs w:val="24"/>
    </w:rPr>
  </w:style>
  <w:style w:type="character" w:customStyle="1" w:styleId="221">
    <w:name w:val="样式 标题 1 + 左侧:  1 字符 右侧:  1 字符 Char"/>
    <w:qFormat/>
    <w:uiPriority w:val="0"/>
    <w:rPr>
      <w:rFonts w:ascii="TIME" w:hAnsi="TIME" w:eastAsia="方正仿宋简体" w:cs="TIME"/>
      <w:b/>
      <w:bCs/>
      <w:kern w:val="44"/>
      <w:sz w:val="32"/>
      <w:szCs w:val="44"/>
      <w:lang w:val="en-US" w:eastAsia="zh-CN" w:bidi="ar-SA"/>
    </w:rPr>
  </w:style>
  <w:style w:type="character" w:customStyle="1" w:styleId="222">
    <w:name w:val="普通文字 Char1"/>
    <w:qFormat/>
    <w:uiPriority w:val="0"/>
    <w:rPr>
      <w:rFonts w:ascii="方正仿宋简体" w:hAnsi="Verdana" w:eastAsia="方正仿宋简体" w:cs="Verdana"/>
      <w:kern w:val="2"/>
      <w:sz w:val="21"/>
      <w:szCs w:val="21"/>
      <w:lang w:val="en-US" w:eastAsia="zh-CN" w:bidi="ar-SA"/>
    </w:rPr>
  </w:style>
  <w:style w:type="character" w:customStyle="1" w:styleId="223">
    <w:name w:val="样式 段 + 首行缩进:  2 字符 Char"/>
    <w:link w:val="224"/>
    <w:qFormat/>
    <w:uiPriority w:val="0"/>
    <w:rPr>
      <w:rFonts w:cs="方正仿宋简体"/>
      <w:sz w:val="21"/>
      <w:szCs w:val="21"/>
    </w:rPr>
  </w:style>
  <w:style w:type="paragraph" w:customStyle="1" w:styleId="224">
    <w:name w:val="样式 段 + 首行缩进:  2 字符"/>
    <w:basedOn w:val="1"/>
    <w:link w:val="223"/>
    <w:qFormat/>
    <w:uiPriority w:val="0"/>
    <w:pPr>
      <w:widowControl/>
      <w:autoSpaceDE w:val="0"/>
      <w:autoSpaceDN w:val="0"/>
      <w:spacing w:line="240" w:lineRule="auto"/>
      <w:ind w:firstLine="420"/>
    </w:pPr>
    <w:rPr>
      <w:kern w:val="0"/>
      <w:szCs w:val="21"/>
    </w:rPr>
  </w:style>
  <w:style w:type="character" w:customStyle="1" w:styleId="225">
    <w:name w:val="样式1 Char"/>
    <w:qFormat/>
    <w:uiPriority w:val="0"/>
    <w:rPr>
      <w:rFonts w:ascii="Arial Unicode MS" w:hAnsi="Arial Unicode MS" w:eastAsia="方正仿宋简体" w:cs="方正仿宋简体"/>
      <w:b/>
      <w:kern w:val="44"/>
      <w:sz w:val="28"/>
      <w:szCs w:val="28"/>
      <w:lang w:val="en-US" w:eastAsia="zh-CN" w:bidi="ar-SA"/>
    </w:rPr>
  </w:style>
  <w:style w:type="character" w:customStyle="1" w:styleId="226">
    <w:name w:val="Footer1 Char"/>
    <w:qFormat/>
    <w:uiPriority w:val="0"/>
    <w:rPr>
      <w:rFonts w:ascii="Times New Roman" w:hAnsi="Times New Roman" w:eastAsia="宋体" w:cs="Times New Roman"/>
      <w:sz w:val="18"/>
      <w:szCs w:val="18"/>
    </w:rPr>
  </w:style>
  <w:style w:type="character" w:customStyle="1" w:styleId="227">
    <w:name w:val="B标题 Char"/>
    <w:link w:val="228"/>
    <w:qFormat/>
    <w:uiPriority w:val="0"/>
    <w:rPr>
      <w:rFonts w:ascii="华文中宋" w:hAnsi="方正仿宋简体" w:eastAsia="华文中宋"/>
      <w:kern w:val="2"/>
      <w:sz w:val="24"/>
      <w:szCs w:val="24"/>
    </w:rPr>
  </w:style>
  <w:style w:type="paragraph" w:customStyle="1" w:styleId="228">
    <w:name w:val="B标题"/>
    <w:basedOn w:val="1"/>
    <w:link w:val="227"/>
    <w:qFormat/>
    <w:uiPriority w:val="0"/>
    <w:pPr>
      <w:spacing w:line="240" w:lineRule="auto"/>
      <w:ind w:firstLine="480"/>
      <w:jc w:val="center"/>
    </w:pPr>
    <w:rPr>
      <w:rFonts w:ascii="华文中宋" w:hAnsi="方正仿宋简体" w:eastAsia="华文中宋"/>
    </w:rPr>
  </w:style>
  <w:style w:type="character" w:customStyle="1" w:styleId="229">
    <w:name w:val="样式 正文文本 + 宋体 Char"/>
    <w:link w:val="230"/>
    <w:qFormat/>
    <w:uiPriority w:val="0"/>
    <w:rPr>
      <w:rFonts w:ascii="方正仿宋简体" w:hAnsi="方正仿宋简体" w:eastAsia="方正仿宋简体"/>
      <w:kern w:val="2"/>
      <w:sz w:val="21"/>
      <w:szCs w:val="21"/>
      <w:lang w:val="en-US" w:eastAsia="zh-CN" w:bidi="ar-SA"/>
    </w:rPr>
  </w:style>
  <w:style w:type="paragraph" w:customStyle="1" w:styleId="230">
    <w:name w:val="样式 正文文本 + 宋体"/>
    <w:basedOn w:val="36"/>
    <w:link w:val="229"/>
    <w:qFormat/>
    <w:uiPriority w:val="0"/>
    <w:pPr>
      <w:spacing w:after="0"/>
      <w:ind w:firstLine="420"/>
    </w:pPr>
    <w:rPr>
      <w:rFonts w:ascii="方正仿宋简体" w:hAnsi="方正仿宋简体" w:eastAsia="方正仿宋简体"/>
      <w:szCs w:val="21"/>
    </w:rPr>
  </w:style>
  <w:style w:type="character" w:customStyle="1" w:styleId="231">
    <w:name w:val="font61"/>
    <w:qFormat/>
    <w:uiPriority w:val="0"/>
    <w:rPr>
      <w:rFonts w:hint="eastAsia" w:ascii="仿宋_GB2312" w:eastAsia="仿宋_GB2312" w:cs="仿宋_GB2312"/>
      <w:color w:val="000000"/>
      <w:sz w:val="21"/>
      <w:szCs w:val="21"/>
      <w:u w:val="none"/>
    </w:rPr>
  </w:style>
  <w:style w:type="character" w:customStyle="1" w:styleId="232">
    <w:name w:val="报告正文 Char"/>
    <w:qFormat/>
    <w:uiPriority w:val="0"/>
    <w:rPr>
      <w:rFonts w:ascii="方正仿宋简体" w:eastAsia="方正仿宋简体"/>
      <w:kern w:val="2"/>
      <w:sz w:val="28"/>
      <w:lang w:val="en-US" w:eastAsia="zh-CN" w:bidi="ar-SA"/>
    </w:rPr>
  </w:style>
  <w:style w:type="character" w:customStyle="1" w:styleId="233">
    <w:name w:val="批注文字 Char1"/>
    <w:semiHidden/>
    <w:qFormat/>
    <w:uiPriority w:val="99"/>
    <w:rPr>
      <w:rFonts w:ascii="TIME" w:hAnsi="TIME" w:eastAsia="方正仿宋简体" w:cs="TIME"/>
      <w:szCs w:val="24"/>
    </w:rPr>
  </w:style>
  <w:style w:type="character" w:customStyle="1" w:styleId="234">
    <w:name w:val="font41"/>
    <w:qFormat/>
    <w:uiPriority w:val="0"/>
    <w:rPr>
      <w:rFonts w:hint="default" w:ascii="Times New Roman" w:hAnsi="Times New Roman" w:cs="Times New Roman"/>
      <w:color w:val="000000"/>
      <w:sz w:val="21"/>
      <w:szCs w:val="21"/>
      <w:u w:val="none"/>
    </w:rPr>
  </w:style>
  <w:style w:type="character" w:customStyle="1" w:styleId="235">
    <w:name w:val="正文文字 Char Char"/>
    <w:qFormat/>
    <w:uiPriority w:val="0"/>
    <w:rPr>
      <w:rFonts w:eastAsia="方正仿宋简体"/>
      <w:sz w:val="28"/>
      <w:lang w:val="en-US" w:eastAsia="zh-CN" w:bidi="ar-SA"/>
    </w:rPr>
  </w:style>
  <w:style w:type="character" w:customStyle="1" w:styleId="236">
    <w:name w:val="批注主题 Char1"/>
    <w:semiHidden/>
    <w:qFormat/>
    <w:uiPriority w:val="99"/>
    <w:rPr>
      <w:rFonts w:ascii="TIME" w:hAnsi="TIME" w:eastAsia="方正仿宋简体" w:cs="TIME"/>
      <w:b/>
      <w:bCs/>
      <w:szCs w:val="24"/>
    </w:rPr>
  </w:style>
  <w:style w:type="character" w:customStyle="1" w:styleId="237">
    <w:name w:val="B图表标题 Char"/>
    <w:link w:val="238"/>
    <w:qFormat/>
    <w:uiPriority w:val="0"/>
    <w:rPr>
      <w:rFonts w:ascii="方正仿宋简体" w:hAnsi="方正仿宋简体"/>
      <w:kern w:val="2"/>
      <w:sz w:val="28"/>
      <w:szCs w:val="28"/>
    </w:rPr>
  </w:style>
  <w:style w:type="paragraph" w:customStyle="1" w:styleId="238">
    <w:name w:val="B图表标题"/>
    <w:basedOn w:val="1"/>
    <w:link w:val="237"/>
    <w:qFormat/>
    <w:uiPriority w:val="0"/>
    <w:pPr>
      <w:snapToGrid w:val="0"/>
      <w:spacing w:line="240" w:lineRule="auto"/>
      <w:ind w:left="240" w:leftChars="100" w:right="240" w:rightChars="100" w:firstLine="482"/>
      <w:jc w:val="center"/>
    </w:pPr>
    <w:rPr>
      <w:rFonts w:ascii="方正仿宋简体" w:hAnsi="方正仿宋简体"/>
      <w:sz w:val="28"/>
      <w:szCs w:val="28"/>
    </w:rPr>
  </w:style>
  <w:style w:type="character" w:customStyle="1" w:styleId="239">
    <w:name w:val="md正文 Char"/>
    <w:link w:val="240"/>
    <w:qFormat/>
    <w:uiPriority w:val="0"/>
    <w:rPr>
      <w:rFonts w:eastAsia="Courier New"/>
      <w:sz w:val="24"/>
      <w:szCs w:val="24"/>
      <w:lang w:val="en-US" w:eastAsia="zh-CN" w:bidi="ar-SA"/>
    </w:rPr>
  </w:style>
  <w:style w:type="paragraph" w:customStyle="1" w:styleId="240">
    <w:name w:val="md正文"/>
    <w:basedOn w:val="1"/>
    <w:link w:val="239"/>
    <w:qFormat/>
    <w:uiPriority w:val="0"/>
    <w:pPr>
      <w:widowControl/>
      <w:overflowPunct w:val="0"/>
      <w:autoSpaceDE w:val="0"/>
      <w:autoSpaceDN w:val="0"/>
      <w:jc w:val="left"/>
      <w:textAlignment w:val="baseline"/>
    </w:pPr>
    <w:rPr>
      <w:rFonts w:eastAsia="Courier New"/>
      <w:kern w:val="0"/>
    </w:rPr>
  </w:style>
  <w:style w:type="character" w:customStyle="1" w:styleId="241">
    <w:name w:val="公正文 Char"/>
    <w:link w:val="242"/>
    <w:qFormat/>
    <w:uiPriority w:val="0"/>
    <w:rPr>
      <w:rFonts w:ascii="方正仿宋简体" w:hAnsi="方正仿宋简体" w:eastAsia="Courier New"/>
      <w:kern w:val="2"/>
      <w:sz w:val="28"/>
      <w:szCs w:val="21"/>
    </w:rPr>
  </w:style>
  <w:style w:type="paragraph" w:customStyle="1" w:styleId="242">
    <w:name w:val="公正文"/>
    <w:basedOn w:val="1"/>
    <w:link w:val="241"/>
    <w:qFormat/>
    <w:uiPriority w:val="0"/>
    <w:pPr>
      <w:snapToGrid w:val="0"/>
      <w:spacing w:line="355" w:lineRule="auto"/>
      <w:jc w:val="center"/>
    </w:pPr>
    <w:rPr>
      <w:rFonts w:ascii="方正仿宋简体" w:hAnsi="方正仿宋简体" w:eastAsia="Courier New"/>
      <w:sz w:val="28"/>
      <w:szCs w:val="21"/>
    </w:rPr>
  </w:style>
  <w:style w:type="character" w:customStyle="1" w:styleId="243">
    <w:name w:val="信息标题 Char1"/>
    <w:semiHidden/>
    <w:qFormat/>
    <w:uiPriority w:val="99"/>
    <w:rPr>
      <w:rFonts w:ascii="Georgia" w:hAnsi="Georgia" w:eastAsia="方正仿宋简体" w:cs="TIME"/>
      <w:sz w:val="24"/>
      <w:szCs w:val="24"/>
      <w:shd w:val="pct20" w:color="auto" w:fill="auto"/>
    </w:rPr>
  </w:style>
  <w:style w:type="character" w:customStyle="1" w:styleId="244">
    <w:name w:val="x正文 Char"/>
    <w:link w:val="245"/>
    <w:qFormat/>
    <w:uiPriority w:val="0"/>
    <w:rPr>
      <w:rFonts w:eastAsia="Courier New" w:cs="方正仿宋简体"/>
      <w:sz w:val="24"/>
      <w:szCs w:val="24"/>
      <w:lang w:val="en-US" w:eastAsia="zh-CN" w:bidi="ar-SA"/>
    </w:rPr>
  </w:style>
  <w:style w:type="paragraph" w:customStyle="1" w:styleId="245">
    <w:name w:val="x正文"/>
    <w:link w:val="244"/>
    <w:qFormat/>
    <w:uiPriority w:val="0"/>
    <w:pPr>
      <w:widowControl w:val="0"/>
      <w:autoSpaceDE w:val="0"/>
      <w:autoSpaceDN w:val="0"/>
      <w:snapToGrid w:val="0"/>
      <w:spacing w:line="360" w:lineRule="auto"/>
      <w:ind w:firstLine="200" w:firstLineChars="200"/>
      <w:jc w:val="both"/>
      <w:textAlignment w:val="center"/>
    </w:pPr>
    <w:rPr>
      <w:rFonts w:ascii="Times New Roman" w:hAnsi="Times New Roman" w:eastAsia="Courier New" w:cs="方正仿宋简体"/>
      <w:sz w:val="24"/>
      <w:szCs w:val="24"/>
      <w:lang w:val="en-US" w:eastAsia="zh-CN" w:bidi="ar-SA"/>
    </w:rPr>
  </w:style>
  <w:style w:type="character" w:customStyle="1" w:styleId="246">
    <w:name w:val="font21"/>
    <w:qFormat/>
    <w:uiPriority w:val="0"/>
    <w:rPr>
      <w:rFonts w:hint="default" w:ascii="Times New Roman" w:hAnsi="Times New Roman" w:cs="Times New Roman"/>
      <w:color w:val="000000"/>
      <w:sz w:val="21"/>
      <w:szCs w:val="21"/>
      <w:u w:val="none"/>
    </w:rPr>
  </w:style>
  <w:style w:type="character" w:customStyle="1" w:styleId="247">
    <w:name w:val="正文文字缩进 Char Char"/>
    <w:qFormat/>
    <w:uiPriority w:val="0"/>
    <w:rPr>
      <w:rFonts w:ascii="方正仿宋简体" w:eastAsia="方正仿宋简体"/>
      <w:kern w:val="2"/>
      <w:sz w:val="24"/>
      <w:lang w:val="en-US" w:eastAsia="zh-CN" w:bidi="ar-SA"/>
    </w:rPr>
  </w:style>
  <w:style w:type="character" w:customStyle="1" w:styleId="248">
    <w:name w:val="tit2"/>
    <w:qFormat/>
    <w:uiPriority w:val="0"/>
    <w:rPr>
      <w:rFonts w:ascii="Courier New" w:eastAsia="Courier New"/>
      <w:b/>
      <w:bCs/>
      <w:kern w:val="2"/>
      <w:sz w:val="48"/>
      <w:szCs w:val="48"/>
      <w:lang w:val="en-US" w:eastAsia="zh-CN" w:bidi="ar-SA"/>
    </w:rPr>
  </w:style>
  <w:style w:type="character" w:customStyle="1" w:styleId="249">
    <w:name w:val="表格文字 Char"/>
    <w:link w:val="250"/>
    <w:qFormat/>
    <w:uiPriority w:val="0"/>
    <w:rPr>
      <w:sz w:val="21"/>
      <w:szCs w:val="21"/>
    </w:rPr>
  </w:style>
  <w:style w:type="paragraph" w:customStyle="1" w:styleId="250">
    <w:name w:val="表格文字"/>
    <w:basedOn w:val="1"/>
    <w:link w:val="249"/>
    <w:qFormat/>
    <w:uiPriority w:val="0"/>
    <w:pPr>
      <w:snapToGrid w:val="0"/>
      <w:spacing w:line="400" w:lineRule="exact"/>
      <w:jc w:val="center"/>
    </w:pPr>
    <w:rPr>
      <w:kern w:val="0"/>
      <w:szCs w:val="21"/>
    </w:rPr>
  </w:style>
  <w:style w:type="character" w:customStyle="1" w:styleId="251">
    <w:name w:val="xxq Char"/>
    <w:link w:val="252"/>
    <w:qFormat/>
    <w:uiPriority w:val="0"/>
    <w:rPr>
      <w:rFonts w:hAnsi="方正仿宋简体"/>
      <w:snapToGrid/>
      <w:sz w:val="24"/>
      <w:szCs w:val="24"/>
    </w:rPr>
  </w:style>
  <w:style w:type="paragraph" w:customStyle="1" w:styleId="252">
    <w:name w:val="xxq"/>
    <w:basedOn w:val="8"/>
    <w:link w:val="251"/>
    <w:semiHidden/>
    <w:qFormat/>
    <w:uiPriority w:val="0"/>
    <w:pPr>
      <w:snapToGrid w:val="0"/>
      <w:spacing w:before="190" w:beforeLines="50"/>
      <w:ind w:firstLine="424"/>
    </w:pPr>
    <w:rPr>
      <w:rFonts w:ascii="Times New Roman"/>
      <w:kern w:val="0"/>
      <w:szCs w:val="24"/>
    </w:rPr>
  </w:style>
  <w:style w:type="character" w:customStyle="1" w:styleId="253">
    <w:name w:val="称呼 Char1"/>
    <w:semiHidden/>
    <w:qFormat/>
    <w:uiPriority w:val="99"/>
    <w:rPr>
      <w:rFonts w:ascii="TIME" w:hAnsi="TIME" w:eastAsia="方正仿宋简体" w:cs="TIME"/>
      <w:szCs w:val="24"/>
    </w:rPr>
  </w:style>
  <w:style w:type="character" w:customStyle="1" w:styleId="254">
    <w:name w:val="二线四级标题 Char"/>
    <w:link w:val="255"/>
    <w:qFormat/>
    <w:uiPriority w:val="0"/>
    <w:rPr>
      <w:rFonts w:ascii="方正仿宋简体" w:hAnsi="方正仿宋简体" w:cs="方正仿宋简体"/>
      <w:bCs/>
      <w:sz w:val="28"/>
      <w:szCs w:val="28"/>
    </w:rPr>
  </w:style>
  <w:style w:type="paragraph" w:customStyle="1" w:styleId="255">
    <w:name w:val="二线四级标题"/>
    <w:basedOn w:val="1"/>
    <w:link w:val="254"/>
    <w:qFormat/>
    <w:uiPriority w:val="0"/>
    <w:pPr>
      <w:tabs>
        <w:tab w:val="right" w:leader="dot" w:pos="9706"/>
      </w:tabs>
      <w:snapToGrid w:val="0"/>
      <w:ind w:right="100" w:rightChars="100" w:firstLine="250" w:firstLineChars="250"/>
      <w:jc w:val="center"/>
      <w:outlineLvl w:val="3"/>
    </w:pPr>
    <w:rPr>
      <w:rFonts w:ascii="方正仿宋简体" w:hAnsi="方正仿宋简体"/>
      <w:bCs/>
      <w:kern w:val="0"/>
      <w:sz w:val="28"/>
      <w:szCs w:val="28"/>
    </w:rPr>
  </w:style>
  <w:style w:type="paragraph" w:customStyle="1" w:styleId="256">
    <w:name w:val="样式 小四 首行缩进:  0.85 厘米 行距: 1.5 倍行距"/>
    <w:basedOn w:val="1"/>
    <w:qFormat/>
    <w:uiPriority w:val="0"/>
    <w:pPr>
      <w:ind w:firstLine="480"/>
    </w:pPr>
    <w:rPr>
      <w:rFonts w:eastAsia="Courier New" w:cs="方正仿宋简体"/>
      <w:szCs w:val="20"/>
    </w:rPr>
  </w:style>
  <w:style w:type="paragraph" w:customStyle="1" w:styleId="257">
    <w:name w:val="正文缩进2字符"/>
    <w:basedOn w:val="1"/>
    <w:qFormat/>
    <w:uiPriority w:val="0"/>
    <w:pPr>
      <w:snapToGrid w:val="0"/>
      <w:spacing w:line="336" w:lineRule="auto"/>
      <w:ind w:firstLine="560"/>
      <w:jc w:val="center"/>
    </w:pPr>
    <w:rPr>
      <w:rFonts w:ascii="方正仿宋简体" w:hAnsi="方正仿宋简体"/>
      <w:sz w:val="28"/>
      <w:szCs w:val="28"/>
    </w:rPr>
  </w:style>
  <w:style w:type="paragraph" w:customStyle="1" w:styleId="258">
    <w:name w:val="样式10"/>
    <w:basedOn w:val="1"/>
    <w:qFormat/>
    <w:uiPriority w:val="0"/>
    <w:pPr>
      <w:tabs>
        <w:tab w:val="left" w:pos="269"/>
        <w:tab w:val="left" w:pos="538"/>
        <w:tab w:val="left" w:pos="4262"/>
      </w:tabs>
      <w:snapToGrid w:val="0"/>
      <w:ind w:left="736" w:hanging="720"/>
      <w:jc w:val="center"/>
      <w:outlineLvl w:val="1"/>
    </w:pPr>
    <w:rPr>
      <w:rFonts w:ascii="Arial Unicode MS" w:hAnsi="Arial Unicode MS" w:eastAsia="方正仿宋简体"/>
      <w:bCs/>
      <w:kern w:val="44"/>
      <w:sz w:val="28"/>
      <w:szCs w:val="20"/>
    </w:rPr>
  </w:style>
  <w:style w:type="paragraph" w:customStyle="1" w:styleId="259">
    <w:name w:val="font5"/>
    <w:basedOn w:val="1"/>
    <w:qFormat/>
    <w:uiPriority w:val="0"/>
    <w:pPr>
      <w:widowControl/>
      <w:spacing w:before="100" w:beforeAutospacing="1" w:after="100" w:afterAutospacing="1" w:line="240" w:lineRule="auto"/>
      <w:jc w:val="left"/>
    </w:pPr>
    <w:rPr>
      <w:rFonts w:ascii="方正仿宋简体" w:hAnsi="方正仿宋简体" w:cs="方正仿宋简体"/>
      <w:kern w:val="0"/>
      <w:sz w:val="18"/>
      <w:szCs w:val="18"/>
    </w:rPr>
  </w:style>
  <w:style w:type="paragraph" w:customStyle="1" w:styleId="260">
    <w:name w:val="yf_表样式1"/>
    <w:basedOn w:val="1"/>
    <w:qFormat/>
    <w:uiPriority w:val="0"/>
    <w:pPr>
      <w:widowControl/>
      <w:snapToGrid w:val="0"/>
      <w:spacing w:line="240" w:lineRule="atLeast"/>
      <w:ind w:firstLine="480"/>
      <w:jc w:val="center"/>
    </w:pPr>
    <w:rPr>
      <w:rFonts w:hAnsi="方正仿宋简体"/>
      <w:kern w:val="0"/>
      <w:szCs w:val="21"/>
    </w:rPr>
  </w:style>
  <w:style w:type="paragraph" w:customStyle="1" w:styleId="261">
    <w:name w:val="Char1 Char Char Char"/>
    <w:basedOn w:val="1"/>
    <w:qFormat/>
    <w:uiPriority w:val="0"/>
    <w:pPr>
      <w:snapToGrid w:val="0"/>
      <w:jc w:val="center"/>
    </w:pPr>
  </w:style>
  <w:style w:type="paragraph" w:customStyle="1" w:styleId="262">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263">
    <w:name w:val="样式 标题 1 + 华文中宋 两端对齐 左侧:  0 厘米"/>
    <w:basedOn w:val="5"/>
    <w:semiHidden/>
    <w:qFormat/>
    <w:uiPriority w:val="0"/>
    <w:pPr>
      <w:spacing w:line="300" w:lineRule="auto"/>
      <w:ind w:left="432" w:hanging="432"/>
    </w:pPr>
    <w:rPr>
      <w:rFonts w:ascii="Times" w:hAnsi="Times" w:eastAsia="Times" w:cs="方正仿宋简体"/>
      <w:b/>
      <w:sz w:val="28"/>
    </w:rPr>
  </w:style>
  <w:style w:type="paragraph" w:customStyle="1" w:styleId="264">
    <w:name w:val="Char Char Char1 Char Char Char Char Char Char Char"/>
    <w:basedOn w:val="1"/>
    <w:qFormat/>
    <w:uiPriority w:val="0"/>
    <w:pPr>
      <w:snapToGrid w:val="0"/>
      <w:textAlignment w:val="baseline"/>
    </w:pPr>
  </w:style>
  <w:style w:type="paragraph" w:customStyle="1" w:styleId="265">
    <w:name w:val="样式 正文缩进 + (西文) Arial 小四"/>
    <w:basedOn w:val="8"/>
    <w:qFormat/>
    <w:uiPriority w:val="0"/>
    <w:pPr>
      <w:snapToGrid w:val="0"/>
      <w:ind w:firstLine="0"/>
      <w:jc w:val="center"/>
    </w:pPr>
    <w:rPr>
      <w:rFonts w:ascii="TIME" w:hAnsi="TIME"/>
      <w:sz w:val="28"/>
    </w:rPr>
  </w:style>
  <w:style w:type="paragraph" w:customStyle="1" w:styleId="266">
    <w:name w:val="样式16"/>
    <w:basedOn w:val="1"/>
    <w:next w:val="1"/>
    <w:semiHidden/>
    <w:qFormat/>
    <w:uiPriority w:val="0"/>
    <w:pPr>
      <w:tabs>
        <w:tab w:val="left" w:pos="269"/>
        <w:tab w:val="left" w:pos="538"/>
        <w:tab w:val="left" w:pos="720"/>
        <w:tab w:val="left" w:pos="4262"/>
      </w:tabs>
      <w:snapToGrid w:val="0"/>
      <w:ind w:left="720" w:hanging="720"/>
      <w:jc w:val="center"/>
      <w:outlineLvl w:val="1"/>
    </w:pPr>
    <w:rPr>
      <w:rFonts w:ascii="Arial Unicode MS" w:hAnsi="Arial Unicode MS" w:eastAsia="华文中宋"/>
      <w:b/>
      <w:bCs/>
      <w:kern w:val="44"/>
      <w:sz w:val="28"/>
      <w:szCs w:val="28"/>
    </w:rPr>
  </w:style>
  <w:style w:type="paragraph" w:customStyle="1" w:styleId="267">
    <w:name w:val="Char Char Char Char Char Char Char Char Char"/>
    <w:basedOn w:val="1"/>
    <w:qFormat/>
    <w:uiPriority w:val="0"/>
    <w:pPr>
      <w:widowControl/>
      <w:spacing w:after="160" w:line="240" w:lineRule="exact"/>
      <w:jc w:val="left"/>
    </w:pPr>
    <w:rPr>
      <w:rFonts w:ascii="Cambria" w:hAnsi="Cambria" w:eastAsia="Courier New" w:cs="Cambria"/>
      <w:kern w:val="0"/>
      <w:szCs w:val="32"/>
      <w:lang w:eastAsia="en-US"/>
    </w:rPr>
  </w:style>
  <w:style w:type="paragraph" w:customStyle="1" w:styleId="268">
    <w:name w:val="007"/>
    <w:basedOn w:val="1"/>
    <w:qFormat/>
    <w:uiPriority w:val="0"/>
    <w:pPr>
      <w:spacing w:line="240" w:lineRule="auto"/>
    </w:pPr>
  </w:style>
  <w:style w:type="paragraph" w:customStyle="1" w:styleId="269">
    <w:name w:val="样式 样式 标题 2 + 左侧:  1 字符 右侧:  1 字符 + (西文) 黑体"/>
    <w:basedOn w:val="1"/>
    <w:qFormat/>
    <w:uiPriority w:val="0"/>
    <w:pPr>
      <w:keepNext/>
      <w:keepLines/>
      <w:snapToGrid w:val="0"/>
      <w:ind w:left="240" w:leftChars="100" w:right="240" w:rightChars="100" w:firstLine="480"/>
      <w:jc w:val="center"/>
      <w:outlineLvl w:val="1"/>
    </w:pPr>
    <w:rPr>
      <w:rFonts w:ascii="Arial Unicode MS" w:hAnsi="Arial Unicode MS" w:cs="方正仿宋简体"/>
      <w:sz w:val="28"/>
      <w:szCs w:val="28"/>
    </w:rPr>
  </w:style>
  <w:style w:type="paragraph" w:customStyle="1" w:styleId="270">
    <w:name w:val="x标题1"/>
    <w:basedOn w:val="1"/>
    <w:qFormat/>
    <w:uiPriority w:val="0"/>
    <w:pPr>
      <w:snapToGrid w:val="0"/>
      <w:spacing w:before="50" w:beforeLines="50" w:after="50" w:afterLines="50"/>
      <w:jc w:val="center"/>
      <w:outlineLvl w:val="0"/>
    </w:pPr>
    <w:rPr>
      <w:rFonts w:eastAsia="华文中宋"/>
      <w:sz w:val="32"/>
      <w:szCs w:val="32"/>
    </w:rPr>
  </w:style>
  <w:style w:type="paragraph" w:customStyle="1" w:styleId="271">
    <w:name w:val="CM4"/>
    <w:basedOn w:val="262"/>
    <w:next w:val="262"/>
    <w:qFormat/>
    <w:uiPriority w:val="99"/>
    <w:pPr>
      <w:spacing w:line="466" w:lineRule="atLeast"/>
    </w:pPr>
    <w:rPr>
      <w:rFonts w:ascii="HiddenHorzOCl" w:hAnsi="Calibri" w:eastAsia="HiddenHorzOCl" w:cs="Times New Roman"/>
      <w:color w:val="auto"/>
    </w:rPr>
  </w:style>
  <w:style w:type="paragraph" w:customStyle="1" w:styleId="272">
    <w:name w:val="xl8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273">
    <w:name w:val="附录表标题"/>
    <w:next w:val="1"/>
    <w:qFormat/>
    <w:uiPriority w:val="0"/>
    <w:pPr>
      <w:tabs>
        <w:tab w:val="left" w:pos="7732"/>
      </w:tabs>
      <w:ind w:left="7372"/>
      <w:jc w:val="center"/>
      <w:textAlignment w:val="baseline"/>
    </w:pPr>
    <w:rPr>
      <w:rFonts w:ascii="华文中宋" w:hAnsi="Times New Roman" w:eastAsia="华文中宋" w:cs="Times New Roman"/>
      <w:kern w:val="21"/>
      <w:sz w:val="21"/>
      <w:lang w:val="en-US" w:eastAsia="zh-CN" w:bidi="ar-SA"/>
    </w:rPr>
  </w:style>
  <w:style w:type="paragraph" w:customStyle="1" w:styleId="274">
    <w:name w:val="Char Char Char Char Char Char Char Char Char Char Char Char Char Char Char Char Char Char Char Char Char Char Char Char Char Char Char Char Char Char Char"/>
    <w:basedOn w:val="1"/>
    <w:qFormat/>
    <w:uiPriority w:val="0"/>
    <w:pPr>
      <w:spacing w:line="240" w:lineRule="auto"/>
      <w:ind w:firstLine="480"/>
      <w:jc w:val="center"/>
    </w:pPr>
  </w:style>
  <w:style w:type="paragraph" w:customStyle="1" w:styleId="275">
    <w:name w:val="样式32"/>
    <w:basedOn w:val="1"/>
    <w:qFormat/>
    <w:uiPriority w:val="0"/>
    <w:pPr>
      <w:tabs>
        <w:tab w:val="left" w:pos="5865"/>
      </w:tabs>
      <w:snapToGrid w:val="0"/>
      <w:spacing w:beforeLines="50" w:line="300" w:lineRule="auto"/>
      <w:ind w:firstLine="489"/>
    </w:pPr>
    <w:rPr>
      <w:rFonts w:ascii="宋体" w:hAnsi="宋体" w:eastAsia="宋体"/>
    </w:rPr>
  </w:style>
  <w:style w:type="paragraph" w:customStyle="1" w:styleId="276">
    <w:name w:val="Char Char Char Char"/>
    <w:basedOn w:val="1"/>
    <w:qFormat/>
    <w:uiPriority w:val="0"/>
    <w:pPr>
      <w:snapToGrid w:val="0"/>
      <w:jc w:val="center"/>
    </w:pPr>
    <w:rPr>
      <w:szCs w:val="21"/>
    </w:rPr>
  </w:style>
  <w:style w:type="paragraph" w:customStyle="1" w:styleId="277">
    <w:name w:val="样式 正文缩进 + 四号 首行缩进:  1.1 厘米"/>
    <w:basedOn w:val="8"/>
    <w:qFormat/>
    <w:uiPriority w:val="0"/>
    <w:pPr>
      <w:snapToGrid w:val="0"/>
      <w:spacing w:line="300" w:lineRule="auto"/>
      <w:ind w:left="240" w:leftChars="100" w:right="240" w:rightChars="100" w:firstLine="624"/>
      <w:jc w:val="center"/>
    </w:pPr>
    <w:rPr>
      <w:rFonts w:ascii="Arial Unicode MS" w:hAnsi="Arial Unicode MS" w:cs="方正仿宋简体"/>
      <w:szCs w:val="24"/>
    </w:rPr>
  </w:style>
  <w:style w:type="paragraph" w:customStyle="1" w:styleId="278">
    <w:name w:val="Char Char Char Char Char Char"/>
    <w:basedOn w:val="1"/>
    <w:semiHidden/>
    <w:qFormat/>
    <w:locked/>
    <w:uiPriority w:val="0"/>
    <w:rPr>
      <w:rFonts w:ascii="方正仿宋简体" w:eastAsia="楷体_GB2312"/>
      <w:color w:val="000000"/>
      <w:szCs w:val="32"/>
    </w:rPr>
  </w:style>
  <w:style w:type="paragraph" w:customStyle="1" w:styleId="279">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280">
    <w:name w:val="xl28"/>
    <w:basedOn w:val="1"/>
    <w:qFormat/>
    <w:uiPriority w:val="0"/>
    <w:pPr>
      <w:widowControl/>
      <w:spacing w:before="100" w:beforeAutospacing="1" w:after="100" w:afterAutospacing="1" w:line="240" w:lineRule="auto"/>
      <w:jc w:val="center"/>
      <w:textAlignment w:val="bottom"/>
    </w:pPr>
    <w:rPr>
      <w:rFonts w:ascii="黑体" w:hAnsi="黑体" w:eastAsia="黑体" w:cs="黑体"/>
      <w:b/>
      <w:bCs/>
      <w:kern w:val="0"/>
    </w:rPr>
  </w:style>
  <w:style w:type="paragraph" w:customStyle="1" w:styleId="281">
    <w:name w:val="表格正文"/>
    <w:basedOn w:val="1"/>
    <w:qFormat/>
    <w:uiPriority w:val="0"/>
    <w:pPr>
      <w:autoSpaceDE w:val="0"/>
      <w:autoSpaceDN w:val="0"/>
      <w:snapToGrid w:val="0"/>
      <w:spacing w:before="60" w:line="240" w:lineRule="auto"/>
      <w:ind w:right="-96" w:firstLine="480"/>
      <w:jc w:val="center"/>
    </w:pPr>
    <w:rPr>
      <w:rFonts w:ascii="方正仿宋简体" w:hAnsi="方正仿宋简体" w:cs="Arial Unicode MS"/>
      <w:color w:val="000000"/>
      <w:szCs w:val="21"/>
    </w:rPr>
  </w:style>
  <w:style w:type="paragraph" w:customStyle="1" w:styleId="282">
    <w:name w:val="font7"/>
    <w:basedOn w:val="1"/>
    <w:qFormat/>
    <w:uiPriority w:val="0"/>
    <w:pPr>
      <w:widowControl/>
      <w:spacing w:before="100" w:beforeAutospacing="1" w:after="100" w:afterAutospacing="1" w:line="240" w:lineRule="auto"/>
      <w:jc w:val="left"/>
    </w:pPr>
    <w:rPr>
      <w:rFonts w:ascii="方正仿宋简体" w:hAnsi="方正仿宋简体" w:cs="方正仿宋简体"/>
      <w:kern w:val="0"/>
      <w:sz w:val="18"/>
      <w:szCs w:val="18"/>
    </w:rPr>
  </w:style>
  <w:style w:type="paragraph" w:customStyle="1" w:styleId="283">
    <w:name w:val="样式 样式 正文缩进 + 四号 首行缩进:  1.1 厘米 + 左侧:  1 字符 右侧:  1 字符"/>
    <w:basedOn w:val="277"/>
    <w:qFormat/>
    <w:uiPriority w:val="0"/>
  </w:style>
  <w:style w:type="paragraph" w:customStyle="1" w:styleId="284">
    <w:name w:val="图题、表题"/>
    <w:qFormat/>
    <w:uiPriority w:val="0"/>
    <w:pPr>
      <w:adjustRightInd w:val="0"/>
      <w:snapToGrid w:val="0"/>
      <w:spacing w:afterLines="50"/>
      <w:ind w:firstLine="482"/>
      <w:jc w:val="center"/>
    </w:pPr>
    <w:rPr>
      <w:rFonts w:ascii="黑体" w:hAnsi="黑体" w:eastAsia="黑体" w:cs="Arial"/>
      <w:color w:val="000000"/>
      <w:kern w:val="2"/>
      <w:sz w:val="21"/>
      <w:szCs w:val="21"/>
      <w:lang w:val="en-US" w:eastAsia="zh-CN" w:bidi="ar-SA"/>
    </w:rPr>
  </w:style>
  <w:style w:type="paragraph" w:customStyle="1" w:styleId="285">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6600"/>
      <w:spacing w:before="100" w:beforeAutospacing="1" w:after="100" w:afterAutospacing="1" w:line="240" w:lineRule="auto"/>
      <w:jc w:val="center"/>
    </w:pPr>
    <w:rPr>
      <w:rFonts w:ascii="宋体" w:hAnsi="宋体" w:eastAsia="宋体" w:cs="宋体"/>
      <w:b/>
      <w:bCs/>
      <w:kern w:val="0"/>
      <w:sz w:val="20"/>
      <w:szCs w:val="20"/>
    </w:rPr>
  </w:style>
  <w:style w:type="paragraph" w:customStyle="1" w:styleId="286">
    <w:name w:val="图名"/>
    <w:basedOn w:val="1"/>
    <w:next w:val="1"/>
    <w:qFormat/>
    <w:uiPriority w:val="0"/>
    <w:pPr>
      <w:ind w:firstLine="0" w:firstLineChars="0"/>
      <w:jc w:val="center"/>
    </w:pPr>
    <w:rPr>
      <w:rFonts w:eastAsia="黑体"/>
      <w:kern w:val="0"/>
      <w:sz w:val="21"/>
    </w:rPr>
  </w:style>
  <w:style w:type="paragraph" w:customStyle="1" w:styleId="287">
    <w:name w:val="附录标识"/>
    <w:basedOn w:val="1"/>
    <w:qFormat/>
    <w:uiPriority w:val="0"/>
    <w:pPr>
      <w:widowControl/>
      <w:shd w:val="clear" w:color="FFFFFF" w:fill="FFFFFF"/>
      <w:tabs>
        <w:tab w:val="left" w:pos="3600"/>
        <w:tab w:val="left" w:pos="6405"/>
      </w:tabs>
      <w:spacing w:before="640" w:after="200" w:line="240" w:lineRule="auto"/>
      <w:ind w:left="3240"/>
      <w:jc w:val="center"/>
      <w:outlineLvl w:val="0"/>
    </w:pPr>
    <w:rPr>
      <w:rFonts w:ascii="华文中宋" w:eastAsia="华文中宋"/>
      <w:kern w:val="0"/>
      <w:szCs w:val="20"/>
    </w:rPr>
  </w:style>
  <w:style w:type="paragraph" w:customStyle="1" w:styleId="2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289">
    <w:name w:val="font6"/>
    <w:basedOn w:val="1"/>
    <w:qFormat/>
    <w:uiPriority w:val="0"/>
    <w:pPr>
      <w:widowControl/>
      <w:spacing w:before="100" w:beforeAutospacing="1" w:after="100" w:afterAutospacing="1" w:line="240" w:lineRule="auto"/>
      <w:jc w:val="left"/>
    </w:pPr>
    <w:rPr>
      <w:rFonts w:ascii="方正仿宋简体" w:hAnsi="方正仿宋简体" w:cs="方正仿宋简体"/>
      <w:kern w:val="0"/>
    </w:rPr>
  </w:style>
  <w:style w:type="paragraph" w:customStyle="1" w:styleId="290">
    <w:name w:val="font1"/>
    <w:basedOn w:val="1"/>
    <w:qFormat/>
    <w:uiPriority w:val="0"/>
    <w:pPr>
      <w:widowControl/>
      <w:spacing w:before="100" w:beforeAutospacing="1" w:after="100" w:afterAutospacing="1" w:line="240" w:lineRule="auto"/>
      <w:jc w:val="left"/>
    </w:pPr>
    <w:rPr>
      <w:rFonts w:ascii="宋体" w:hAnsi="宋体" w:eastAsia="宋体" w:cs="宋体"/>
      <w:kern w:val="0"/>
    </w:rPr>
  </w:style>
  <w:style w:type="paragraph" w:customStyle="1" w:styleId="291">
    <w:name w:val="表名"/>
    <w:basedOn w:val="1"/>
    <w:next w:val="1"/>
    <w:qFormat/>
    <w:uiPriority w:val="0"/>
    <w:pPr>
      <w:snapToGrid w:val="0"/>
      <w:ind w:firstLine="0" w:firstLineChars="0"/>
      <w:jc w:val="right"/>
    </w:pPr>
    <w:rPr>
      <w:rFonts w:eastAsia="黑体"/>
      <w:sz w:val="21"/>
    </w:rPr>
  </w:style>
  <w:style w:type="paragraph" w:customStyle="1" w:styleId="292">
    <w:name w:val="xl6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jc w:val="center"/>
    </w:pPr>
    <w:rPr>
      <w:rFonts w:ascii="方正书宋简体" w:hAnsi="方正仿宋简体" w:eastAsia="方正书宋简体" w:cs="方正仿宋简体"/>
      <w:kern w:val="0"/>
      <w:sz w:val="18"/>
      <w:szCs w:val="18"/>
    </w:rPr>
  </w:style>
  <w:style w:type="paragraph" w:customStyle="1" w:styleId="293">
    <w:name w:val="样式 标题 3三级标题h3条1.1.1标题03Level 3 HeadH3level_3PIM 333rd..."/>
    <w:basedOn w:val="7"/>
    <w:semiHidden/>
    <w:qFormat/>
    <w:uiPriority w:val="0"/>
    <w:pPr>
      <w:keepNext/>
      <w:keepLines/>
      <w:tabs>
        <w:tab w:val="left" w:pos="284"/>
      </w:tabs>
      <w:snapToGrid w:val="0"/>
      <w:spacing w:before="120" w:after="120"/>
      <w:ind w:left="-142"/>
      <w:jc w:val="left"/>
    </w:pPr>
    <w:rPr>
      <w:rFonts w:ascii="TIME" w:hAnsi="TIME" w:cs="TIME"/>
      <w:b/>
      <w:color w:val="7030A0"/>
      <w:kern w:val="0"/>
      <w:szCs w:val="28"/>
    </w:rPr>
  </w:style>
  <w:style w:type="paragraph" w:customStyle="1" w:styleId="294">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295">
    <w:name w:val="xl88"/>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296">
    <w:name w:val="样式 (中文) 仿宋_GB2312 加粗 居中 行距: 1.5 倍行距"/>
    <w:basedOn w:val="1"/>
    <w:qFormat/>
    <w:uiPriority w:val="0"/>
    <w:pPr>
      <w:jc w:val="center"/>
    </w:pPr>
    <w:rPr>
      <w:rFonts w:eastAsia="Courier New" w:cs="方正仿宋简体"/>
      <w:b/>
      <w:bCs/>
      <w:szCs w:val="20"/>
    </w:rPr>
  </w:style>
  <w:style w:type="paragraph" w:customStyle="1" w:styleId="297">
    <w:name w:val="默认段落字体 Para Char Char Char Char Char Char Char"/>
    <w:basedOn w:val="1"/>
    <w:qFormat/>
    <w:uiPriority w:val="0"/>
  </w:style>
  <w:style w:type="paragraph" w:customStyle="1" w:styleId="298">
    <w:name w:val="0"/>
    <w:basedOn w:val="1"/>
    <w:qFormat/>
    <w:uiPriority w:val="0"/>
    <w:pPr>
      <w:widowControl/>
      <w:snapToGrid w:val="0"/>
      <w:spacing w:line="240" w:lineRule="auto"/>
      <w:ind w:firstLine="480"/>
      <w:jc w:val="center"/>
    </w:pPr>
    <w:rPr>
      <w:kern w:val="0"/>
      <w:szCs w:val="21"/>
    </w:rPr>
  </w:style>
  <w:style w:type="paragraph" w:customStyle="1" w:styleId="299">
    <w:name w:val="xl8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30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301">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302">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uto"/>
      <w:jc w:val="center"/>
    </w:pPr>
    <w:rPr>
      <w:rFonts w:ascii="宋体" w:hAnsi="宋体" w:eastAsia="宋体" w:cs="宋体"/>
      <w:b/>
      <w:bCs/>
      <w:kern w:val="0"/>
      <w:sz w:val="20"/>
      <w:szCs w:val="20"/>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书宋简体" w:hAnsi="方正仿宋简体" w:eastAsia="方正书宋简体" w:cs="方正仿宋简体"/>
      <w:kern w:val="0"/>
      <w:sz w:val="18"/>
      <w:szCs w:val="18"/>
    </w:rPr>
  </w:style>
  <w:style w:type="paragraph" w:customStyle="1" w:styleId="304">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305">
    <w:name w:val="表标题"/>
    <w:basedOn w:val="1"/>
    <w:qFormat/>
    <w:uiPriority w:val="0"/>
    <w:pPr>
      <w:snapToGrid w:val="0"/>
      <w:spacing w:line="300" w:lineRule="auto"/>
      <w:jc w:val="center"/>
    </w:pPr>
    <w:rPr>
      <w:rFonts w:eastAsia="华文中宋"/>
      <w:szCs w:val="20"/>
    </w:rPr>
  </w:style>
  <w:style w:type="paragraph" w:customStyle="1" w:styleId="306">
    <w:name w:val="Char"/>
    <w:basedOn w:val="1"/>
    <w:semiHidden/>
    <w:qFormat/>
    <w:uiPriority w:val="0"/>
    <w:pPr>
      <w:ind w:left="-48"/>
    </w:pPr>
  </w:style>
  <w:style w:type="paragraph" w:customStyle="1" w:styleId="307">
    <w:name w:val="xl65"/>
    <w:basedOn w:val="1"/>
    <w:qFormat/>
    <w:uiPriority w:val="0"/>
    <w:pPr>
      <w:widowControl/>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08">
    <w:name w:val="样式8"/>
    <w:basedOn w:val="5"/>
    <w:semiHidden/>
    <w:qFormat/>
    <w:uiPriority w:val="0"/>
    <w:pPr>
      <w:keepLines w:val="0"/>
      <w:widowControl/>
      <w:tabs>
        <w:tab w:val="left" w:pos="432"/>
        <w:tab w:val="left" w:pos="465"/>
        <w:tab w:val="left" w:pos="567"/>
      </w:tabs>
      <w:snapToGrid w:val="0"/>
      <w:spacing w:before="240" w:after="20" w:line="360" w:lineRule="auto"/>
      <w:ind w:left="465" w:hanging="465" w:firstLineChars="200"/>
    </w:pPr>
    <w:rPr>
      <w:rFonts w:eastAsia="华文中宋"/>
      <w:b/>
      <w:bCs w:val="0"/>
      <w:sz w:val="30"/>
      <w:szCs w:val="32"/>
    </w:rPr>
  </w:style>
  <w:style w:type="paragraph" w:customStyle="1" w:styleId="30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10">
    <w:name w:val="xl83"/>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1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312">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书宋简体" w:hAnsi="方正仿宋简体" w:eastAsia="方正书宋简体" w:cs="方正仿宋简体"/>
      <w:kern w:val="0"/>
      <w:sz w:val="18"/>
      <w:szCs w:val="18"/>
    </w:rPr>
  </w:style>
  <w:style w:type="paragraph" w:customStyle="1" w:styleId="313">
    <w:name w:val="样式7"/>
    <w:basedOn w:val="5"/>
    <w:semiHidden/>
    <w:qFormat/>
    <w:uiPriority w:val="0"/>
    <w:pPr>
      <w:keepLines w:val="0"/>
      <w:widowControl/>
      <w:tabs>
        <w:tab w:val="left" w:pos="432"/>
        <w:tab w:val="left" w:pos="465"/>
        <w:tab w:val="left" w:pos="567"/>
      </w:tabs>
      <w:snapToGrid w:val="0"/>
      <w:spacing w:before="240" w:after="20" w:line="360" w:lineRule="auto"/>
      <w:ind w:left="465" w:hanging="465" w:firstLineChars="200"/>
    </w:pPr>
    <w:rPr>
      <w:rFonts w:eastAsia="华文中宋"/>
      <w:b/>
      <w:bCs w:val="0"/>
      <w:sz w:val="30"/>
      <w:szCs w:val="32"/>
    </w:rPr>
  </w:style>
  <w:style w:type="paragraph" w:customStyle="1" w:styleId="314">
    <w:name w:val="CM5"/>
    <w:basedOn w:val="262"/>
    <w:next w:val="262"/>
    <w:qFormat/>
    <w:uiPriority w:val="99"/>
    <w:pPr>
      <w:spacing w:line="466" w:lineRule="atLeast"/>
    </w:pPr>
    <w:rPr>
      <w:rFonts w:ascii="HiddenHorzOCl" w:hAnsi="Calibri" w:eastAsia="HiddenHorzOCl" w:cs="Times New Roman"/>
      <w:color w:val="auto"/>
    </w:rPr>
  </w:style>
  <w:style w:type="paragraph" w:styleId="315">
    <w:name w:val="List Paragraph"/>
    <w:basedOn w:val="1"/>
    <w:qFormat/>
    <w:uiPriority w:val="34"/>
    <w:pPr>
      <w:spacing w:line="240" w:lineRule="auto"/>
      <w:ind w:firstLine="420"/>
    </w:pPr>
  </w:style>
  <w:style w:type="paragraph" w:customStyle="1" w:styleId="316">
    <w:name w:val="样式1"/>
    <w:basedOn w:val="1"/>
    <w:qFormat/>
    <w:uiPriority w:val="0"/>
    <w:pPr>
      <w:widowControl/>
      <w:jc w:val="center"/>
    </w:pPr>
    <w:rPr>
      <w:rFonts w:ascii="华文中宋" w:hAnsi="方正仿宋简体" w:eastAsia="华文中宋"/>
      <w:b/>
      <w:bCs/>
      <w:kern w:val="0"/>
    </w:rPr>
  </w:style>
  <w:style w:type="paragraph" w:customStyle="1" w:styleId="317">
    <w:name w:val="样式 正文首行缩进 + 首行缩进:  1 字符"/>
    <w:basedOn w:val="87"/>
    <w:qFormat/>
    <w:uiPriority w:val="0"/>
    <w:pPr>
      <w:snapToGrid w:val="0"/>
      <w:spacing w:line="360" w:lineRule="auto"/>
      <w:ind w:left="240" w:leftChars="100" w:right="240" w:rightChars="100" w:firstLine="480" w:firstLineChars="200"/>
      <w:jc w:val="center"/>
    </w:pPr>
    <w:rPr>
      <w:rFonts w:ascii="Arial Unicode MS" w:hAnsi="Arial Unicode MS" w:cs="方正仿宋简体"/>
      <w:szCs w:val="24"/>
    </w:rPr>
  </w:style>
  <w:style w:type="paragraph" w:customStyle="1" w:styleId="318">
    <w:name w:val="图、表名"/>
    <w:basedOn w:val="1"/>
    <w:qFormat/>
    <w:uiPriority w:val="0"/>
    <w:pPr>
      <w:spacing w:line="240" w:lineRule="auto"/>
      <w:jc w:val="center"/>
    </w:pPr>
    <w:rPr>
      <w:rFonts w:ascii="Arial Unicode MS" w:hAnsi="Arial Unicode MS" w:eastAsia="华文中宋"/>
      <w:szCs w:val="21"/>
    </w:rPr>
  </w:style>
  <w:style w:type="paragraph" w:customStyle="1" w:styleId="319">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20">
    <w:name w:val="CM3"/>
    <w:basedOn w:val="262"/>
    <w:next w:val="262"/>
    <w:qFormat/>
    <w:uiPriority w:val="99"/>
    <w:pPr>
      <w:spacing w:line="468" w:lineRule="atLeast"/>
    </w:pPr>
    <w:rPr>
      <w:rFonts w:ascii="HiddenHorzOCl" w:hAnsi="Calibri" w:eastAsia="HiddenHorzOCl" w:cs="Times New Roman"/>
      <w:color w:val="auto"/>
    </w:rPr>
  </w:style>
  <w:style w:type="paragraph" w:customStyle="1" w:styleId="321">
    <w:name w:val="段"/>
    <w:qFormat/>
    <w:uiPriority w:val="0"/>
    <w:pPr>
      <w:autoSpaceDE w:val="0"/>
      <w:autoSpaceDN w:val="0"/>
      <w:ind w:firstLine="200" w:firstLineChars="200"/>
      <w:jc w:val="both"/>
    </w:pPr>
    <w:rPr>
      <w:rFonts w:ascii="方正仿宋简体" w:hAnsi="Times New Roman" w:eastAsia="宋体" w:cs="Times New Roman"/>
      <w:sz w:val="21"/>
      <w:lang w:val="en-US" w:eastAsia="zh-CN" w:bidi="ar-SA"/>
    </w:rPr>
  </w:style>
  <w:style w:type="paragraph" w:customStyle="1" w:styleId="322">
    <w:name w:val="x图"/>
    <w:basedOn w:val="323"/>
    <w:qFormat/>
    <w:uiPriority w:val="0"/>
    <w:pPr>
      <w:spacing w:after="50" w:afterLines="50"/>
      <w:ind w:firstLine="0" w:firstLineChars="0"/>
    </w:pPr>
  </w:style>
  <w:style w:type="paragraph" w:customStyle="1" w:styleId="323">
    <w:name w:val="xx表格标题"/>
    <w:basedOn w:val="24"/>
    <w:qFormat/>
    <w:uiPriority w:val="0"/>
    <w:pPr>
      <w:jc w:val="center"/>
    </w:pPr>
    <w:rPr>
      <w:rFonts w:ascii="TIME" w:hAnsi="TIME"/>
      <w:sz w:val="21"/>
    </w:rPr>
  </w:style>
  <w:style w:type="paragraph" w:customStyle="1" w:styleId="324">
    <w:name w:val="CM11"/>
    <w:basedOn w:val="262"/>
    <w:next w:val="262"/>
    <w:qFormat/>
    <w:uiPriority w:val="99"/>
    <w:rPr>
      <w:rFonts w:ascii="HiddenHorzOCl" w:hAnsi="Calibri" w:eastAsia="HiddenHorzOCl" w:cs="Times New Roman"/>
      <w:color w:val="auto"/>
    </w:rPr>
  </w:style>
  <w:style w:type="paragraph" w:customStyle="1" w:styleId="325">
    <w:name w:val="Char Char Char Char Char Char Char Char Char Char Char Char Char Char Char Char1"/>
    <w:basedOn w:val="1"/>
    <w:qFormat/>
    <w:uiPriority w:val="0"/>
    <w:pPr>
      <w:ind w:firstLine="480"/>
      <w:jc w:val="center"/>
    </w:pPr>
  </w:style>
  <w:style w:type="paragraph" w:customStyle="1" w:styleId="326">
    <w:name w:val="样式 表字 + 首行缩进:  2 字符"/>
    <w:basedOn w:val="1"/>
    <w:semiHidden/>
    <w:qFormat/>
    <w:uiPriority w:val="0"/>
    <w:pPr>
      <w:spacing w:line="240" w:lineRule="auto"/>
      <w:jc w:val="center"/>
    </w:pPr>
    <w:rPr>
      <w:rFonts w:ascii="方正仿宋简体"/>
      <w:szCs w:val="21"/>
    </w:rPr>
  </w:style>
  <w:style w:type="paragraph" w:customStyle="1" w:styleId="327">
    <w:name w:val="Char1 Char Char Char1"/>
    <w:basedOn w:val="1"/>
    <w:qFormat/>
    <w:uiPriority w:val="0"/>
    <w:pPr>
      <w:spacing w:line="240" w:lineRule="auto"/>
    </w:pPr>
    <w:rPr>
      <w:szCs w:val="20"/>
    </w:rPr>
  </w:style>
  <w:style w:type="paragraph" w:customStyle="1" w:styleId="328">
    <w:name w:val="样式 左侧:  0 厘米 首行缩进:  0.85 厘米"/>
    <w:basedOn w:val="1"/>
    <w:qFormat/>
    <w:uiPriority w:val="0"/>
    <w:pPr>
      <w:spacing w:line="240" w:lineRule="auto"/>
      <w:ind w:firstLine="480"/>
    </w:pPr>
    <w:rPr>
      <w:rFonts w:eastAsia="Courier New"/>
      <w:szCs w:val="20"/>
    </w:rPr>
  </w:style>
  <w:style w:type="paragraph" w:customStyle="1" w:styleId="329">
    <w:name w:val="xl49"/>
    <w:basedOn w:val="1"/>
    <w:qFormat/>
    <w:uiPriority w:val="0"/>
    <w:pPr>
      <w:widowControl/>
      <w:pBdr>
        <w:left w:val="single" w:color="auto" w:sz="4" w:space="0"/>
        <w:bottom w:val="single" w:color="auto" w:sz="4" w:space="0"/>
      </w:pBdr>
      <w:spacing w:before="100" w:beforeAutospacing="1" w:after="100" w:afterAutospacing="1" w:line="240" w:lineRule="auto"/>
      <w:jc w:val="center"/>
    </w:pPr>
    <w:rPr>
      <w:rFonts w:ascii="方正仿宋简体" w:hAnsi="方正仿宋简体"/>
      <w:kern w:val="0"/>
    </w:rPr>
  </w:style>
  <w:style w:type="paragraph" w:customStyle="1" w:styleId="330">
    <w:name w:val="xl74"/>
    <w:basedOn w:val="1"/>
    <w:qFormat/>
    <w:uiPriority w:val="0"/>
    <w:pPr>
      <w:widowControl/>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331">
    <w:name w:val="Char Char Char Char Char Char1 Char1"/>
    <w:basedOn w:val="1"/>
    <w:qFormat/>
    <w:uiPriority w:val="0"/>
    <w:pPr>
      <w:widowControl/>
      <w:spacing w:after="160" w:line="240" w:lineRule="exact"/>
      <w:ind w:firstLine="480"/>
      <w:jc w:val="left"/>
    </w:pPr>
  </w:style>
  <w:style w:type="paragraph" w:customStyle="1" w:styleId="332">
    <w:name w:val="Char Char Char Char2"/>
    <w:basedOn w:val="1"/>
    <w:qFormat/>
    <w:uiPriority w:val="0"/>
    <w:pPr>
      <w:spacing w:line="240" w:lineRule="auto"/>
      <w:ind w:firstLine="480"/>
      <w:jc w:val="center"/>
    </w:pPr>
  </w:style>
  <w:style w:type="paragraph" w:customStyle="1" w:styleId="333">
    <w:name w:val="样式 样式 样式 样式 正文缩进 + 四号 首行缩进:  1.1 厘米 + 左侧:  1 字符 右侧:  1 字符 + 左侧: ..."/>
    <w:basedOn w:val="334"/>
    <w:qFormat/>
    <w:uiPriority w:val="0"/>
  </w:style>
  <w:style w:type="paragraph" w:customStyle="1" w:styleId="334">
    <w:name w:val="样式 样式 样式 正文缩进 + 四号 首行缩进:  1.1 厘米 + 左侧:  1 字符 右侧:  1 字符 + 左侧:  1 ..."/>
    <w:basedOn w:val="283"/>
    <w:qFormat/>
    <w:uiPriority w:val="0"/>
  </w:style>
  <w:style w:type="paragraph" w:customStyle="1" w:styleId="335">
    <w:name w:val="样式 目录 1 + 段前: 0 磅 段后: 0 磅1"/>
    <w:basedOn w:val="61"/>
    <w:qFormat/>
    <w:uiPriority w:val="0"/>
    <w:rPr>
      <w:rFonts w:cs="方正仿宋简体"/>
      <w:szCs w:val="20"/>
    </w:rPr>
  </w:style>
  <w:style w:type="paragraph" w:customStyle="1" w:styleId="336">
    <w:name w:val="简单回函地址"/>
    <w:basedOn w:val="1"/>
    <w:qFormat/>
    <w:uiPriority w:val="0"/>
    <w:pPr>
      <w:spacing w:line="240" w:lineRule="auto"/>
    </w:pPr>
  </w:style>
  <w:style w:type="paragraph" w:customStyle="1" w:styleId="337">
    <w:name w:val="xl9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书宋简体" w:hAnsi="方正仿宋简体" w:eastAsia="方正书宋简体" w:cs="方正仿宋简体"/>
      <w:kern w:val="0"/>
      <w:sz w:val="18"/>
      <w:szCs w:val="18"/>
    </w:rPr>
  </w:style>
  <w:style w:type="paragraph" w:customStyle="1" w:styleId="33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339">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340">
    <w:name w:val="xl91"/>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34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黑体" w:hAnsi="黑体" w:eastAsia="黑体" w:cs="黑体"/>
      <w:kern w:val="0"/>
      <w:sz w:val="20"/>
      <w:szCs w:val="20"/>
    </w:rPr>
  </w:style>
  <w:style w:type="paragraph" w:customStyle="1" w:styleId="342">
    <w:name w:val="x表格"/>
    <w:basedOn w:val="1"/>
    <w:qFormat/>
    <w:uiPriority w:val="0"/>
    <w:pPr>
      <w:wordWrap w:val="0"/>
      <w:spacing w:beforeLines="50" w:line="240" w:lineRule="auto"/>
      <w:ind w:right="140" w:firstLine="480"/>
      <w:jc w:val="right"/>
    </w:pPr>
    <w:rPr>
      <w:rFonts w:ascii="方正仿宋简体" w:hAnsi="方正仿宋简体"/>
    </w:rPr>
  </w:style>
  <w:style w:type="paragraph" w:customStyle="1" w:styleId="343">
    <w:name w:val="Char Char"/>
    <w:basedOn w:val="1"/>
    <w:qFormat/>
    <w:uiPriority w:val="0"/>
    <w:pPr>
      <w:spacing w:line="240" w:lineRule="auto"/>
      <w:textAlignment w:val="baseline"/>
    </w:pPr>
    <w:rPr>
      <w:rFonts w:eastAsia="宋体"/>
    </w:rPr>
  </w:style>
  <w:style w:type="paragraph" w:customStyle="1" w:styleId="344">
    <w:name w:val="表中文字"/>
    <w:basedOn w:val="1"/>
    <w:qFormat/>
    <w:uiPriority w:val="0"/>
    <w:pPr>
      <w:spacing w:line="300" w:lineRule="atLeast"/>
      <w:jc w:val="center"/>
    </w:pPr>
  </w:style>
  <w:style w:type="paragraph" w:customStyle="1" w:styleId="345">
    <w:name w:val="0标题"/>
    <w:basedOn w:val="85"/>
    <w:qFormat/>
    <w:uiPriority w:val="0"/>
    <w:pPr>
      <w:widowControl/>
      <w:snapToGrid w:val="0"/>
      <w:spacing w:before="480" w:after="480" w:line="240" w:lineRule="auto"/>
      <w:ind w:firstLine="480"/>
    </w:pPr>
    <w:rPr>
      <w:rFonts w:hAnsi="方正仿宋简体" w:eastAsia="Calibri" w:cs="Arial Unicode MS"/>
      <w:b w:val="0"/>
      <w:w w:val="90"/>
      <w:sz w:val="36"/>
      <w:szCs w:val="21"/>
    </w:rPr>
  </w:style>
  <w:style w:type="paragraph" w:customStyle="1" w:styleId="346">
    <w:name w:val="xl8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47">
    <w:name w:val="Char Char Char Char Char Char Char Char Char Char Char Char Char Char Char Char"/>
    <w:basedOn w:val="1"/>
    <w:semiHidden/>
    <w:qFormat/>
    <w:uiPriority w:val="0"/>
    <w:pPr>
      <w:spacing w:line="240" w:lineRule="auto"/>
      <w:ind w:left="-48"/>
    </w:pPr>
  </w:style>
  <w:style w:type="paragraph" w:customStyle="1" w:styleId="348">
    <w:name w:val="Char Char Char1 Char Char Char Char Char Char Char1"/>
    <w:basedOn w:val="1"/>
    <w:qFormat/>
    <w:uiPriority w:val="0"/>
    <w:pPr>
      <w:snapToGrid w:val="0"/>
      <w:textAlignment w:val="baseline"/>
    </w:pPr>
    <w:rPr>
      <w:rFonts w:eastAsia="Courier New"/>
    </w:rPr>
  </w:style>
  <w:style w:type="paragraph" w:customStyle="1" w:styleId="349">
    <w:name w:val="封面标准名称"/>
    <w:qFormat/>
    <w:uiPriority w:val="0"/>
    <w:pPr>
      <w:widowControl w:val="0"/>
      <w:spacing w:line="680" w:lineRule="exact"/>
      <w:jc w:val="center"/>
      <w:textAlignment w:val="center"/>
    </w:pPr>
    <w:rPr>
      <w:rFonts w:ascii="华文中宋" w:hAnsi="Times New Roman" w:eastAsia="华文中宋" w:cs="Times New Roman"/>
      <w:sz w:val="52"/>
      <w:lang w:val="en-US" w:eastAsia="zh-CN" w:bidi="ar-SA"/>
    </w:rPr>
  </w:style>
  <w:style w:type="paragraph" w:customStyle="1" w:styleId="350">
    <w:name w:val="xl75"/>
    <w:basedOn w:val="1"/>
    <w:qFormat/>
    <w:uiPriority w:val="0"/>
    <w:pPr>
      <w:widowControl/>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51">
    <w:name w:val="样式5"/>
    <w:basedOn w:val="1"/>
    <w:qFormat/>
    <w:uiPriority w:val="0"/>
    <w:pPr>
      <w:snapToGrid w:val="0"/>
      <w:ind w:right="-10" w:rightChars="-5" w:firstLine="560"/>
      <w:jc w:val="center"/>
    </w:pPr>
    <w:rPr>
      <w:sz w:val="28"/>
    </w:rPr>
  </w:style>
  <w:style w:type="paragraph" w:customStyle="1" w:styleId="352">
    <w:name w:val="xx无间隔"/>
    <w:basedOn w:val="353"/>
    <w:qFormat/>
    <w:uiPriority w:val="99"/>
    <w:pPr>
      <w:spacing w:line="240" w:lineRule="auto"/>
    </w:pPr>
    <w:rPr>
      <w:rFonts w:eastAsia="Courier New"/>
    </w:rPr>
  </w:style>
  <w:style w:type="paragraph" w:customStyle="1" w:styleId="353">
    <w:name w:val="无间隔1"/>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354">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355">
    <w:name w:val="1"/>
    <w:basedOn w:val="1"/>
    <w:next w:val="8"/>
    <w:qFormat/>
    <w:uiPriority w:val="0"/>
    <w:pPr>
      <w:snapToGrid w:val="0"/>
      <w:spacing w:line="480" w:lineRule="exact"/>
    </w:pPr>
    <w:rPr>
      <w:rFonts w:eastAsia="Times New Roman"/>
    </w:rPr>
  </w:style>
  <w:style w:type="paragraph" w:customStyle="1" w:styleId="35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57">
    <w:name w:val="Char Char Char Char Char Char Char Char Char Char Char Char Char Char Char Char2"/>
    <w:basedOn w:val="1"/>
    <w:qFormat/>
    <w:uiPriority w:val="0"/>
    <w:pPr>
      <w:ind w:firstLine="480"/>
      <w:jc w:val="center"/>
    </w:pPr>
  </w:style>
  <w:style w:type="paragraph" w:customStyle="1" w:styleId="358">
    <w:name w:val="Char Char Char Char Char Char Char"/>
    <w:basedOn w:val="1"/>
    <w:qFormat/>
    <w:uiPriority w:val="0"/>
    <w:pPr>
      <w:textAlignment w:val="baseline"/>
    </w:pPr>
    <w:rPr>
      <w:kern w:val="0"/>
    </w:rPr>
  </w:style>
  <w:style w:type="paragraph" w:customStyle="1" w:styleId="359">
    <w:name w:val="表中字左"/>
    <w:basedOn w:val="360"/>
    <w:qFormat/>
    <w:uiPriority w:val="0"/>
    <w:pPr>
      <w:tabs>
        <w:tab w:val="left" w:pos="5375"/>
      </w:tabs>
      <w:jc w:val="left"/>
    </w:pPr>
  </w:style>
  <w:style w:type="paragraph" w:customStyle="1" w:styleId="360">
    <w:name w:val="表中字"/>
    <w:basedOn w:val="1"/>
    <w:qFormat/>
    <w:uiPriority w:val="0"/>
    <w:pPr>
      <w:tabs>
        <w:tab w:val="left" w:pos="5375"/>
      </w:tabs>
      <w:spacing w:line="240" w:lineRule="atLeast"/>
      <w:jc w:val="center"/>
    </w:pPr>
    <w:rPr>
      <w:rFonts w:ascii="方正仿宋简体" w:hAnsi="方正仿宋简体"/>
      <w:color w:val="000000"/>
    </w:rPr>
  </w:style>
  <w:style w:type="paragraph" w:customStyle="1" w:styleId="361">
    <w:name w:val="正文A"/>
    <w:basedOn w:val="1"/>
    <w:qFormat/>
    <w:uiPriority w:val="0"/>
    <w:pPr>
      <w:spacing w:beforeLines="50" w:afterLines="50"/>
      <w:ind w:left="210" w:leftChars="100" w:right="210" w:rightChars="100" w:firstLine="480"/>
      <w:jc w:val="left"/>
    </w:pPr>
    <w:rPr>
      <w:rFonts w:ascii="方正仿宋简体" w:hAnsi="方正仿宋简体"/>
      <w:color w:val="0000FF"/>
      <w:szCs w:val="20"/>
    </w:rPr>
  </w:style>
  <w:style w:type="paragraph" w:customStyle="1" w:styleId="362">
    <w:name w:val="xl39"/>
    <w:basedOn w:val="1"/>
    <w:qFormat/>
    <w:uiPriority w:val="0"/>
    <w:pPr>
      <w:widowControl/>
      <w:pBdr>
        <w:bottom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363">
    <w:name w:val="样式 目录 1 + 段前: 0 磅 段后: 0 磅"/>
    <w:basedOn w:val="61"/>
    <w:qFormat/>
    <w:uiPriority w:val="0"/>
    <w:pPr>
      <w:tabs>
        <w:tab w:val="right" w:leader="dot" w:pos="7260"/>
      </w:tabs>
    </w:pPr>
    <w:rPr>
      <w:rFonts w:cs="方正仿宋简体"/>
      <w:szCs w:val="20"/>
    </w:rPr>
  </w:style>
  <w:style w:type="paragraph" w:customStyle="1" w:styleId="364">
    <w:name w:val="font0"/>
    <w:basedOn w:val="1"/>
    <w:qFormat/>
    <w:uiPriority w:val="0"/>
    <w:pPr>
      <w:widowControl/>
      <w:spacing w:before="100" w:beforeAutospacing="1" w:after="100" w:afterAutospacing="1" w:line="240" w:lineRule="auto"/>
      <w:jc w:val="left"/>
    </w:pPr>
    <w:rPr>
      <w:rFonts w:hint="eastAsia" w:ascii="方正仿宋简体" w:hAnsi="方正仿宋简体" w:cs="黑体"/>
      <w:kern w:val="0"/>
    </w:rPr>
  </w:style>
  <w:style w:type="paragraph" w:customStyle="1" w:styleId="365">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66">
    <w:name w:val="xl76"/>
    <w:basedOn w:val="1"/>
    <w:qFormat/>
    <w:uiPriority w:val="0"/>
    <w:pPr>
      <w:widowControl/>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6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rPr>
  </w:style>
  <w:style w:type="paragraph" w:customStyle="1" w:styleId="368">
    <w:name w:val="xx正文"/>
    <w:basedOn w:val="1"/>
    <w:qFormat/>
    <w:uiPriority w:val="0"/>
    <w:rPr>
      <w:szCs w:val="28"/>
    </w:rPr>
  </w:style>
  <w:style w:type="paragraph" w:customStyle="1" w:styleId="369">
    <w:name w:val="样式 样式 标题 1 + 左侧:  1 字符 右侧:  1 字符 + 宋体"/>
    <w:basedOn w:val="1"/>
    <w:qFormat/>
    <w:uiPriority w:val="0"/>
    <w:pPr>
      <w:keepNext/>
      <w:keepLines/>
      <w:snapToGrid w:val="0"/>
      <w:ind w:left="240" w:leftChars="100" w:right="240" w:rightChars="100"/>
      <w:jc w:val="center"/>
      <w:outlineLvl w:val="0"/>
    </w:pPr>
    <w:rPr>
      <w:rFonts w:ascii="Arial Unicode MS" w:hAnsi="Arial Unicode MS" w:eastAsia="黑体" w:cs="方正仿宋简体"/>
      <w:kern w:val="44"/>
      <w:sz w:val="28"/>
      <w:szCs w:val="28"/>
    </w:rPr>
  </w:style>
  <w:style w:type="paragraph" w:customStyle="1" w:styleId="370">
    <w:name w:val="样式 样式 标题 4 + (西文) 宋体 + 左侧:  2 字符"/>
    <w:basedOn w:val="1"/>
    <w:qFormat/>
    <w:uiPriority w:val="0"/>
    <w:pPr>
      <w:keepNext/>
      <w:keepLines/>
      <w:ind w:right="210" w:firstLine="434" w:firstLineChars="181"/>
      <w:jc w:val="center"/>
      <w:outlineLvl w:val="3"/>
    </w:pPr>
    <w:rPr>
      <w:rFonts w:ascii="方正仿宋简体" w:hAnsi="方正仿宋简体" w:cs="Arial Unicode MS"/>
      <w:bCs/>
    </w:rPr>
  </w:style>
  <w:style w:type="paragraph" w:customStyle="1" w:styleId="371">
    <w:name w:val="样式 表头 + 首行缩进:  2 字符"/>
    <w:basedOn w:val="154"/>
    <w:semiHidden/>
    <w:qFormat/>
    <w:uiPriority w:val="0"/>
    <w:rPr>
      <w:rFonts w:cs="方正仿宋简体"/>
      <w:szCs w:val="20"/>
    </w:rPr>
  </w:style>
  <w:style w:type="paragraph" w:customStyle="1" w:styleId="372">
    <w:name w:val="样式11"/>
    <w:basedOn w:val="1"/>
    <w:semiHidden/>
    <w:qFormat/>
    <w:uiPriority w:val="0"/>
    <w:pPr>
      <w:tabs>
        <w:tab w:val="left" w:pos="269"/>
        <w:tab w:val="left" w:pos="538"/>
        <w:tab w:val="left" w:pos="4262"/>
      </w:tabs>
      <w:snapToGrid w:val="0"/>
      <w:ind w:left="736" w:hanging="720"/>
      <w:jc w:val="center"/>
      <w:outlineLvl w:val="1"/>
    </w:pPr>
    <w:rPr>
      <w:rFonts w:ascii="Arial Unicode MS" w:hAnsi="Arial Unicode MS"/>
      <w:bCs/>
      <w:kern w:val="44"/>
      <w:sz w:val="28"/>
      <w:szCs w:val="20"/>
    </w:rPr>
  </w:style>
  <w:style w:type="paragraph" w:customStyle="1" w:styleId="373">
    <w:name w:val="样式2"/>
    <w:basedOn w:val="1"/>
    <w:qFormat/>
    <w:uiPriority w:val="0"/>
    <w:pPr>
      <w:ind w:left="1575" w:leftChars="750" w:right="210" w:rightChars="100" w:firstLine="470" w:firstLineChars="196"/>
    </w:pPr>
  </w:style>
  <w:style w:type="paragraph" w:customStyle="1" w:styleId="374">
    <w:name w:val="样式 目录 1 + 段前: 0 磅 段后: 0 磅2"/>
    <w:basedOn w:val="61"/>
    <w:qFormat/>
    <w:uiPriority w:val="0"/>
    <w:pPr>
      <w:tabs>
        <w:tab w:val="right" w:leader="hyphen" w:pos="8302"/>
        <w:tab w:val="clear" w:pos="8295"/>
      </w:tabs>
    </w:pPr>
    <w:rPr>
      <w:rFonts w:cs="方正仿宋简体"/>
      <w:szCs w:val="20"/>
    </w:rPr>
  </w:style>
  <w:style w:type="paragraph" w:customStyle="1" w:styleId="375">
    <w:name w:val="3"/>
    <w:basedOn w:val="1"/>
    <w:next w:val="37"/>
    <w:qFormat/>
    <w:uiPriority w:val="0"/>
    <w:pPr>
      <w:snapToGrid w:val="0"/>
      <w:ind w:firstLine="420"/>
    </w:pPr>
    <w:rPr>
      <w:rFonts w:ascii="方正仿宋简体"/>
    </w:rPr>
  </w:style>
  <w:style w:type="paragraph" w:customStyle="1" w:styleId="376">
    <w:name w:val="Char Char Char Char1"/>
    <w:basedOn w:val="1"/>
    <w:qFormat/>
    <w:uiPriority w:val="0"/>
    <w:pPr>
      <w:spacing w:line="240" w:lineRule="auto"/>
    </w:pPr>
  </w:style>
  <w:style w:type="paragraph" w:customStyle="1" w:styleId="377">
    <w:name w:val="样式 样式 样式 样式 标题 2 + 左侧:  1 字符 右侧:  1 字符 + (西文) 黑体1 + (西文) 黑体 + 加粗"/>
    <w:basedOn w:val="378"/>
    <w:qFormat/>
    <w:uiPriority w:val="0"/>
  </w:style>
  <w:style w:type="paragraph" w:customStyle="1" w:styleId="378">
    <w:name w:val="样式 样式 样式 标题 2 + 左侧:  1 字符 右侧:  1 字符 + (西文) 黑体1 + (西文) 黑体"/>
    <w:basedOn w:val="379"/>
    <w:qFormat/>
    <w:uiPriority w:val="0"/>
  </w:style>
  <w:style w:type="paragraph" w:customStyle="1" w:styleId="379">
    <w:name w:val="样式 样式 标题 2 + 左侧:  1 字符 右侧:  1 字符 + (西文) 黑体1"/>
    <w:basedOn w:val="1"/>
    <w:qFormat/>
    <w:uiPriority w:val="0"/>
    <w:pPr>
      <w:keepNext/>
      <w:keepLines/>
      <w:snapToGrid w:val="0"/>
      <w:ind w:left="240" w:leftChars="100" w:right="240" w:rightChars="100" w:firstLine="480"/>
      <w:jc w:val="center"/>
      <w:outlineLvl w:val="1"/>
    </w:pPr>
    <w:rPr>
      <w:rFonts w:ascii="Arial Unicode MS" w:hAnsi="Arial Unicode MS" w:cs="方正仿宋简体"/>
      <w:sz w:val="28"/>
      <w:szCs w:val="28"/>
    </w:rPr>
  </w:style>
  <w:style w:type="paragraph" w:customStyle="1" w:styleId="380">
    <w:name w:val="xl8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81">
    <w:name w:val="xl8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82">
    <w:name w:val="二级标题 Char Char Char"/>
    <w:basedOn w:val="1"/>
    <w:next w:val="1"/>
    <w:qFormat/>
    <w:uiPriority w:val="0"/>
    <w:pPr>
      <w:spacing w:line="529" w:lineRule="exact"/>
    </w:pPr>
    <w:rPr>
      <w:rFonts w:ascii="方正仿宋简体" w:hAnsi="方正仿宋简体" w:cs="方正仿宋简体"/>
    </w:rPr>
  </w:style>
  <w:style w:type="paragraph" w:customStyle="1" w:styleId="383">
    <w:name w:val="Char Char Char Char Char Char Char Char Char Char"/>
    <w:basedOn w:val="1"/>
    <w:qFormat/>
    <w:uiPriority w:val="0"/>
    <w:pPr>
      <w:spacing w:line="240" w:lineRule="auto"/>
      <w:ind w:firstLine="480"/>
      <w:jc w:val="center"/>
    </w:pPr>
  </w:style>
  <w:style w:type="paragraph" w:customStyle="1" w:styleId="384">
    <w:name w:val="1.1.1.1"/>
    <w:basedOn w:val="1"/>
    <w:qFormat/>
    <w:uiPriority w:val="0"/>
    <w:pPr>
      <w:snapToGrid w:val="0"/>
      <w:spacing w:before="40" w:after="40" w:line="300" w:lineRule="auto"/>
      <w:ind w:firstLine="436"/>
      <w:jc w:val="left"/>
      <w:textAlignment w:val="baseline"/>
    </w:pPr>
    <w:rPr>
      <w:rFonts w:ascii="华文中宋" w:eastAsia="华文中宋"/>
      <w:spacing w:val="4"/>
      <w:kern w:val="0"/>
      <w:szCs w:val="20"/>
    </w:rPr>
  </w:style>
  <w:style w:type="paragraph" w:customStyle="1" w:styleId="385">
    <w:name w:val="font8"/>
    <w:basedOn w:val="1"/>
    <w:qFormat/>
    <w:uiPriority w:val="0"/>
    <w:pPr>
      <w:widowControl/>
      <w:spacing w:before="100" w:beforeAutospacing="1" w:after="100" w:afterAutospacing="1" w:line="240" w:lineRule="auto"/>
      <w:jc w:val="left"/>
    </w:pPr>
    <w:rPr>
      <w:rFonts w:hint="eastAsia" w:ascii="方正仿宋简体" w:hAnsi="方正仿宋简体" w:cs="黑体"/>
      <w:b/>
      <w:bCs/>
      <w:kern w:val="0"/>
    </w:rPr>
  </w:style>
  <w:style w:type="paragraph" w:customStyle="1" w:styleId="386">
    <w:name w:val="xl72"/>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87">
    <w:name w:val="font9"/>
    <w:basedOn w:val="1"/>
    <w:qFormat/>
    <w:uiPriority w:val="0"/>
    <w:pPr>
      <w:widowControl/>
      <w:spacing w:before="100" w:beforeAutospacing="1" w:after="100" w:afterAutospacing="1" w:line="240" w:lineRule="auto"/>
      <w:jc w:val="left"/>
    </w:pPr>
    <w:rPr>
      <w:rFonts w:eastAsia="黑体"/>
      <w:b/>
      <w:bCs/>
      <w:kern w:val="0"/>
    </w:rPr>
  </w:style>
  <w:style w:type="paragraph" w:customStyle="1" w:styleId="38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89">
    <w:name w:val="CM6"/>
    <w:basedOn w:val="1"/>
    <w:next w:val="1"/>
    <w:qFormat/>
    <w:uiPriority w:val="99"/>
    <w:pPr>
      <w:autoSpaceDE w:val="0"/>
      <w:autoSpaceDN w:val="0"/>
      <w:spacing w:line="468" w:lineRule="atLeast"/>
      <w:jc w:val="left"/>
    </w:pPr>
    <w:rPr>
      <w:rFonts w:ascii="HiddenHorzOCl" w:hAnsi="Calibri" w:eastAsia="HiddenHorzOCl"/>
      <w:kern w:val="0"/>
    </w:rPr>
  </w:style>
  <w:style w:type="paragraph" w:customStyle="1" w:styleId="390">
    <w:name w:val="xl37"/>
    <w:basedOn w:val="1"/>
    <w:qFormat/>
    <w:uiPriority w:val="0"/>
    <w:pPr>
      <w:widowControl/>
      <w:pBdr>
        <w:top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391">
    <w:name w:val="正文文本缩进1"/>
    <w:basedOn w:val="1"/>
    <w:qFormat/>
    <w:uiPriority w:val="0"/>
    <w:pPr>
      <w:tabs>
        <w:tab w:val="left" w:pos="1620"/>
      </w:tabs>
      <w:spacing w:line="360" w:lineRule="atLeast"/>
      <w:ind w:left="280" w:leftChars="600" w:hanging="200" w:hangingChars="200"/>
      <w:jc w:val="left"/>
      <w:textAlignment w:val="baseline"/>
    </w:pPr>
    <w:rPr>
      <w:kern w:val="0"/>
    </w:rPr>
  </w:style>
  <w:style w:type="paragraph" w:customStyle="1" w:styleId="392">
    <w:name w:val="正文文本缩进 21"/>
    <w:basedOn w:val="1"/>
    <w:qFormat/>
    <w:uiPriority w:val="0"/>
    <w:pPr>
      <w:tabs>
        <w:tab w:val="left" w:pos="5640"/>
      </w:tabs>
      <w:ind w:firstLine="480"/>
    </w:pPr>
    <w:rPr>
      <w:rFonts w:ascii="Calibri" w:hAnsi="Calibri" w:eastAsia="宋体"/>
      <w:color w:val="FF0000"/>
    </w:rPr>
  </w:style>
  <w:style w:type="paragraph" w:customStyle="1" w:styleId="393">
    <w:name w:val="项目名称"/>
    <w:qFormat/>
    <w:uiPriority w:val="0"/>
    <w:pPr>
      <w:adjustRightInd w:val="0"/>
      <w:snapToGrid w:val="0"/>
      <w:spacing w:line="360" w:lineRule="auto"/>
      <w:ind w:firstLine="480" w:firstLineChars="200"/>
      <w:textAlignment w:val="center"/>
    </w:pPr>
    <w:rPr>
      <w:rFonts w:ascii="Times New Roman" w:hAnsi="Times New Roman" w:eastAsia="仿宋_GB2312" w:cs="Times New Roman"/>
      <w:color w:val="FF0000"/>
      <w:sz w:val="24"/>
      <w:szCs w:val="24"/>
      <w:lang w:val="en-US" w:eastAsia="zh-CN" w:bidi="ar-SA"/>
    </w:rPr>
  </w:style>
  <w:style w:type="paragraph" w:customStyle="1" w:styleId="394">
    <w:name w:val="默认段落字体 Para Char"/>
    <w:basedOn w:val="1"/>
    <w:next w:val="1"/>
    <w:qFormat/>
    <w:uiPriority w:val="0"/>
    <w:rPr>
      <w:rFonts w:ascii="方正仿宋简体" w:hAnsi="方正仿宋简体" w:cs="方正仿宋简体"/>
    </w:rPr>
  </w:style>
  <w:style w:type="paragraph" w:customStyle="1" w:styleId="395">
    <w:name w:val="x标题3"/>
    <w:basedOn w:val="396"/>
    <w:qFormat/>
    <w:uiPriority w:val="0"/>
    <w:pPr>
      <w:tabs>
        <w:tab w:val="left" w:pos="5640"/>
      </w:tabs>
      <w:snapToGrid w:val="0"/>
      <w:jc w:val="left"/>
    </w:pPr>
    <w:rPr>
      <w:bCs w:val="0"/>
    </w:rPr>
  </w:style>
  <w:style w:type="paragraph" w:customStyle="1" w:styleId="396">
    <w:name w:val="zhang333333"/>
    <w:basedOn w:val="7"/>
    <w:qFormat/>
    <w:uiPriority w:val="0"/>
    <w:pPr>
      <w:keepNext/>
      <w:keepLines/>
      <w:tabs>
        <w:tab w:val="left" w:pos="5640"/>
      </w:tabs>
    </w:pPr>
    <w:rPr>
      <w:rFonts w:ascii="黑体" w:cs="Times New Roman"/>
      <w:bCs/>
      <w:szCs w:val="28"/>
    </w:rPr>
  </w:style>
  <w:style w:type="paragraph" w:customStyle="1" w:styleId="397">
    <w:name w:val="yf_正文～"/>
    <w:semiHidden/>
    <w:qFormat/>
    <w:uiPriority w:val="0"/>
    <w:pPr>
      <w:adjustRightInd w:val="0"/>
      <w:snapToGrid w:val="0"/>
      <w:spacing w:line="336" w:lineRule="auto"/>
      <w:ind w:firstLine="200" w:firstLineChars="200"/>
      <w:jc w:val="both"/>
    </w:pPr>
    <w:rPr>
      <w:rFonts w:ascii="Times New Roman" w:hAnsi="Times New Roman" w:eastAsia="TIME" w:cs="Times New Roman"/>
      <w:kern w:val="2"/>
      <w:sz w:val="24"/>
      <w:szCs w:val="24"/>
      <w:lang w:val="en-US" w:eastAsia="zh-CN" w:bidi="ar-SA"/>
    </w:rPr>
  </w:style>
  <w:style w:type="paragraph" w:customStyle="1" w:styleId="398">
    <w:name w:val="xl80"/>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399">
    <w:name w:val="Char Char Char Char Char Char1"/>
    <w:basedOn w:val="1"/>
    <w:qFormat/>
    <w:uiPriority w:val="0"/>
    <w:pPr>
      <w:widowControl/>
      <w:spacing w:after="160" w:line="400" w:lineRule="exact"/>
      <w:ind w:firstLine="480"/>
      <w:jc w:val="center"/>
    </w:pPr>
    <w:rPr>
      <w:rFonts w:ascii="Cambria" w:hAnsi="Cambria" w:eastAsia="Courier New"/>
      <w:b/>
      <w:kern w:val="0"/>
      <w:szCs w:val="20"/>
      <w:lang w:eastAsia="en-US"/>
    </w:rPr>
  </w:style>
  <w:style w:type="paragraph" w:customStyle="1" w:styleId="400">
    <w:name w:val="xl35"/>
    <w:basedOn w:val="1"/>
    <w:qFormat/>
    <w:uiPriority w:val="0"/>
    <w:pPr>
      <w:widowControl/>
      <w:pBdr>
        <w:top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401">
    <w:name w:val="样式 样式 标题 1 + 左侧:  1 字符 右侧:  1 字符 + 宋体 非加粗 左侧:  1 字符 右侧:  1 字符"/>
    <w:basedOn w:val="1"/>
    <w:qFormat/>
    <w:uiPriority w:val="0"/>
    <w:pPr>
      <w:keepNext/>
      <w:keepLines/>
      <w:snapToGrid w:val="0"/>
      <w:ind w:left="240" w:leftChars="100" w:right="240" w:rightChars="100"/>
      <w:jc w:val="center"/>
      <w:outlineLvl w:val="0"/>
    </w:pPr>
    <w:rPr>
      <w:rFonts w:ascii="Arial Unicode MS" w:hAnsi="Arial Unicode MS" w:eastAsia="黑体" w:cs="方正仿宋简体"/>
      <w:kern w:val="44"/>
      <w:sz w:val="28"/>
      <w:szCs w:val="28"/>
    </w:rPr>
  </w:style>
  <w:style w:type="paragraph" w:customStyle="1" w:styleId="402">
    <w:name w:val="标准"/>
    <w:basedOn w:val="1"/>
    <w:qFormat/>
    <w:uiPriority w:val="0"/>
    <w:pPr>
      <w:spacing w:before="120" w:line="336" w:lineRule="auto"/>
      <w:ind w:firstLine="480"/>
      <w:jc w:val="center"/>
      <w:textAlignment w:val="baseline"/>
    </w:pPr>
    <w:rPr>
      <w:rFonts w:ascii="华文中宋" w:eastAsia="华文中宋"/>
      <w:szCs w:val="20"/>
    </w:rPr>
  </w:style>
  <w:style w:type="paragraph" w:customStyle="1" w:styleId="403">
    <w:name w:val="收件人地址"/>
    <w:basedOn w:val="1"/>
    <w:qFormat/>
    <w:uiPriority w:val="3"/>
    <w:pPr>
      <w:widowControl/>
      <w:spacing w:before="480" w:after="480" w:line="300" w:lineRule="auto"/>
      <w:contextualSpacing/>
      <w:jc w:val="left"/>
    </w:pPr>
    <w:rPr>
      <w:rFonts w:ascii="仿宋" w:hAnsi="仿宋"/>
      <w:kern w:val="0"/>
      <w:sz w:val="20"/>
      <w:szCs w:val="20"/>
    </w:rPr>
  </w:style>
  <w:style w:type="paragraph" w:customStyle="1" w:styleId="404">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405">
    <w:name w:val="xl22"/>
    <w:basedOn w:val="1"/>
    <w:qFormat/>
    <w:uiPriority w:val="0"/>
    <w:pPr>
      <w:widowControl/>
      <w:spacing w:before="100" w:beforeAutospacing="1" w:after="100" w:afterAutospacing="1" w:line="240" w:lineRule="auto"/>
      <w:jc w:val="left"/>
    </w:pPr>
    <w:rPr>
      <w:rFonts w:eastAsia="黑体"/>
      <w:kern w:val="0"/>
    </w:rPr>
  </w:style>
  <w:style w:type="paragraph" w:customStyle="1" w:styleId="406">
    <w:name w:val="xl40"/>
    <w:basedOn w:val="1"/>
    <w:qFormat/>
    <w:uiPriority w:val="0"/>
    <w:pPr>
      <w:widowControl/>
      <w:pBdr>
        <w:bottom w:val="single" w:color="auto" w:sz="4" w:space="0"/>
      </w:pBdr>
      <w:spacing w:before="100" w:beforeAutospacing="1" w:after="100" w:afterAutospacing="1" w:line="240" w:lineRule="auto"/>
      <w:jc w:val="center"/>
    </w:pPr>
    <w:rPr>
      <w:rFonts w:eastAsia="黑体"/>
      <w:kern w:val="0"/>
    </w:rPr>
  </w:style>
  <w:style w:type="paragraph" w:customStyle="1" w:styleId="40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408">
    <w:name w:val="样式 样式 样式 标题 2 + 左侧:  1 字符 右侧:  1 字符 + (西文) 黑体1 + 宋体 加粗"/>
    <w:basedOn w:val="379"/>
    <w:qFormat/>
    <w:uiPriority w:val="0"/>
    <w:rPr>
      <w:bCs/>
    </w:rPr>
  </w:style>
  <w:style w:type="paragraph" w:customStyle="1" w:styleId="409">
    <w:name w:val="样式 标题 4 + (符号) 宋体 小四 非加粗 两端对齐 Char Char Char"/>
    <w:basedOn w:val="1"/>
    <w:qFormat/>
    <w:uiPriority w:val="0"/>
    <w:pPr>
      <w:tabs>
        <w:tab w:val="left" w:pos="425"/>
        <w:tab w:val="left" w:pos="1620"/>
      </w:tabs>
      <w:ind w:left="360" w:leftChars="600" w:hanging="360" w:hangingChars="200"/>
      <w:jc w:val="center"/>
    </w:pPr>
    <w:rPr>
      <w:szCs w:val="21"/>
    </w:rPr>
  </w:style>
  <w:style w:type="paragraph" w:customStyle="1" w:styleId="410">
    <w:name w:val="xl73"/>
    <w:basedOn w:val="1"/>
    <w:qFormat/>
    <w:uiPriority w:val="0"/>
    <w:pPr>
      <w:widowControl/>
      <w:shd w:val="clear" w:color="000000" w:fill="FFFFFF"/>
      <w:spacing w:before="100" w:beforeAutospacing="1" w:after="100" w:afterAutospacing="1" w:line="240" w:lineRule="auto"/>
      <w:jc w:val="center"/>
    </w:pPr>
    <w:rPr>
      <w:rFonts w:ascii="方正仿宋简体" w:hAnsi="方正仿宋简体" w:cs="方正仿宋简体"/>
      <w:color w:val="000000"/>
      <w:kern w:val="0"/>
      <w:sz w:val="18"/>
      <w:szCs w:val="18"/>
    </w:rPr>
  </w:style>
  <w:style w:type="paragraph" w:customStyle="1" w:styleId="411">
    <w:name w:val="A标题4"/>
    <w:basedOn w:val="1"/>
    <w:qFormat/>
    <w:uiPriority w:val="0"/>
    <w:pPr>
      <w:snapToGrid w:val="0"/>
      <w:spacing w:line="480" w:lineRule="exact"/>
    </w:pPr>
    <w:rPr>
      <w:rFonts w:eastAsia="Times New Roman"/>
      <w:b/>
    </w:rPr>
  </w:style>
  <w:style w:type="paragraph" w:customStyle="1" w:styleId="412">
    <w:name w:val="xl34"/>
    <w:basedOn w:val="1"/>
    <w:qFormat/>
    <w:uiPriority w:val="0"/>
    <w:pPr>
      <w:widowControl/>
      <w:pBdr>
        <w:top w:val="single" w:color="auto" w:sz="4" w:space="0"/>
      </w:pBdr>
      <w:spacing w:before="100" w:beforeAutospacing="1" w:after="100" w:afterAutospacing="1" w:line="240" w:lineRule="auto"/>
      <w:jc w:val="center"/>
    </w:pPr>
    <w:rPr>
      <w:rFonts w:ascii="黑体" w:hAnsi="黑体" w:eastAsia="黑体" w:cs="黑体"/>
      <w:kern w:val="0"/>
    </w:rPr>
  </w:style>
  <w:style w:type="paragraph" w:customStyle="1" w:styleId="413">
    <w:name w:val="xl8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414">
    <w:name w:val="正文文本2"/>
    <w:basedOn w:val="1"/>
    <w:qFormat/>
    <w:uiPriority w:val="0"/>
    <w:pPr>
      <w:autoSpaceDE w:val="0"/>
      <w:autoSpaceDN w:val="0"/>
      <w:snapToGrid w:val="0"/>
      <w:spacing w:line="300" w:lineRule="auto"/>
      <w:ind w:firstLine="560"/>
    </w:pPr>
    <w:rPr>
      <w:rFonts w:ascii="宋体" w:eastAsia="宋体"/>
      <w:sz w:val="28"/>
      <w:szCs w:val="28"/>
    </w:rPr>
  </w:style>
  <w:style w:type="paragraph" w:customStyle="1" w:styleId="415">
    <w:name w:val="Char Char Char Char Char Char1 Char"/>
    <w:basedOn w:val="1"/>
    <w:qFormat/>
    <w:uiPriority w:val="0"/>
    <w:pPr>
      <w:widowControl/>
      <w:spacing w:after="160" w:line="240" w:lineRule="exact"/>
      <w:ind w:firstLine="480"/>
      <w:jc w:val="left"/>
    </w:pPr>
  </w:style>
  <w:style w:type="paragraph" w:customStyle="1" w:styleId="41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417">
    <w:name w:val="样式 样式 标题 4T + 段前: 0.5 行 段后: 0.5 行1 + 首行缩进:  2 字符"/>
    <w:basedOn w:val="1"/>
    <w:qFormat/>
    <w:uiPriority w:val="0"/>
    <w:pPr>
      <w:keepNext/>
      <w:keepLines/>
      <w:snapToGrid w:val="0"/>
      <w:spacing w:before="120" w:after="120" w:line="376" w:lineRule="atLeast"/>
      <w:outlineLvl w:val="3"/>
    </w:pPr>
    <w:rPr>
      <w:rFonts w:ascii="Arial" w:hAnsi="Arial" w:eastAsia="黑体" w:cs="宋体"/>
      <w:b/>
      <w:bCs/>
      <w:sz w:val="28"/>
      <w:szCs w:val="20"/>
    </w:rPr>
  </w:style>
  <w:style w:type="paragraph" w:customStyle="1" w:styleId="418">
    <w:name w:val="样式 标题 3 + 段后: 0 磅 行距: 1.5 倍行距1"/>
    <w:basedOn w:val="1"/>
    <w:qFormat/>
    <w:uiPriority w:val="0"/>
    <w:pPr>
      <w:tabs>
        <w:tab w:val="left" w:pos="709"/>
        <w:tab w:val="left" w:pos="1620"/>
      </w:tabs>
      <w:ind w:left="709" w:leftChars="600" w:hanging="709" w:hangingChars="200"/>
      <w:jc w:val="center"/>
    </w:pPr>
    <w:rPr>
      <w:szCs w:val="21"/>
    </w:rPr>
  </w:style>
  <w:style w:type="paragraph" w:customStyle="1" w:styleId="419">
    <w:name w:val="正文样式"/>
    <w:basedOn w:val="1"/>
    <w:qFormat/>
    <w:uiPriority w:val="0"/>
  </w:style>
  <w:style w:type="paragraph" w:customStyle="1" w:styleId="42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黑体" w:hAnsi="黑体" w:eastAsia="黑体" w:cs="黑体"/>
      <w:kern w:val="0"/>
    </w:rPr>
  </w:style>
  <w:style w:type="paragraph" w:customStyle="1" w:styleId="421">
    <w:name w:val="CM15"/>
    <w:basedOn w:val="262"/>
    <w:next w:val="262"/>
    <w:qFormat/>
    <w:uiPriority w:val="99"/>
    <w:rPr>
      <w:rFonts w:ascii="HiddenHorzOCl" w:hAnsi="Calibri" w:eastAsia="HiddenHorzOCl" w:cs="Times New Roman"/>
      <w:color w:val="auto"/>
    </w:rPr>
  </w:style>
  <w:style w:type="paragraph" w:customStyle="1" w:styleId="422">
    <w:name w:val="Char1"/>
    <w:basedOn w:val="1"/>
    <w:qFormat/>
    <w:uiPriority w:val="0"/>
    <w:pPr>
      <w:spacing w:beforeLines="50"/>
      <w:ind w:firstLine="560"/>
    </w:pPr>
    <w:rPr>
      <w:sz w:val="28"/>
      <w:szCs w:val="28"/>
    </w:rPr>
  </w:style>
  <w:style w:type="paragraph" w:customStyle="1" w:styleId="423">
    <w:name w:val="Знак Знак1"/>
    <w:basedOn w:val="1"/>
    <w:qFormat/>
    <w:uiPriority w:val="0"/>
    <w:pPr>
      <w:spacing w:line="240" w:lineRule="auto"/>
      <w:ind w:left="-48" w:firstLine="480"/>
      <w:jc w:val="center"/>
    </w:pPr>
  </w:style>
  <w:style w:type="paragraph" w:customStyle="1" w:styleId="424">
    <w:name w:val="bodytextfirstindent2"/>
    <w:basedOn w:val="1"/>
    <w:qFormat/>
    <w:uiPriority w:val="0"/>
    <w:pPr>
      <w:widowControl/>
      <w:spacing w:before="100" w:beforeAutospacing="1" w:after="100" w:afterAutospacing="1" w:line="240" w:lineRule="auto"/>
      <w:jc w:val="left"/>
    </w:pPr>
    <w:rPr>
      <w:rFonts w:ascii="黑体" w:hAnsi="黑体" w:eastAsia="黑体"/>
      <w:kern w:val="0"/>
    </w:rPr>
  </w:style>
  <w:style w:type="paragraph" w:customStyle="1" w:styleId="425">
    <w:name w:val="样式 样式 标题 3 + 左侧:  1 字符 右侧:  1 字符 + 宋体 左侧:  1 字符 右侧:  1 字符"/>
    <w:basedOn w:val="1"/>
    <w:qFormat/>
    <w:uiPriority w:val="0"/>
    <w:pPr>
      <w:keepNext/>
      <w:keepLines/>
      <w:snapToGrid w:val="0"/>
      <w:ind w:left="240" w:leftChars="100" w:right="240" w:rightChars="100"/>
      <w:jc w:val="left"/>
      <w:outlineLvl w:val="2"/>
    </w:pPr>
    <w:rPr>
      <w:rFonts w:ascii="Arial Unicode MS" w:hAnsi="Arial Unicode MS" w:cs="方正仿宋简体"/>
      <w:bCs/>
      <w:color w:val="7030A0"/>
      <w:sz w:val="28"/>
      <w:szCs w:val="28"/>
    </w:rPr>
  </w:style>
  <w:style w:type="paragraph" w:customStyle="1" w:styleId="426">
    <w:name w:val="附录表标号"/>
    <w:basedOn w:val="1"/>
    <w:next w:val="1"/>
    <w:qFormat/>
    <w:uiPriority w:val="0"/>
    <w:pPr>
      <w:tabs>
        <w:tab w:val="left" w:pos="0"/>
      </w:tabs>
      <w:spacing w:line="14" w:lineRule="exact"/>
      <w:ind w:hanging="425"/>
      <w:jc w:val="center"/>
      <w:outlineLvl w:val="0"/>
    </w:pPr>
    <w:rPr>
      <w:rFonts w:eastAsia="宋体"/>
      <w:color w:val="FFFFFF"/>
    </w:rPr>
  </w:style>
  <w:style w:type="paragraph" w:customStyle="1" w:styleId="427">
    <w:name w:val="样式 居中"/>
    <w:basedOn w:val="1"/>
    <w:qFormat/>
    <w:uiPriority w:val="0"/>
    <w:pPr>
      <w:snapToGrid w:val="0"/>
      <w:spacing w:line="240" w:lineRule="auto"/>
      <w:jc w:val="center"/>
    </w:pPr>
    <w:rPr>
      <w:rFonts w:ascii="宋体" w:hAnsi="宋体" w:eastAsia="宋体" w:cs="Arial"/>
      <w:szCs w:val="21"/>
    </w:rPr>
  </w:style>
  <w:style w:type="paragraph" w:customStyle="1" w:styleId="428">
    <w:name w:val="表格文字2"/>
    <w:basedOn w:val="1"/>
    <w:qFormat/>
    <w:uiPriority w:val="0"/>
    <w:pPr>
      <w:spacing w:line="240" w:lineRule="auto"/>
      <w:ind w:firstLine="480"/>
      <w:jc w:val="center"/>
    </w:pPr>
  </w:style>
  <w:style w:type="paragraph" w:customStyle="1" w:styleId="429">
    <w:name w:val="首行缩进 2字符"/>
    <w:basedOn w:val="1"/>
    <w:qFormat/>
    <w:uiPriority w:val="0"/>
    <w:pPr>
      <w:snapToGrid w:val="0"/>
      <w:spacing w:line="336" w:lineRule="auto"/>
      <w:ind w:firstLine="482"/>
    </w:pPr>
    <w:rPr>
      <w:snapToGrid w:val="0"/>
      <w:spacing w:val="-4"/>
      <w:kern w:val="0"/>
    </w:rPr>
  </w:style>
  <w:style w:type="paragraph" w:customStyle="1" w:styleId="430">
    <w:name w:val="xl77"/>
    <w:basedOn w:val="1"/>
    <w:qFormat/>
    <w:uiPriority w:val="0"/>
    <w:pPr>
      <w:widowControl/>
      <w:spacing w:before="100" w:beforeAutospacing="1" w:after="100" w:afterAutospacing="1" w:line="240" w:lineRule="auto"/>
      <w:jc w:val="center"/>
    </w:pPr>
    <w:rPr>
      <w:rFonts w:ascii="方正仿宋简体" w:hAnsi="方正仿宋简体" w:cs="方正仿宋简体"/>
      <w:kern w:val="0"/>
      <w:sz w:val="18"/>
      <w:szCs w:val="18"/>
    </w:rPr>
  </w:style>
  <w:style w:type="paragraph" w:customStyle="1" w:styleId="43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32">
    <w:name w:val="xl93"/>
    <w:basedOn w:val="1"/>
    <w:qFormat/>
    <w:uiPriority w:val="0"/>
    <w:pPr>
      <w:widowControl/>
      <w:pBdr>
        <w:top w:val="single" w:color="auto" w:sz="4" w:space="0"/>
        <w:bottom w:val="single" w:color="auto" w:sz="4" w:space="0"/>
      </w:pBdr>
      <w:shd w:val="clear" w:color="000000" w:fill="FFFFFF"/>
      <w:spacing w:before="100" w:beforeAutospacing="1" w:after="100" w:afterAutospacing="1" w:line="240" w:lineRule="auto"/>
      <w:jc w:val="center"/>
    </w:pPr>
    <w:rPr>
      <w:rFonts w:ascii="方正书宋简体" w:hAnsi="方正仿宋简体" w:eastAsia="方正书宋简体" w:cs="方正仿宋简体"/>
      <w:kern w:val="0"/>
      <w:sz w:val="18"/>
      <w:szCs w:val="18"/>
    </w:rPr>
  </w:style>
  <w:style w:type="paragraph" w:customStyle="1" w:styleId="433">
    <w:name w:val="表格内部"/>
    <w:basedOn w:val="1"/>
    <w:qFormat/>
    <w:uiPriority w:val="0"/>
    <w:pPr>
      <w:snapToGrid w:val="0"/>
      <w:spacing w:line="240" w:lineRule="atLeast"/>
      <w:jc w:val="center"/>
      <w:textAlignment w:val="baseline"/>
    </w:pPr>
    <w:rPr>
      <w:rFonts w:ascii="Arial Unicode MS" w:hAnsi="Arial Unicode MS" w:eastAsia="Courier New" w:cs="Arial Unicode MS"/>
      <w:kern w:val="0"/>
      <w:szCs w:val="20"/>
    </w:rPr>
  </w:style>
  <w:style w:type="character" w:customStyle="1" w:styleId="434">
    <w:name w:val="font101"/>
    <w:qFormat/>
    <w:uiPriority w:val="0"/>
    <w:rPr>
      <w:rFonts w:hint="default" w:ascii="Times New Roman" w:hAnsi="Times New Roman" w:cs="Times New Roman"/>
      <w:color w:val="000000"/>
      <w:sz w:val="21"/>
      <w:szCs w:val="21"/>
      <w:u w:val="none"/>
      <w:vertAlign w:val="superscript"/>
    </w:rPr>
  </w:style>
  <w:style w:type="character" w:customStyle="1" w:styleId="435">
    <w:name w:val="font112"/>
    <w:qFormat/>
    <w:uiPriority w:val="0"/>
    <w:rPr>
      <w:rFonts w:hint="default" w:ascii="Times New Roman" w:hAnsi="Times New Roman" w:cs="Times New Roman"/>
      <w:color w:val="000000"/>
      <w:sz w:val="21"/>
      <w:szCs w:val="21"/>
      <w:u w:val="none"/>
      <w:vertAlign w:val="superscript"/>
    </w:rPr>
  </w:style>
  <w:style w:type="character" w:customStyle="1" w:styleId="436">
    <w:name w:val="font121"/>
    <w:qFormat/>
    <w:uiPriority w:val="0"/>
    <w:rPr>
      <w:rFonts w:hint="default" w:ascii="Times New Roman" w:hAnsi="Times New Roman" w:cs="Times New Roman"/>
      <w:color w:val="000000"/>
      <w:sz w:val="21"/>
      <w:szCs w:val="21"/>
      <w:u w:val="none"/>
      <w:vertAlign w:val="superscript"/>
    </w:rPr>
  </w:style>
  <w:style w:type="character" w:customStyle="1" w:styleId="437">
    <w:name w:val="font131"/>
    <w:qFormat/>
    <w:uiPriority w:val="0"/>
    <w:rPr>
      <w:rFonts w:hint="eastAsia" w:ascii="仿宋_GB2312" w:eastAsia="仿宋_GB2312" w:cs="仿宋_GB2312"/>
      <w:color w:val="000000"/>
      <w:sz w:val="21"/>
      <w:szCs w:val="21"/>
      <w:u w:val="none"/>
    </w:rPr>
  </w:style>
  <w:style w:type="character" w:customStyle="1" w:styleId="438">
    <w:name w:val="font12"/>
    <w:qFormat/>
    <w:uiPriority w:val="0"/>
    <w:rPr>
      <w:rFonts w:hint="default" w:ascii="Times New Roman" w:hAnsi="Times New Roman" w:cs="Times New Roman"/>
      <w:color w:val="000000"/>
      <w:sz w:val="21"/>
      <w:szCs w:val="21"/>
      <w:u w:val="none"/>
    </w:rPr>
  </w:style>
  <w:style w:type="character" w:customStyle="1" w:styleId="439">
    <w:name w:val="font111"/>
    <w:qFormat/>
    <w:uiPriority w:val="0"/>
    <w:rPr>
      <w:rFonts w:hint="default" w:ascii="Times New Roman" w:hAnsi="Times New Roman" w:cs="Times New Roman"/>
      <w:color w:val="000000"/>
      <w:sz w:val="21"/>
      <w:szCs w:val="21"/>
      <w:u w:val="none"/>
      <w:vertAlign w:val="superscript"/>
    </w:rPr>
  </w:style>
  <w:style w:type="character" w:customStyle="1" w:styleId="440">
    <w:name w:val="font122"/>
    <w:qFormat/>
    <w:uiPriority w:val="0"/>
    <w:rPr>
      <w:rFonts w:hint="default" w:ascii="Times New Roman" w:hAnsi="Times New Roman" w:cs="Times New Roman"/>
      <w:color w:val="000000"/>
      <w:sz w:val="21"/>
      <w:szCs w:val="21"/>
      <w:u w:val="none"/>
      <w:vertAlign w:val="superscript"/>
    </w:rPr>
  </w:style>
  <w:style w:type="character" w:customStyle="1" w:styleId="441">
    <w:name w:val="font171"/>
    <w:qFormat/>
    <w:uiPriority w:val="0"/>
    <w:rPr>
      <w:rFonts w:hint="default" w:ascii="Times New Roman" w:hAnsi="Times New Roman" w:cs="Times New Roman"/>
      <w:color w:val="000000"/>
      <w:sz w:val="21"/>
      <w:szCs w:val="21"/>
      <w:u w:val="none"/>
      <w:vertAlign w:val="superscript"/>
    </w:rPr>
  </w:style>
  <w:style w:type="character" w:customStyle="1" w:styleId="442">
    <w:name w:val="font161"/>
    <w:qFormat/>
    <w:uiPriority w:val="0"/>
    <w:rPr>
      <w:rFonts w:hint="default" w:ascii="Times New Roman" w:hAnsi="Times New Roman" w:cs="Times New Roman"/>
      <w:color w:val="000000"/>
      <w:sz w:val="21"/>
      <w:szCs w:val="21"/>
      <w:u w:val="none"/>
      <w:vertAlign w:val="superscript"/>
    </w:rPr>
  </w:style>
  <w:style w:type="character" w:customStyle="1" w:styleId="443">
    <w:name w:val="font181"/>
    <w:qFormat/>
    <w:uiPriority w:val="0"/>
    <w:rPr>
      <w:rFonts w:hint="default" w:ascii="Times New Roman" w:hAnsi="Times New Roman" w:cs="Times New Roman"/>
      <w:color w:val="000000"/>
      <w:sz w:val="21"/>
      <w:szCs w:val="21"/>
      <w:u w:val="none"/>
      <w:vertAlign w:val="superscript"/>
    </w:rPr>
  </w:style>
  <w:style w:type="character" w:customStyle="1" w:styleId="444">
    <w:name w:val="font151"/>
    <w:qFormat/>
    <w:uiPriority w:val="0"/>
    <w:rPr>
      <w:rFonts w:hint="default" w:ascii="Times New Roman" w:hAnsi="Times New Roman" w:cs="Times New Roman"/>
      <w:color w:val="000000"/>
      <w:sz w:val="21"/>
      <w:szCs w:val="21"/>
      <w:u w:val="none"/>
      <w:vertAlign w:val="superscript"/>
    </w:rPr>
  </w:style>
  <w:style w:type="character" w:customStyle="1" w:styleId="445">
    <w:name w:val="font141"/>
    <w:qFormat/>
    <w:uiPriority w:val="0"/>
    <w:rPr>
      <w:rFonts w:hint="default" w:ascii="Times New Roman" w:hAnsi="Times New Roman" w:cs="Times New Roman"/>
      <w:color w:val="000000"/>
      <w:sz w:val="21"/>
      <w:szCs w:val="21"/>
      <w:u w:val="none"/>
    </w:rPr>
  </w:style>
  <w:style w:type="character" w:customStyle="1" w:styleId="446">
    <w:name w:val="fontstyle01"/>
    <w:qFormat/>
    <w:uiPriority w:val="0"/>
    <w:rPr>
      <w:rFonts w:hint="eastAsia" w:ascii="仿宋_GB2312" w:eastAsia="仿宋_GB2312"/>
      <w:color w:val="000000"/>
      <w:sz w:val="24"/>
      <w:szCs w:val="24"/>
    </w:rPr>
  </w:style>
  <w:style w:type="character" w:customStyle="1" w:styleId="447">
    <w:name w:val="fontstyle21"/>
    <w:qFormat/>
    <w:uiPriority w:val="0"/>
    <w:rPr>
      <w:rFonts w:hint="default" w:ascii="Times New Roman" w:hAnsi="Times New Roman" w:cs="Times New Roman"/>
      <w:color w:val="000000"/>
      <w:sz w:val="24"/>
      <w:szCs w:val="24"/>
    </w:rPr>
  </w:style>
  <w:style w:type="character" w:customStyle="1" w:styleId="448">
    <w:name w:val="font201"/>
    <w:qFormat/>
    <w:uiPriority w:val="0"/>
    <w:rPr>
      <w:rFonts w:hint="eastAsia" w:ascii="仿宋_GB2312" w:eastAsia="仿宋_GB2312" w:cs="仿宋_GB2312"/>
      <w:color w:val="000000"/>
      <w:sz w:val="21"/>
      <w:szCs w:val="21"/>
      <w:u w:val="none"/>
    </w:rPr>
  </w:style>
  <w:style w:type="character" w:customStyle="1" w:styleId="449">
    <w:name w:val="font212"/>
    <w:qFormat/>
    <w:uiPriority w:val="0"/>
    <w:rPr>
      <w:rFonts w:hint="eastAsia" w:ascii="仿宋_GB2312" w:eastAsia="仿宋_GB2312" w:cs="仿宋_GB2312"/>
      <w:b/>
      <w:bCs/>
      <w:color w:val="000000"/>
      <w:sz w:val="21"/>
      <w:szCs w:val="21"/>
      <w:u w:val="none"/>
    </w:rPr>
  </w:style>
  <w:style w:type="character" w:customStyle="1" w:styleId="450">
    <w:name w:val="font221"/>
    <w:qFormat/>
    <w:uiPriority w:val="0"/>
    <w:rPr>
      <w:rFonts w:hint="default" w:ascii="Times New Roman" w:hAnsi="Times New Roman" w:cs="Times New Roman"/>
      <w:color w:val="000000"/>
      <w:sz w:val="21"/>
      <w:szCs w:val="21"/>
      <w:u w:val="none"/>
      <w:vertAlign w:val="superscript"/>
    </w:rPr>
  </w:style>
  <w:style w:type="character" w:customStyle="1" w:styleId="451">
    <w:name w:val="font231"/>
    <w:qFormat/>
    <w:uiPriority w:val="0"/>
    <w:rPr>
      <w:rFonts w:hint="default" w:ascii="Times New Roman" w:hAnsi="Times New Roman" w:cs="Times New Roman"/>
      <w:color w:val="000000"/>
      <w:sz w:val="21"/>
      <w:szCs w:val="21"/>
      <w:u w:val="none"/>
      <w:vertAlign w:val="superscript"/>
    </w:rPr>
  </w:style>
  <w:style w:type="character" w:customStyle="1" w:styleId="452">
    <w:name w:val="font241"/>
    <w:qFormat/>
    <w:uiPriority w:val="0"/>
    <w:rPr>
      <w:rFonts w:hint="default" w:ascii="Times New Roman" w:hAnsi="Times New Roman" w:cs="Times New Roman"/>
      <w:color w:val="000000"/>
      <w:sz w:val="21"/>
      <w:szCs w:val="21"/>
      <w:u w:val="none"/>
      <w:vertAlign w:val="superscript"/>
    </w:rPr>
  </w:style>
  <w:style w:type="character" w:customStyle="1" w:styleId="453">
    <w:name w:val="font251"/>
    <w:qFormat/>
    <w:uiPriority w:val="0"/>
    <w:rPr>
      <w:rFonts w:hint="eastAsia" w:ascii="仿宋_GB2312" w:eastAsia="仿宋_GB2312" w:cs="仿宋_GB2312"/>
      <w:color w:val="000000"/>
      <w:sz w:val="21"/>
      <w:szCs w:val="21"/>
      <w:u w:val="none"/>
    </w:rPr>
  </w:style>
  <w:style w:type="character" w:customStyle="1" w:styleId="454">
    <w:name w:val="font261"/>
    <w:qFormat/>
    <w:uiPriority w:val="0"/>
    <w:rPr>
      <w:rFonts w:hint="eastAsia" w:ascii="仿宋_GB2312" w:eastAsia="仿宋_GB2312" w:cs="仿宋_GB2312"/>
      <w:b/>
      <w:bCs/>
      <w:color w:val="000000"/>
      <w:sz w:val="21"/>
      <w:szCs w:val="21"/>
      <w:u w:val="none"/>
    </w:rPr>
  </w:style>
  <w:style w:type="character" w:customStyle="1" w:styleId="455">
    <w:name w:val="font271"/>
    <w:qFormat/>
    <w:uiPriority w:val="0"/>
    <w:rPr>
      <w:rFonts w:hint="eastAsia" w:ascii="仿宋_GB2312" w:eastAsia="仿宋_GB2312" w:cs="仿宋_GB2312"/>
      <w:b/>
      <w:bCs/>
      <w:color w:val="000000"/>
      <w:sz w:val="21"/>
      <w:szCs w:val="21"/>
      <w:u w:val="none"/>
    </w:rPr>
  </w:style>
  <w:style w:type="character" w:customStyle="1" w:styleId="456">
    <w:name w:val="font281"/>
    <w:qFormat/>
    <w:uiPriority w:val="0"/>
    <w:rPr>
      <w:rFonts w:hint="eastAsia" w:ascii="仿宋_GB2312" w:eastAsia="仿宋_GB2312" w:cs="仿宋_GB2312"/>
      <w:color w:val="000000"/>
      <w:sz w:val="21"/>
      <w:szCs w:val="21"/>
      <w:u w:val="none"/>
    </w:rPr>
  </w:style>
  <w:style w:type="paragraph" w:customStyle="1" w:styleId="457">
    <w:name w:val="标题1 + 黑体 居中 段前: 0.5 行 段后: 0.5 行"/>
    <w:basedOn w:val="270"/>
    <w:qFormat/>
    <w:uiPriority w:val="0"/>
    <w:pPr>
      <w:spacing w:before="156" w:after="156"/>
    </w:pPr>
    <w:rPr>
      <w:rFonts w:ascii="黑体" w:cs="宋体"/>
    </w:rPr>
  </w:style>
  <w:style w:type="paragraph" w:customStyle="1" w:styleId="458">
    <w:name w:val="标题2"/>
    <w:basedOn w:val="459"/>
    <w:qFormat/>
    <w:uiPriority w:val="0"/>
    <w:pPr>
      <w:tabs>
        <w:tab w:val="left" w:pos="5640"/>
      </w:tabs>
      <w:spacing w:before="156" w:beforeLines="50" w:after="156" w:afterLines="50"/>
    </w:pPr>
    <w:rPr>
      <w:rFonts w:ascii="Times New Roman"/>
      <w:color w:val="auto"/>
      <w:szCs w:val="28"/>
    </w:rPr>
  </w:style>
  <w:style w:type="paragraph" w:customStyle="1" w:styleId="459">
    <w:name w:val="zhang222222"/>
    <w:basedOn w:val="6"/>
    <w:qFormat/>
    <w:uiPriority w:val="0"/>
    <w:pPr>
      <w:tabs>
        <w:tab w:val="left" w:pos="5640"/>
      </w:tabs>
      <w:snapToGrid w:val="0"/>
      <w:spacing w:line="360" w:lineRule="auto"/>
      <w:jc w:val="left"/>
    </w:pPr>
    <w:rPr>
      <w:rFonts w:ascii="黑体"/>
      <w:bCs w:val="0"/>
      <w:color w:val="FF0000"/>
      <w:szCs w:val="30"/>
    </w:rPr>
  </w:style>
  <w:style w:type="paragraph" w:customStyle="1" w:styleId="460">
    <w:name w:val="_Style 459"/>
    <w:basedOn w:val="5"/>
    <w:next w:val="1"/>
    <w:qFormat/>
    <w:uiPriority w:val="39"/>
    <w:pPr>
      <w:widowControl/>
      <w:adjustRightInd/>
      <w:spacing w:before="480" w:line="276" w:lineRule="auto"/>
      <w:jc w:val="left"/>
      <w:textAlignment w:val="auto"/>
      <w:outlineLvl w:val="9"/>
    </w:pPr>
    <w:rPr>
      <w:rFonts w:ascii="Cambria" w:hAnsi="Cambria" w:eastAsia="宋体"/>
      <w:b/>
      <w:color w:val="365F91"/>
      <w:kern w:val="0"/>
      <w:sz w:val="28"/>
      <w:szCs w:val="28"/>
    </w:rPr>
  </w:style>
  <w:style w:type="paragraph" w:customStyle="1" w:styleId="461">
    <w:name w:val="WPSOffice手动目录 1"/>
    <w:qFormat/>
    <w:uiPriority w:val="0"/>
    <w:rPr>
      <w:rFonts w:ascii="Times New Roman" w:hAnsi="Times New Roman" w:eastAsia="宋体" w:cs="Times New Roman"/>
      <w:lang w:val="en-US" w:eastAsia="zh-CN" w:bidi="ar-SA"/>
    </w:rPr>
  </w:style>
  <w:style w:type="paragraph" w:customStyle="1" w:styleId="462">
    <w:name w:val="WPSOffice手动目录 2"/>
    <w:qFormat/>
    <w:uiPriority w:val="0"/>
    <w:pPr>
      <w:ind w:left="200" w:leftChars="200"/>
    </w:pPr>
    <w:rPr>
      <w:rFonts w:ascii="Times New Roman" w:hAnsi="Times New Roman" w:eastAsia="宋体" w:cs="Times New Roman"/>
      <w:lang w:val="en-US" w:eastAsia="zh-CN" w:bidi="ar-SA"/>
    </w:rPr>
  </w:style>
  <w:style w:type="paragraph" w:styleId="463">
    <w:name w:val="Quote"/>
    <w:basedOn w:val="1"/>
    <w:next w:val="1"/>
    <w:link w:val="464"/>
    <w:qFormat/>
    <w:uiPriority w:val="99"/>
    <w:rPr>
      <w:i/>
      <w:iCs/>
      <w:color w:val="000000"/>
    </w:rPr>
  </w:style>
  <w:style w:type="character" w:customStyle="1" w:styleId="464">
    <w:name w:val="引用 Char"/>
    <w:link w:val="463"/>
    <w:qFormat/>
    <w:uiPriority w:val="99"/>
    <w:rPr>
      <w:rFonts w:eastAsia="仿宋_GB2312"/>
      <w:i/>
      <w:iCs/>
      <w:color w:val="000000"/>
      <w:kern w:val="2"/>
      <w:sz w:val="24"/>
      <w:szCs w:val="24"/>
    </w:rPr>
  </w:style>
  <w:style w:type="paragraph" w:customStyle="1" w:styleId="465">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466">
    <w:name w:val="15"/>
    <w:qFormat/>
    <w:uiPriority w:val="0"/>
    <w:rPr>
      <w:rFonts w:hint="eastAsia" w:ascii="仿宋_GB2312" w:eastAsia="仿宋_GB2312"/>
      <w:color w:val="000000"/>
      <w:sz w:val="24"/>
      <w:szCs w:val="24"/>
    </w:rPr>
  </w:style>
  <w:style w:type="character" w:customStyle="1" w:styleId="467">
    <w:name w:val="16"/>
    <w:qFormat/>
    <w:uiPriority w:val="0"/>
    <w:rPr>
      <w:rFonts w:hint="default" w:ascii="Times New Roman" w:hAnsi="Times New Roman" w:cs="Times New Roman"/>
      <w:color w:val="000000"/>
      <w:sz w:val="24"/>
      <w:szCs w:val="24"/>
    </w:rPr>
  </w:style>
  <w:style w:type="character" w:customStyle="1" w:styleId="468">
    <w:name w:val="font191"/>
    <w:qFormat/>
    <w:uiPriority w:val="0"/>
    <w:rPr>
      <w:rFonts w:hint="default" w:ascii="Times New Roman" w:hAnsi="Times New Roman" w:cs="Times New Roman"/>
      <w:color w:val="000000"/>
      <w:sz w:val="21"/>
      <w:szCs w:val="21"/>
      <w:u w:val="none"/>
      <w:vertAlign w:val="superscript"/>
    </w:rPr>
  </w:style>
  <w:style w:type="character" w:customStyle="1" w:styleId="469">
    <w:name w:val="font211"/>
    <w:qFormat/>
    <w:uiPriority w:val="0"/>
    <w:rPr>
      <w:rFonts w:hint="eastAsia" w:ascii="仿宋_GB2312" w:eastAsia="仿宋_GB2312"/>
      <w:color w:val="000000"/>
      <w:sz w:val="21"/>
      <w:szCs w:val="21"/>
      <w:u w:val="none"/>
    </w:rPr>
  </w:style>
  <w:style w:type="character" w:customStyle="1" w:styleId="470">
    <w:name w:val="font15"/>
    <w:basedOn w:val="91"/>
    <w:qFormat/>
    <w:uiPriority w:val="0"/>
    <w:rPr>
      <w:rFonts w:hint="eastAsia" w:ascii="仿宋_GB2312" w:eastAsia="仿宋_GB2312"/>
      <w:color w:val="000000"/>
      <w:sz w:val="21"/>
      <w:szCs w:val="21"/>
      <w:u w:val="none"/>
    </w:rPr>
  </w:style>
  <w:style w:type="character" w:customStyle="1" w:styleId="471">
    <w:name w:val="font13"/>
    <w:basedOn w:val="91"/>
    <w:qFormat/>
    <w:uiPriority w:val="0"/>
    <w:rPr>
      <w:rFonts w:hint="eastAsia" w:ascii="仿宋_GB2312" w:eastAsia="仿宋_GB2312"/>
      <w:color w:val="000000"/>
      <w:sz w:val="21"/>
      <w:szCs w:val="21"/>
      <w:u w:val="none"/>
    </w:rPr>
  </w:style>
  <w:style w:type="paragraph" w:customStyle="1" w:styleId="472">
    <w:name w:val="y正文"/>
    <w:basedOn w:val="1"/>
    <w:qFormat/>
    <w:uiPriority w:val="0"/>
    <w:pPr>
      <w:snapToGrid w:val="0"/>
      <w:spacing w:line="480" w:lineRule="exact"/>
      <w:ind w:firstLine="480"/>
    </w:pPr>
    <w:rPr>
      <w:szCs w:val="20"/>
    </w:rPr>
  </w:style>
  <w:style w:type="paragraph" w:customStyle="1" w:styleId="473">
    <w:name w:val="五级标题"/>
    <w:basedOn w:val="1"/>
    <w:next w:val="472"/>
    <w:qFormat/>
    <w:uiPriority w:val="0"/>
    <w:pPr>
      <w:snapToGrid w:val="0"/>
      <w:spacing w:line="480" w:lineRule="exact"/>
      <w:outlineLvl w:val="4"/>
    </w:pPr>
  </w:style>
  <w:style w:type="paragraph" w:customStyle="1" w:styleId="474">
    <w:name w:val="样式 五级标题 + 段后: 3.9 磅"/>
    <w:basedOn w:val="473"/>
    <w:qFormat/>
    <w:uiPriority w:val="0"/>
    <w:pPr>
      <w:spacing w:after="78"/>
    </w:pPr>
    <w:rPr>
      <w:rFonts w:cs="宋体"/>
      <w:szCs w:val="20"/>
    </w:rPr>
  </w:style>
  <w:style w:type="paragraph" w:customStyle="1" w:styleId="475">
    <w:name w:val="y公式"/>
    <w:basedOn w:val="1"/>
    <w:qFormat/>
    <w:uiPriority w:val="0"/>
    <w:pPr>
      <w:snapToGrid w:val="0"/>
      <w:spacing w:line="480" w:lineRule="exact"/>
      <w:jc w:val="center"/>
    </w:pPr>
  </w:style>
  <w:style w:type="paragraph" w:customStyle="1" w:styleId="476">
    <w:name w:val="y四级标题"/>
    <w:basedOn w:val="1"/>
    <w:next w:val="472"/>
    <w:qFormat/>
    <w:uiPriority w:val="0"/>
    <w:pPr>
      <w:snapToGrid w:val="0"/>
      <w:spacing w:line="480" w:lineRule="exact"/>
      <w:outlineLvl w:val="3"/>
    </w:pPr>
    <w:rPr>
      <w:b/>
    </w:rPr>
  </w:style>
  <w:style w:type="character" w:customStyle="1" w:styleId="477">
    <w:name w:val="font132"/>
    <w:basedOn w:val="91"/>
    <w:qFormat/>
    <w:uiPriority w:val="0"/>
    <w:rPr>
      <w:rFonts w:hint="eastAsia" w:ascii="仿宋_GB2312" w:eastAsia="仿宋_GB2312" w:cs="仿宋_GB2312"/>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customXml" Target="ink/ink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4-09-16T16:34:07"/>
    </inkml:context>
    <inkml:brush xml:id="br0">
      <inkml:brushProperty name="width" value="0.05292" units="cm"/>
      <inkml:brushProperty name="height" value="0.05292" units="cm"/>
      <inkml:brushProperty name="color" value="#f80600"/>
    </inkml:brush>
  </inkml:definitions>
  <inkml:trace contextRef="#ctx0" brushRef="#br0">16060 1.53677e+06 767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2EE6C-EDAC-4D11-91F8-94BA2C3C5D5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56008</Words>
  <Characters>67108</Characters>
  <Lines>545</Lines>
  <Paragraphs>153</Paragraphs>
  <TotalTime>1</TotalTime>
  <ScaleCrop>false</ScaleCrop>
  <LinksUpToDate>false</LinksUpToDate>
  <CharactersWithSpaces>68451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2022-01-18T05:15:00Z</dcterms:created>
  <dc:creator>123</dc:creator>
  <cp:lastModifiedBy>唐少帅</cp:lastModifiedBy>
  <cp:lastPrinted>2023-06-12T09:15:00Z</cp:lastPrinted>
  <dcterms:modified xsi:type="dcterms:W3CDTF">2024-11-04T08:51:03Z</dcterms:modified>
  <dc:title>目  录</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76AF159CA51A47DEBB7978C01FCC9EB4_13</vt:lpwstr>
  </property>
</Properties>
</file>