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800" w:lineRule="exact"/>
        <w:jc w:val="center"/>
        <w:rPr>
          <w:rFonts w:hint="eastAsia" w:ascii="宋体" w:hAnsi="宋体" w:eastAsia="宋体" w:cs="宋体"/>
          <w:color w:val="auto"/>
          <w:sz w:val="36"/>
          <w:szCs w:val="36"/>
        </w:rPr>
      </w:pPr>
    </w:p>
    <w:p>
      <w:pPr>
        <w:adjustRightInd w:val="0"/>
        <w:snapToGrid w:val="0"/>
        <w:spacing w:line="84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lang w:eastAsia="zh-CN"/>
        </w:rPr>
        <w:t>新疆伽师县西克尔镇4号砖瓦用页岩矿</w:t>
      </w:r>
      <w:r>
        <w:rPr>
          <w:rFonts w:hint="eastAsia" w:ascii="宋体" w:hAnsi="宋体" w:eastAsia="宋体" w:cs="宋体"/>
          <w:b/>
          <w:color w:val="auto"/>
          <w:sz w:val="44"/>
          <w:szCs w:val="44"/>
        </w:rPr>
        <w:t>矿产资源开发利用与生态保护修复方案</w:t>
      </w: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63"/>
        <w:rPr>
          <w:rFonts w:hint="eastAsia" w:ascii="宋体" w:hAnsi="宋体" w:eastAsia="宋体" w:cs="宋体"/>
          <w:color w:val="auto"/>
        </w:rPr>
      </w:pPr>
    </w:p>
    <w:p>
      <w:pPr>
        <w:pStyle w:val="63"/>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喀什地区自然资源局</w:t>
      </w:r>
    </w:p>
    <w:p>
      <w:pPr>
        <w:spacing w:line="360" w:lineRule="auto"/>
        <w:jc w:val="center"/>
        <w:rPr>
          <w:rFonts w:hint="eastAsia" w:ascii="宋体" w:hAnsi="宋体" w:eastAsia="宋体" w:cs="宋体"/>
          <w:b/>
          <w:bCs/>
          <w:color w:val="auto"/>
          <w:sz w:val="30"/>
          <w:szCs w:val="30"/>
        </w:rPr>
      </w:pPr>
      <w:r>
        <w:rPr>
          <w:rFonts w:hint="eastAsia" w:ascii="宋体" w:hAnsi="宋体" w:eastAsia="宋体" w:cs="宋体"/>
          <w:b/>
          <w:bCs/>
          <w:color w:val="auto"/>
          <w:sz w:val="30"/>
          <w:szCs w:val="30"/>
        </w:rPr>
        <w:t>二〇二</w:t>
      </w:r>
      <w:r>
        <w:rPr>
          <w:rFonts w:hint="eastAsia" w:ascii="宋体" w:hAnsi="宋体" w:eastAsia="宋体" w:cs="宋体"/>
          <w:b/>
          <w:bCs/>
          <w:color w:val="auto"/>
          <w:sz w:val="30"/>
          <w:szCs w:val="30"/>
          <w:lang w:val="en-US" w:eastAsia="zh-CN"/>
        </w:rPr>
        <w:t>四</w:t>
      </w:r>
      <w:r>
        <w:rPr>
          <w:rFonts w:hint="eastAsia" w:ascii="宋体" w:hAnsi="宋体" w:eastAsia="宋体" w:cs="宋体"/>
          <w:b/>
          <w:bCs/>
          <w:color w:val="auto"/>
          <w:sz w:val="30"/>
          <w:szCs w:val="30"/>
        </w:rPr>
        <w:t>年</w:t>
      </w:r>
      <w:r>
        <w:rPr>
          <w:rFonts w:hint="eastAsia" w:ascii="宋体" w:hAnsi="宋体" w:eastAsia="宋体" w:cs="宋体"/>
          <w:b/>
          <w:bCs/>
          <w:color w:val="auto"/>
          <w:sz w:val="30"/>
          <w:szCs w:val="30"/>
          <w:lang w:val="en-US" w:eastAsia="zh-CN"/>
        </w:rPr>
        <w:t>十</w:t>
      </w:r>
      <w:r>
        <w:rPr>
          <w:rFonts w:hint="eastAsia" w:ascii="宋体" w:hAnsi="宋体" w:eastAsia="宋体" w:cs="宋体"/>
          <w:b/>
          <w:bCs/>
          <w:color w:val="auto"/>
          <w:sz w:val="30"/>
          <w:szCs w:val="30"/>
        </w:rPr>
        <w:t>月</w:t>
      </w:r>
    </w:p>
    <w:p>
      <w:pPr>
        <w:spacing w:line="360" w:lineRule="auto"/>
        <w:rPr>
          <w:rFonts w:hint="eastAsia" w:ascii="宋体" w:hAnsi="宋体" w:eastAsia="宋体" w:cs="宋体"/>
          <w:color w:val="auto"/>
          <w:sz w:val="30"/>
          <w:szCs w:val="30"/>
        </w:rPr>
      </w:pPr>
    </w:p>
    <w:p>
      <w:pPr>
        <w:adjustRightInd w:val="0"/>
        <w:snapToGrid w:val="0"/>
        <w:spacing w:line="840" w:lineRule="exact"/>
        <w:jc w:val="center"/>
        <w:rPr>
          <w:rFonts w:hint="eastAsia" w:ascii="宋体" w:hAnsi="宋体" w:eastAsia="宋体" w:cs="宋体"/>
          <w:b/>
          <w:color w:val="auto"/>
          <w:sz w:val="48"/>
          <w:szCs w:val="48"/>
        </w:rPr>
        <w:sectPr>
          <w:pgSz w:w="11906" w:h="16838"/>
          <w:pgMar w:top="1701" w:right="1644" w:bottom="1191" w:left="1644" w:header="851" w:footer="992" w:gutter="0"/>
          <w:pgBorders>
            <w:top w:val="none" w:sz="0" w:space="0"/>
            <w:left w:val="none" w:sz="0" w:space="0"/>
            <w:bottom w:val="none" w:sz="0" w:space="0"/>
            <w:right w:val="none" w:sz="0" w:space="0"/>
          </w:pgBorders>
          <w:cols w:space="720" w:num="1"/>
        </w:sectPr>
      </w:pPr>
    </w:p>
    <w:p>
      <w:pPr>
        <w:adjustRightInd w:val="0"/>
        <w:snapToGrid w:val="0"/>
        <w:spacing w:line="840" w:lineRule="exact"/>
        <w:jc w:val="center"/>
        <w:rPr>
          <w:rFonts w:hint="eastAsia" w:ascii="宋体" w:hAnsi="宋体" w:eastAsia="宋体" w:cs="宋体"/>
          <w:b/>
          <w:color w:val="auto"/>
          <w:sz w:val="44"/>
          <w:szCs w:val="44"/>
          <w:lang w:eastAsia="zh-CN"/>
        </w:rPr>
      </w:pPr>
    </w:p>
    <w:p>
      <w:pPr>
        <w:adjustRightInd w:val="0"/>
        <w:snapToGrid w:val="0"/>
        <w:spacing w:line="840" w:lineRule="exact"/>
        <w:jc w:val="center"/>
        <w:rPr>
          <w:rFonts w:hint="eastAsia" w:ascii="宋体" w:hAnsi="宋体" w:eastAsia="宋体" w:cs="宋体"/>
          <w:b/>
          <w:color w:val="auto"/>
          <w:sz w:val="44"/>
          <w:szCs w:val="44"/>
        </w:rPr>
      </w:pPr>
      <w:r>
        <w:rPr>
          <w:rFonts w:hint="eastAsia" w:ascii="宋体" w:hAnsi="宋体" w:eastAsia="宋体" w:cs="宋体"/>
          <w:b/>
          <w:color w:val="auto"/>
          <w:sz w:val="44"/>
          <w:szCs w:val="44"/>
          <w:lang w:eastAsia="zh-CN"/>
        </w:rPr>
        <w:t>新疆伽师县西克尔镇4号砖瓦用页岩矿</w:t>
      </w:r>
      <w:r>
        <w:rPr>
          <w:rFonts w:hint="eastAsia" w:ascii="宋体" w:hAnsi="宋体" w:eastAsia="宋体" w:cs="宋体"/>
          <w:b/>
          <w:color w:val="auto"/>
          <w:sz w:val="44"/>
          <w:szCs w:val="44"/>
        </w:rPr>
        <w:t>矿产资源开发利用与生态保护修复方案</w:t>
      </w: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27"/>
        <w:spacing w:line="240" w:lineRule="auto"/>
        <w:ind w:left="0"/>
        <w:jc w:val="center"/>
        <w:rPr>
          <w:rFonts w:hint="eastAsia" w:ascii="宋体" w:hAnsi="宋体" w:eastAsia="宋体" w:cs="宋体"/>
          <w:bCs/>
          <w:caps/>
          <w:color w:val="auto"/>
          <w:kern w:val="0"/>
          <w:sz w:val="30"/>
          <w:szCs w:val="30"/>
        </w:rPr>
      </w:pPr>
    </w:p>
    <w:p>
      <w:pPr>
        <w:adjustRightInd w:val="0"/>
        <w:snapToGrid w:val="0"/>
        <w:spacing w:line="360" w:lineRule="auto"/>
        <w:ind w:firstLine="1200" w:firstLineChars="400"/>
        <w:rPr>
          <w:rFonts w:hint="eastAsia" w:ascii="宋体" w:hAnsi="宋体" w:eastAsia="宋体" w:cs="宋体"/>
          <w:bCs/>
          <w:caps/>
          <w:color w:val="auto"/>
          <w:sz w:val="30"/>
          <w:szCs w:val="30"/>
        </w:rPr>
      </w:pPr>
      <w:r>
        <w:rPr>
          <w:rFonts w:hint="eastAsia" w:ascii="宋体" w:hAnsi="宋体" w:eastAsia="宋体" w:cs="宋体"/>
          <w:bCs/>
          <w:caps/>
          <w:color w:val="auto"/>
          <w:sz w:val="30"/>
          <w:szCs w:val="30"/>
        </w:rPr>
        <w:t xml:space="preserve">申请单位：喀什地区自然资源局 </w:t>
      </w:r>
    </w:p>
    <w:p>
      <w:pPr>
        <w:adjustRightInd w:val="0"/>
        <w:snapToGrid w:val="0"/>
        <w:spacing w:line="360" w:lineRule="auto"/>
        <w:ind w:firstLine="1200" w:firstLineChars="400"/>
        <w:rPr>
          <w:rFonts w:hint="eastAsia" w:ascii="宋体" w:hAnsi="宋体" w:eastAsia="宋体" w:cs="宋体"/>
          <w:bCs/>
          <w:caps/>
          <w:color w:val="auto"/>
          <w:sz w:val="30"/>
          <w:szCs w:val="30"/>
        </w:rPr>
      </w:pPr>
      <w:r>
        <w:rPr>
          <w:rFonts w:hint="eastAsia" w:ascii="宋体" w:hAnsi="宋体" w:eastAsia="宋体" w:cs="宋体"/>
          <w:bCs/>
          <w:caps/>
          <w:color w:val="auto"/>
          <w:sz w:val="30"/>
          <w:szCs w:val="30"/>
        </w:rPr>
        <w:t>编制单位：中化地质矿山总局新疆地质调查院</w:t>
      </w:r>
    </w:p>
    <w:p>
      <w:pPr>
        <w:adjustRightInd w:val="0"/>
        <w:snapToGrid w:val="0"/>
        <w:spacing w:line="360" w:lineRule="auto"/>
        <w:ind w:firstLine="1200" w:firstLineChars="400"/>
        <w:rPr>
          <w:rFonts w:hint="eastAsia" w:ascii="宋体" w:hAnsi="宋体" w:eastAsia="宋体" w:cs="宋体"/>
          <w:bCs/>
          <w:caps/>
          <w:color w:val="auto"/>
          <w:sz w:val="30"/>
          <w:szCs w:val="30"/>
        </w:rPr>
      </w:pPr>
      <w:r>
        <w:rPr>
          <w:rFonts w:hint="eastAsia" w:ascii="宋体" w:hAnsi="宋体" w:eastAsia="宋体" w:cs="宋体"/>
          <w:bCs/>
          <w:caps/>
          <w:color w:val="auto"/>
          <w:sz w:val="30"/>
          <w:szCs w:val="30"/>
        </w:rPr>
        <w:t>法人代表：郭一鸣</w:t>
      </w:r>
    </w:p>
    <w:p>
      <w:pPr>
        <w:adjustRightInd w:val="0"/>
        <w:snapToGrid w:val="0"/>
        <w:spacing w:line="360" w:lineRule="auto"/>
        <w:ind w:firstLine="1200" w:firstLineChars="400"/>
        <w:rPr>
          <w:rFonts w:hint="eastAsia" w:ascii="宋体" w:hAnsi="宋体" w:eastAsia="宋体" w:cs="宋体"/>
          <w:bCs/>
          <w:caps/>
          <w:color w:val="auto"/>
          <w:sz w:val="30"/>
          <w:szCs w:val="30"/>
        </w:rPr>
      </w:pPr>
      <w:r>
        <w:rPr>
          <w:rFonts w:hint="eastAsia" w:ascii="宋体" w:hAnsi="宋体" w:eastAsia="宋体" w:cs="宋体"/>
          <w:bCs/>
          <w:caps/>
          <w:color w:val="auto"/>
          <w:sz w:val="30"/>
          <w:szCs w:val="30"/>
          <w:lang w:val="en-US" w:eastAsia="zh-CN"/>
        </w:rPr>
        <w:t>审    核</w:t>
      </w:r>
      <w:r>
        <w:rPr>
          <w:rFonts w:hint="eastAsia" w:ascii="宋体" w:hAnsi="宋体" w:eastAsia="宋体" w:cs="宋体"/>
          <w:bCs/>
          <w:caps/>
          <w:color w:val="auto"/>
          <w:sz w:val="30"/>
          <w:szCs w:val="30"/>
        </w:rPr>
        <w:t>：祁世军</w:t>
      </w:r>
    </w:p>
    <w:p>
      <w:pPr>
        <w:adjustRightInd w:val="0"/>
        <w:snapToGrid w:val="0"/>
        <w:spacing w:line="360" w:lineRule="auto"/>
        <w:ind w:firstLine="1200" w:firstLineChars="400"/>
        <w:rPr>
          <w:rFonts w:hint="eastAsia" w:ascii="宋体" w:hAnsi="宋体" w:eastAsia="宋体" w:cs="宋体"/>
          <w:bCs/>
          <w:caps/>
          <w:color w:val="auto"/>
          <w:sz w:val="30"/>
          <w:szCs w:val="30"/>
          <w:lang w:eastAsia="zh-CN"/>
        </w:rPr>
      </w:pPr>
      <w:r>
        <w:rPr>
          <w:rFonts w:hint="eastAsia" w:ascii="宋体" w:hAnsi="宋体" w:eastAsia="宋体" w:cs="宋体"/>
          <w:bCs/>
          <w:caps/>
          <w:color w:val="auto"/>
          <w:sz w:val="30"/>
          <w:szCs w:val="30"/>
        </w:rPr>
        <w:t>项目负责人：王</w:t>
      </w:r>
      <w:r>
        <w:rPr>
          <w:rFonts w:hint="eastAsia" w:ascii="宋体" w:hAnsi="宋体" w:eastAsia="宋体" w:cs="宋体"/>
          <w:bCs/>
          <w:caps/>
          <w:color w:val="auto"/>
          <w:sz w:val="30"/>
          <w:szCs w:val="30"/>
          <w:lang w:val="en-US" w:eastAsia="zh-CN"/>
        </w:rPr>
        <w:t xml:space="preserve">  </w:t>
      </w:r>
      <w:r>
        <w:rPr>
          <w:rFonts w:hint="eastAsia" w:ascii="宋体" w:hAnsi="宋体" w:eastAsia="宋体" w:cs="宋体"/>
          <w:bCs/>
          <w:caps/>
          <w:color w:val="auto"/>
          <w:sz w:val="30"/>
          <w:szCs w:val="30"/>
        </w:rPr>
        <w:t>军</w:t>
      </w:r>
    </w:p>
    <w:p>
      <w:pPr>
        <w:adjustRightInd w:val="0"/>
        <w:snapToGrid w:val="0"/>
        <w:spacing w:line="360" w:lineRule="auto"/>
        <w:ind w:firstLine="1200" w:firstLineChars="400"/>
        <w:rPr>
          <w:rFonts w:hint="eastAsia" w:ascii="宋体" w:hAnsi="宋体" w:eastAsia="宋体" w:cs="宋体"/>
          <w:bCs/>
          <w:caps/>
          <w:color w:val="auto"/>
          <w:sz w:val="30"/>
          <w:szCs w:val="30"/>
          <w:lang w:val="en-US" w:eastAsia="zh-CN"/>
        </w:rPr>
      </w:pPr>
      <w:r>
        <w:rPr>
          <w:rFonts w:hint="eastAsia" w:ascii="宋体" w:hAnsi="宋体" w:eastAsia="宋体" w:cs="宋体"/>
          <w:bCs/>
          <w:caps/>
          <w:color w:val="auto"/>
          <w:sz w:val="30"/>
          <w:szCs w:val="30"/>
        </w:rPr>
        <w:t>编写人员：王</w:t>
      </w:r>
      <w:r>
        <w:rPr>
          <w:rFonts w:hint="eastAsia" w:ascii="宋体" w:hAnsi="宋体" w:eastAsia="宋体" w:cs="宋体"/>
          <w:bCs/>
          <w:caps/>
          <w:color w:val="auto"/>
          <w:sz w:val="30"/>
          <w:szCs w:val="30"/>
          <w:lang w:val="en-US" w:eastAsia="zh-CN"/>
        </w:rPr>
        <w:t xml:space="preserve">  </w:t>
      </w:r>
      <w:r>
        <w:rPr>
          <w:rFonts w:hint="eastAsia" w:ascii="宋体" w:hAnsi="宋体" w:eastAsia="宋体" w:cs="宋体"/>
          <w:bCs/>
          <w:caps/>
          <w:color w:val="auto"/>
          <w:sz w:val="30"/>
          <w:szCs w:val="30"/>
        </w:rPr>
        <w:t>军</w:t>
      </w:r>
      <w:r>
        <w:rPr>
          <w:rFonts w:hint="eastAsia" w:ascii="宋体" w:hAnsi="宋体" w:eastAsia="宋体" w:cs="宋体"/>
          <w:bCs/>
          <w:caps/>
          <w:color w:val="auto"/>
          <w:sz w:val="30"/>
          <w:szCs w:val="30"/>
          <w:lang w:val="en-US" w:eastAsia="zh-CN"/>
        </w:rPr>
        <w:t xml:space="preserve">  </w:t>
      </w:r>
      <w:r>
        <w:rPr>
          <w:rFonts w:hint="eastAsia" w:ascii="宋体" w:hAnsi="宋体" w:eastAsia="宋体" w:cs="宋体"/>
          <w:bCs/>
          <w:caps/>
          <w:color w:val="auto"/>
          <w:sz w:val="30"/>
          <w:szCs w:val="30"/>
        </w:rPr>
        <w:t>王进宝</w:t>
      </w:r>
      <w:r>
        <w:rPr>
          <w:rFonts w:hint="eastAsia" w:ascii="宋体" w:hAnsi="宋体" w:eastAsia="宋体" w:cs="宋体"/>
          <w:bCs/>
          <w:caps/>
          <w:color w:val="auto"/>
          <w:sz w:val="30"/>
          <w:szCs w:val="30"/>
          <w:lang w:val="en-US" w:eastAsia="zh-CN"/>
        </w:rPr>
        <w:t xml:space="preserve">  </w:t>
      </w:r>
      <w:r>
        <w:rPr>
          <w:rFonts w:hint="eastAsia" w:ascii="宋体" w:hAnsi="宋体" w:eastAsia="宋体" w:cs="宋体"/>
          <w:bCs/>
          <w:caps/>
          <w:color w:val="auto"/>
          <w:sz w:val="30"/>
          <w:szCs w:val="30"/>
        </w:rPr>
        <w:t>王家林</w:t>
      </w:r>
      <w:r>
        <w:rPr>
          <w:rFonts w:hint="eastAsia" w:ascii="宋体" w:hAnsi="宋体" w:eastAsia="宋体" w:cs="宋体"/>
          <w:bCs/>
          <w:caps/>
          <w:color w:val="auto"/>
          <w:sz w:val="30"/>
          <w:szCs w:val="30"/>
          <w:lang w:val="en-US" w:eastAsia="zh-CN"/>
        </w:rPr>
        <w:t xml:space="preserve">  </w:t>
      </w:r>
      <w:r>
        <w:rPr>
          <w:rFonts w:hint="eastAsia" w:ascii="宋体" w:hAnsi="宋体" w:eastAsia="宋体" w:cs="宋体"/>
          <w:bCs/>
          <w:caps/>
          <w:color w:val="auto"/>
          <w:sz w:val="30"/>
          <w:szCs w:val="30"/>
        </w:rPr>
        <w:t>乔呈祥</w:t>
      </w:r>
    </w:p>
    <w:p>
      <w:pPr>
        <w:adjustRightInd w:val="0"/>
        <w:snapToGrid w:val="0"/>
        <w:spacing w:line="360" w:lineRule="auto"/>
        <w:ind w:firstLine="1200" w:firstLineChars="400"/>
        <w:rPr>
          <w:rFonts w:hint="eastAsia" w:ascii="宋体" w:hAnsi="宋体" w:eastAsia="宋体" w:cs="宋体"/>
          <w:bCs/>
          <w:caps/>
          <w:color w:val="auto"/>
          <w:sz w:val="30"/>
          <w:szCs w:val="30"/>
        </w:rPr>
      </w:pPr>
      <w:r>
        <w:rPr>
          <w:rFonts w:hint="eastAsia" w:ascii="宋体" w:hAnsi="宋体" w:eastAsia="宋体" w:cs="宋体"/>
          <w:bCs/>
          <w:caps/>
          <w:color w:val="auto"/>
          <w:sz w:val="30"/>
          <w:szCs w:val="30"/>
        </w:rPr>
        <w:t>制图人员：</w:t>
      </w:r>
      <w:r>
        <w:rPr>
          <w:rFonts w:hint="eastAsia" w:ascii="宋体" w:hAnsi="宋体" w:eastAsia="宋体" w:cs="宋体"/>
          <w:bCs/>
          <w:caps/>
          <w:color w:val="auto"/>
          <w:sz w:val="30"/>
          <w:szCs w:val="30"/>
          <w:lang w:val="en-US" w:eastAsia="zh-CN"/>
        </w:rPr>
        <w:t>刘  芳</w:t>
      </w:r>
    </w:p>
    <w:p>
      <w:pPr>
        <w:adjustRightInd w:val="0"/>
        <w:snapToGrid w:val="0"/>
        <w:spacing w:line="360" w:lineRule="auto"/>
        <w:ind w:firstLine="1200" w:firstLineChars="400"/>
        <w:rPr>
          <w:rFonts w:hint="eastAsia" w:ascii="宋体" w:hAnsi="宋体" w:eastAsia="宋体" w:cs="宋体"/>
          <w:bCs/>
          <w:caps/>
          <w:color w:val="auto"/>
          <w:sz w:val="30"/>
          <w:szCs w:val="30"/>
        </w:rPr>
      </w:pPr>
      <w:r>
        <w:rPr>
          <w:rFonts w:hint="eastAsia" w:ascii="宋体" w:hAnsi="宋体" w:eastAsia="宋体" w:cs="宋体"/>
          <w:bCs/>
          <w:caps/>
          <w:color w:val="auto"/>
          <w:sz w:val="30"/>
          <w:szCs w:val="30"/>
        </w:rPr>
        <w:t>编写时间：2024年</w:t>
      </w:r>
      <w:r>
        <w:rPr>
          <w:rFonts w:hint="eastAsia" w:ascii="宋体" w:hAnsi="宋体" w:eastAsia="宋体" w:cs="宋体"/>
          <w:bCs/>
          <w:caps/>
          <w:color w:val="auto"/>
          <w:sz w:val="30"/>
          <w:szCs w:val="30"/>
          <w:lang w:val="en-US" w:eastAsia="zh-CN"/>
        </w:rPr>
        <w:t>10</w:t>
      </w:r>
      <w:r>
        <w:rPr>
          <w:rFonts w:hint="eastAsia" w:ascii="宋体" w:hAnsi="宋体" w:eastAsia="宋体" w:cs="宋体"/>
          <w:bCs/>
          <w:caps/>
          <w:color w:val="auto"/>
          <w:sz w:val="30"/>
          <w:szCs w:val="30"/>
        </w:rPr>
        <w:t>月</w:t>
      </w:r>
    </w:p>
    <w:p>
      <w:pPr>
        <w:pStyle w:val="131"/>
        <w:ind w:firstLine="480"/>
        <w:rPr>
          <w:rFonts w:hint="eastAsia" w:ascii="宋体" w:hAnsi="宋体" w:eastAsia="宋体" w:cs="宋体"/>
          <w:color w:val="auto"/>
        </w:rPr>
      </w:pPr>
    </w:p>
    <w:p>
      <w:pPr>
        <w:spacing w:line="360" w:lineRule="auto"/>
        <w:jc w:val="center"/>
        <w:rPr>
          <w:rFonts w:hint="eastAsia" w:ascii="宋体" w:hAnsi="宋体" w:eastAsia="宋体" w:cs="宋体"/>
          <w:b/>
          <w:color w:val="auto"/>
          <w:sz w:val="30"/>
          <w:szCs w:val="30"/>
        </w:rPr>
      </w:pPr>
    </w:p>
    <w:p>
      <w:pPr>
        <w:rPr>
          <w:rFonts w:hint="eastAsia" w:ascii="宋体" w:hAnsi="宋体" w:eastAsia="宋体" w:cs="宋体"/>
          <w:color w:val="auto"/>
        </w:rPr>
        <w:sectPr>
          <w:pgSz w:w="11906" w:h="16838"/>
          <w:pgMar w:top="1701" w:right="1644" w:bottom="1191" w:left="1644" w:header="851" w:footer="992" w:gutter="0"/>
          <w:pgBorders>
            <w:top w:val="none" w:sz="0" w:space="0"/>
            <w:left w:val="none" w:sz="0" w:space="0"/>
            <w:bottom w:val="none" w:sz="0" w:space="0"/>
            <w:right w:val="none" w:sz="0" w:space="0"/>
          </w:pgBorders>
          <w:cols w:space="720" w:num="1"/>
        </w:sectPr>
      </w:pPr>
    </w:p>
    <w:p>
      <w:pPr>
        <w:spacing w:after="24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矿产开发利用与生态保护修复方案信息表</w:t>
      </w:r>
    </w:p>
    <w:tbl>
      <w:tblPr>
        <w:tblStyle w:val="53"/>
        <w:tblW w:w="909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556"/>
        <w:gridCol w:w="2649"/>
        <w:gridCol w:w="1830"/>
        <w:gridCol w:w="2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34" w:hRule="exac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项</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目</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概</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况</w:t>
            </w:r>
          </w:p>
        </w:tc>
        <w:tc>
          <w:tcPr>
            <w:tcW w:w="155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企业名称</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喀什地区自然资源局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224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单位地址</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新疆维吾尔自治区喀什地区喀什市世纪大道</w:t>
            </w:r>
            <w:r>
              <w:rPr>
                <w:rFonts w:hint="eastAsia" w:ascii="宋体" w:hAnsi="宋体" w:eastAsia="宋体" w:cs="宋体"/>
                <w:color w:val="auto"/>
                <w:sz w:val="24"/>
                <w:szCs w:val="24"/>
                <w:lang w:val="en-US" w:eastAsia="zh-CN"/>
              </w:rPr>
              <w:t>3号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8"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矿山名称</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lang w:eastAsia="zh-CN"/>
              </w:rPr>
            </w:pPr>
            <w:r>
              <w:rPr>
                <w:rFonts w:hint="eastAsia" w:ascii="宋体" w:hAnsi="宋体" w:eastAsia="宋体" w:cs="宋体"/>
                <w:color w:val="auto"/>
                <w:kern w:val="2"/>
                <w:sz w:val="24"/>
                <w:szCs w:val="24"/>
                <w:lang w:eastAsia="zh-CN"/>
              </w:rPr>
              <w:t>新疆伽师县西克尔镇4号砖瓦用页岩矿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2"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采矿许可证</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新申请√   持有   变更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0"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以上情况请选择一种并打“√”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0" w:hRule="exact"/>
          <w:jc w:val="center"/>
        </w:trPr>
        <w:tc>
          <w:tcPr>
            <w:tcW w:w="817" w:type="dxa"/>
            <w:vMerge w:val="restart"/>
            <w:tcBorders>
              <w:top w:val="single" w:color="000000" w:sz="4" w:space="0"/>
              <w:left w:val="single" w:color="000000" w:sz="4" w:space="0"/>
              <w:bottom w:val="single" w:color="000000" w:sz="4" w:space="0"/>
              <w:right w:val="single" w:color="000000" w:sz="4" w:space="0"/>
            </w:tcBorders>
            <w:vAlign w:val="center"/>
          </w:tcPr>
          <w:p>
            <w:pPr>
              <w:spacing w:line="48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编</w:t>
            </w:r>
          </w:p>
          <w:p>
            <w:pPr>
              <w:spacing w:line="48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制</w:t>
            </w:r>
          </w:p>
          <w:p>
            <w:pPr>
              <w:spacing w:line="48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单</w:t>
            </w:r>
          </w:p>
          <w:p>
            <w:pPr>
              <w:spacing w:line="48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位</w:t>
            </w: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单位名称</w:t>
            </w:r>
          </w:p>
        </w:tc>
        <w:tc>
          <w:tcPr>
            <w:tcW w:w="6724" w:type="dxa"/>
            <w:gridSpan w:val="3"/>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中化地质矿山总局新疆地质调查院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法人代表</w:t>
            </w:r>
          </w:p>
        </w:tc>
        <w:tc>
          <w:tcPr>
            <w:tcW w:w="264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郭一鸣</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restart"/>
            <w:tcBorders>
              <w:top w:val="single" w:color="000000" w:sz="4" w:space="0"/>
              <w:left w:val="single" w:color="000000" w:sz="4" w:space="0"/>
              <w:bottom w:val="single" w:color="000000" w:sz="4" w:space="0"/>
              <w:right w:val="single" w:color="000000" w:sz="4" w:space="0"/>
            </w:tcBorders>
            <w:vAlign w:val="center"/>
          </w:tcPr>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主</w:t>
            </w:r>
          </w:p>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要</w:t>
            </w:r>
          </w:p>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编</w:t>
            </w:r>
          </w:p>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制</w:t>
            </w:r>
          </w:p>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人</w:t>
            </w:r>
          </w:p>
          <w:p>
            <w:pPr>
              <w:spacing w:line="36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员</w:t>
            </w: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8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职责</w:t>
            </w:r>
          </w:p>
        </w:tc>
        <w:tc>
          <w:tcPr>
            <w:tcW w:w="224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联系电话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王</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军</w:t>
            </w: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项目负责、主编</w:t>
            </w:r>
          </w:p>
        </w:tc>
        <w:tc>
          <w:tcPr>
            <w:tcW w:w="224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王进宝</w:t>
            </w: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编写人员</w:t>
            </w:r>
          </w:p>
        </w:tc>
        <w:tc>
          <w:tcPr>
            <w:tcW w:w="224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王家林</w:t>
            </w: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编写人员</w:t>
            </w:r>
          </w:p>
        </w:tc>
        <w:tc>
          <w:tcPr>
            <w:tcW w:w="224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乔呈祥</w:t>
            </w: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编写人员</w:t>
            </w:r>
          </w:p>
        </w:tc>
        <w:tc>
          <w:tcPr>
            <w:tcW w:w="224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jc w:val="center"/>
        </w:trPr>
        <w:tc>
          <w:tcPr>
            <w:tcW w:w="817"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1556" w:type="dxa"/>
            <w:vMerge w:val="continue"/>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eastAsia="宋体" w:cs="宋体"/>
                <w:color w:val="auto"/>
                <w:sz w:val="24"/>
                <w:szCs w:val="24"/>
              </w:rPr>
            </w:pPr>
          </w:p>
        </w:tc>
        <w:tc>
          <w:tcPr>
            <w:tcW w:w="2649"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刘  芳</w:t>
            </w:r>
          </w:p>
        </w:tc>
        <w:tc>
          <w:tcPr>
            <w:tcW w:w="1830"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制图</w:t>
            </w:r>
          </w:p>
        </w:tc>
        <w:tc>
          <w:tcPr>
            <w:tcW w:w="2245" w:type="dxa"/>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hint="eastAsia" w:ascii="宋体" w:hAnsi="宋体" w:eastAsia="宋体" w:cs="宋体"/>
                <w:color w:val="auto"/>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449" w:hRule="exact"/>
          <w:jc w:val="center"/>
        </w:trPr>
        <w:tc>
          <w:tcPr>
            <w:tcW w:w="817"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审</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查</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申</w:t>
            </w: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请</w:t>
            </w:r>
          </w:p>
        </w:tc>
        <w:tc>
          <w:tcPr>
            <w:tcW w:w="8280" w:type="dxa"/>
            <w:gridSpan w:val="4"/>
            <w:tcBorders>
              <w:top w:val="single" w:color="000000" w:sz="4" w:space="0"/>
              <w:left w:val="single" w:color="000000" w:sz="4" w:space="0"/>
              <w:bottom w:val="single" w:color="000000" w:sz="4" w:space="0"/>
              <w:right w:val="single" w:color="000000" w:sz="4" w:space="0"/>
            </w:tcBorders>
            <w:vAlign w:val="center"/>
          </w:tcPr>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我单位已按要求编制矿产开发利用与生态保护修复方案，保证方案中所引数据的真实性，同意按国家相关保密规定对文本进行相应处理后进行公示，承诺按批准后的方案做好</w:t>
            </w:r>
            <w:r>
              <w:rPr>
                <w:rFonts w:hint="eastAsia" w:ascii="宋体" w:hAnsi="宋体" w:eastAsia="宋体" w:cs="宋体"/>
                <w:color w:val="auto"/>
                <w:sz w:val="24"/>
                <w:szCs w:val="24"/>
                <w:vertAlign w:val="baseline"/>
                <w:lang w:val="en-US" w:eastAsia="zh-CN"/>
              </w:rPr>
              <w:t>矿产资源开发利用与生态保护修复工作</w:t>
            </w:r>
            <w:r>
              <w:rPr>
                <w:rFonts w:hint="eastAsia" w:ascii="宋体" w:hAnsi="宋体" w:eastAsia="宋体" w:cs="宋体"/>
                <w:color w:val="auto"/>
                <w:sz w:val="24"/>
                <w:szCs w:val="24"/>
              </w:rPr>
              <w:t>。</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请予以审查。</w:t>
            </w:r>
          </w:p>
          <w:p>
            <w:pPr>
              <w:jc w:val="center"/>
              <w:rPr>
                <w:rFonts w:hint="eastAsia" w:ascii="宋体" w:hAnsi="宋体" w:eastAsia="宋体" w:cs="宋体"/>
                <w:color w:val="auto"/>
                <w:sz w:val="24"/>
                <w:szCs w:val="24"/>
              </w:rPr>
            </w:pPr>
          </w:p>
          <w:p>
            <w:pPr>
              <w:ind w:firstLine="480"/>
              <w:jc w:val="center"/>
              <w:rPr>
                <w:rFonts w:hint="eastAsia" w:ascii="宋体" w:hAnsi="宋体" w:eastAsia="宋体" w:cs="宋体"/>
                <w:color w:val="auto"/>
                <w:sz w:val="24"/>
                <w:szCs w:val="24"/>
              </w:rPr>
            </w:pPr>
          </w:p>
          <w:p>
            <w:pPr>
              <w:ind w:firstLine="480"/>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申请单位（矿山企业）盖章</w:t>
            </w:r>
          </w:p>
          <w:p>
            <w:pPr>
              <w:ind w:firstLine="480"/>
              <w:jc w:val="center"/>
              <w:rPr>
                <w:rFonts w:hint="eastAsia" w:ascii="宋体" w:hAnsi="宋体" w:eastAsia="宋体" w:cs="宋体"/>
                <w:color w:val="auto"/>
                <w:sz w:val="24"/>
                <w:szCs w:val="24"/>
              </w:rPr>
            </w:pPr>
          </w:p>
          <w:p>
            <w:pPr>
              <w:ind w:right="480"/>
              <w:rPr>
                <w:rFonts w:hint="eastAsia" w:ascii="宋体" w:hAnsi="宋体" w:eastAsia="宋体" w:cs="宋体"/>
                <w:color w:val="auto"/>
                <w:sz w:val="24"/>
                <w:szCs w:val="24"/>
              </w:rPr>
            </w:pPr>
            <w:r>
              <w:rPr>
                <w:rFonts w:hint="eastAsia" w:ascii="宋体" w:hAnsi="宋体" w:eastAsia="宋体" w:cs="宋体"/>
                <w:color w:val="auto"/>
                <w:sz w:val="24"/>
                <w:szCs w:val="24"/>
              </w:rPr>
              <w:t xml:space="preserve">联系人：                  联系电话： </w:t>
            </w:r>
          </w:p>
        </w:tc>
      </w:tr>
    </w:tbl>
    <w:p>
      <w:pPr>
        <w:rPr>
          <w:rFonts w:hint="eastAsia" w:ascii="宋体" w:hAnsi="宋体" w:eastAsia="宋体" w:cs="宋体"/>
          <w:color w:val="auto"/>
        </w:rPr>
        <w:sectPr>
          <w:pgSz w:w="11906" w:h="16838"/>
          <w:pgMar w:top="1701" w:right="1644" w:bottom="1191" w:left="1644" w:header="851" w:footer="992" w:gutter="0"/>
          <w:pgBorders>
            <w:top w:val="none" w:sz="0" w:space="0"/>
            <w:left w:val="none" w:sz="0" w:space="0"/>
            <w:bottom w:val="none" w:sz="0" w:space="0"/>
            <w:right w:val="none" w:sz="0" w:space="0"/>
          </w:pgBorders>
          <w:cols w:space="720" w:num="1"/>
        </w:sectPr>
      </w:pPr>
    </w:p>
    <w:p>
      <w:pPr>
        <w:spacing w:before="120" w:beforeLines="50" w:after="120" w:afterLines="50" w:line="240" w:lineRule="auto"/>
        <w:jc w:val="cente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w:t>
      </w:r>
      <w:r>
        <w:rPr>
          <w:rFonts w:hint="eastAsia" w:ascii="宋体" w:hAnsi="宋体" w:eastAsia="宋体" w:cs="宋体"/>
          <w:b/>
          <w:bCs/>
          <w:color w:val="auto"/>
          <w:spacing w:val="-4"/>
          <w:sz w:val="24"/>
          <w:szCs w:val="24"/>
          <w:highlight w:val="none"/>
          <w:lang w:eastAsia="zh-CN"/>
        </w:rPr>
        <w:t>新疆伽师县西克尔镇4号砖瓦用页岩矿</w:t>
      </w:r>
      <w:r>
        <w:rPr>
          <w:rFonts w:hint="eastAsia" w:ascii="宋体" w:hAnsi="宋体" w:eastAsia="宋体" w:cs="宋体"/>
          <w:b/>
          <w:bCs/>
          <w:color w:val="auto"/>
          <w:spacing w:val="-4"/>
          <w:sz w:val="24"/>
          <w:szCs w:val="24"/>
          <w:highlight w:val="none"/>
        </w:rPr>
        <w:t>矿产资源开发利用与生态保护修复方案》</w:t>
      </w:r>
    </w:p>
    <w:p>
      <w:pPr>
        <w:spacing w:before="120" w:beforeLines="50" w:after="120" w:afterLines="50" w:line="240" w:lineRule="auto"/>
        <w:jc w:val="center"/>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初审意见</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rPr>
        <w:t>矿产资源开发利用与生态保护修复方案》是</w:t>
      </w:r>
      <w:r>
        <w:rPr>
          <w:rFonts w:hint="eastAsia" w:ascii="宋体" w:hAnsi="宋体" w:eastAsia="宋体" w:cs="宋体"/>
          <w:color w:val="auto"/>
          <w:sz w:val="24"/>
          <w:szCs w:val="24"/>
          <w:lang w:eastAsia="zh-CN"/>
        </w:rPr>
        <w:t>喀什地区自然资源局</w:t>
      </w:r>
      <w:r>
        <w:rPr>
          <w:rFonts w:hint="eastAsia" w:ascii="宋体" w:hAnsi="宋体" w:eastAsia="宋体" w:cs="宋体"/>
          <w:color w:val="auto"/>
          <w:sz w:val="24"/>
          <w:szCs w:val="24"/>
        </w:rPr>
        <w:t>委托中化地质矿山总局新疆地质调查院编制完成的。我单位技术委员会于202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月组织专家对该《方案》进行了初步审查，形成意见如下：</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一、提交审查的资料</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（一）报告：《</w:t>
      </w: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rPr>
        <w:t>矿产资源开发利用与生态保护修复方案》；</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（二）附图：</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地质报告相关</w:t>
      </w:r>
      <w:r>
        <w:rPr>
          <w:rFonts w:hint="eastAsia" w:ascii="宋体" w:hAnsi="宋体" w:eastAsia="宋体" w:cs="宋体"/>
          <w:color w:val="auto"/>
          <w:sz w:val="24"/>
          <w:szCs w:val="24"/>
        </w:rPr>
        <w:t>附图</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地形地质图（</w:t>
      </w:r>
      <w:r>
        <w:rPr>
          <w:rFonts w:hint="eastAsia" w:ascii="宋体" w:hAnsi="宋体" w:eastAsia="宋体" w:cs="宋体"/>
          <w:color w:val="auto"/>
          <w:sz w:val="24"/>
          <w:szCs w:val="24"/>
        </w:rPr>
        <w:t>1:2000</w:t>
      </w:r>
      <w:r>
        <w:rPr>
          <w:rFonts w:hint="eastAsia" w:ascii="宋体" w:hAnsi="宋体" w:cs="宋体"/>
          <w:color w:val="auto"/>
          <w:sz w:val="24"/>
          <w:szCs w:val="24"/>
          <w:lang w:val="en-US" w:eastAsia="zh-CN"/>
        </w:rPr>
        <w:t>）</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资源量估算平面图（</w:t>
      </w:r>
      <w:r>
        <w:rPr>
          <w:rFonts w:hint="eastAsia" w:ascii="宋体" w:hAnsi="宋体" w:eastAsia="宋体" w:cs="宋体"/>
          <w:color w:val="auto"/>
          <w:sz w:val="24"/>
          <w:szCs w:val="24"/>
        </w:rPr>
        <w:t>1:2000</w:t>
      </w:r>
      <w:r>
        <w:rPr>
          <w:rFonts w:hint="eastAsia" w:ascii="宋体" w:hAnsi="宋体" w:cs="宋体"/>
          <w:color w:val="auto"/>
          <w:sz w:val="24"/>
          <w:szCs w:val="24"/>
          <w:lang w:val="en-US" w:eastAsia="zh-CN"/>
        </w:rPr>
        <w:t>）</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cs="宋体"/>
          <w:color w:val="auto"/>
          <w:sz w:val="24"/>
          <w:szCs w:val="24"/>
          <w:lang w:val="en-US" w:eastAsia="zh-CN"/>
        </w:rPr>
        <w:t>资源储量估算剖面图（</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000</w:t>
      </w:r>
      <w:r>
        <w:rPr>
          <w:rFonts w:hint="eastAsia" w:ascii="宋体" w:hAnsi="宋体" w:cs="宋体"/>
          <w:color w:val="auto"/>
          <w:sz w:val="24"/>
          <w:szCs w:val="24"/>
          <w:lang w:val="en-US" w:eastAsia="zh-CN"/>
        </w:rPr>
        <w:t>）</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、矿产资源开发利用附图</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（1）露天开采最终境界与总平面图（1:2000）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（2）露天开采最终境剖面图（1:</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（3）露天开采最终境界纵剖面图（1:</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）采矿方法图</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、矿区生态修复附图</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地质环境影响现状评估图（1:2000）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eastAsia="宋体" w:cs="宋体"/>
          <w:color w:val="auto"/>
          <w:sz w:val="24"/>
          <w:szCs w:val="24"/>
        </w:rPr>
        <w:t>土地利用现状图（1:2000）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）地质环境影响预测评估图（1:2000）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土地损毁预测图（1:2000）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）土地复垦规划图（1:2000）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）地质环境保护与治理恢复工程部署图（1:2000）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（三）附件：</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1、委托书</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2、承诺书</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3、土地利用现状及规划证明</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普查</w:t>
      </w:r>
      <w:r>
        <w:rPr>
          <w:rFonts w:hint="eastAsia" w:ascii="宋体" w:hAnsi="宋体" w:eastAsia="宋体" w:cs="宋体"/>
          <w:color w:val="auto"/>
          <w:sz w:val="24"/>
          <w:szCs w:val="24"/>
        </w:rPr>
        <w:t>报告评审意见书</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、矿山地质环境现状调查表</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矿山地质环境保护治理恢复方案报告表</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7、土地复垦方案报告表</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、野外调查卡片集</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9、公众参与调查表</w:t>
      </w:r>
    </w:p>
    <w:p>
      <w:pPr>
        <w:keepNext w:val="0"/>
        <w:keepLines w:val="0"/>
        <w:pageBreakBefore w:val="0"/>
        <w:widowControl/>
        <w:tabs>
          <w:tab w:val="left" w:pos="1340"/>
        </w:tabs>
        <w:kinsoku/>
        <w:wordWrap/>
        <w:overflowPunct/>
        <w:topLinePunct w:val="0"/>
        <w:autoSpaceDE/>
        <w:autoSpaceDN/>
        <w:bidi w:val="0"/>
        <w:adjustRightInd/>
        <w:snapToGrid/>
        <w:spacing w:line="440" w:lineRule="exact"/>
        <w:ind w:left="0" w:leftChars="0" w:right="0" w:rightChars="0" w:firstLine="480" w:firstLineChars="200"/>
        <w:jc w:val="both"/>
        <w:textAlignment w:val="auto"/>
        <w:rPr>
          <w:rFonts w:hint="default" w:ascii="宋体" w:hAnsi="宋体" w:cs="宋体"/>
          <w:color w:val="auto"/>
          <w:sz w:val="24"/>
          <w:szCs w:val="24"/>
          <w:lang w:val="en-US" w:eastAsia="zh-CN"/>
        </w:rPr>
      </w:pPr>
      <w:r>
        <w:rPr>
          <w:rFonts w:hint="eastAsia" w:ascii="宋体" w:hAnsi="宋体" w:cs="宋体"/>
          <w:color w:val="auto"/>
          <w:sz w:val="24"/>
          <w:szCs w:val="24"/>
          <w:lang w:val="en-US" w:eastAsia="zh-CN"/>
        </w:rPr>
        <w:t>10、照片集</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二、矿山概况</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新疆伽师县西克尔镇4号砖瓦用页岩矿位于伽师县</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方位约</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处，矿区周边有314国道，交通便利，通行方便。但未来设矿后需修建运矿道路与省道相连。行政区划属伽师县西克尔镇管辖</w:t>
      </w:r>
      <w:r>
        <w:rPr>
          <w:rFonts w:hint="eastAsia" w:ascii="宋体" w:hAnsi="宋体" w:eastAsia="宋体" w:cs="宋体"/>
          <w:color w:val="auto"/>
          <w:sz w:val="24"/>
          <w:szCs w:val="24"/>
          <w:lang w:eastAsia="zh-CN"/>
        </w:rPr>
        <w:t>。</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该矿山设计采用露天开采方式。根据矿区气候条件，根据矿山生产条件，工作天数为</w:t>
      </w:r>
      <w:r>
        <w:rPr>
          <w:rFonts w:hint="eastAsia" w:ascii="宋体" w:hAnsi="宋体" w:eastAsia="宋体" w:cs="宋体"/>
          <w:color w:val="auto"/>
          <w:sz w:val="24"/>
          <w:szCs w:val="24"/>
          <w:highlight w:val="none"/>
          <w:lang w:val="en-US" w:eastAsia="zh-CN"/>
        </w:rPr>
        <w:t>27</w:t>
      </w:r>
      <w:r>
        <w:rPr>
          <w:rFonts w:hint="eastAsia" w:ascii="宋体" w:hAnsi="宋体" w:eastAsia="宋体" w:cs="宋体"/>
          <w:color w:val="auto"/>
          <w:sz w:val="24"/>
          <w:szCs w:val="24"/>
          <w:highlight w:val="none"/>
        </w:rPr>
        <w:t>0天。矿山开采标高范围为：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m</w:t>
      </w:r>
      <w:r>
        <w:rPr>
          <w:rFonts w:hint="eastAsia" w:ascii="宋体" w:hAnsi="宋体" w:eastAsia="宋体" w:cs="宋体"/>
          <w:color w:val="auto"/>
          <w:sz w:val="24"/>
          <w:szCs w:val="24"/>
          <w:highlight w:val="none"/>
        </w:rPr>
        <w:t>。该《方案》适用年限</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年。矿山为</w:t>
      </w:r>
      <w:r>
        <w:rPr>
          <w:rFonts w:hint="eastAsia" w:ascii="宋体" w:hAnsi="宋体" w:cs="宋体"/>
          <w:color w:val="auto"/>
          <w:sz w:val="24"/>
          <w:szCs w:val="24"/>
          <w:highlight w:val="none"/>
          <w:lang w:val="en-US" w:eastAsia="zh-CN"/>
        </w:rPr>
        <w:t>新建</w:t>
      </w:r>
      <w:r>
        <w:rPr>
          <w:rFonts w:hint="eastAsia" w:ascii="宋体" w:hAnsi="宋体" w:eastAsia="宋体" w:cs="宋体"/>
          <w:color w:val="auto"/>
          <w:sz w:val="24"/>
          <w:szCs w:val="24"/>
          <w:highlight w:val="none"/>
        </w:rPr>
        <w:t>矿山，矿区内布置采矿场矿山道路。评估区面积约</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公顷。依据</w:t>
      </w:r>
      <w:r>
        <w:rPr>
          <w:rFonts w:hint="eastAsia" w:ascii="宋体" w:hAnsi="宋体" w:cs="宋体"/>
          <w:color w:val="auto"/>
          <w:sz w:val="24"/>
          <w:szCs w:val="24"/>
          <w:highlight w:val="none"/>
          <w:lang w:val="en-US" w:eastAsia="zh-CN"/>
        </w:rPr>
        <w:t>伽师县</w:t>
      </w:r>
      <w:r>
        <w:rPr>
          <w:rFonts w:hint="eastAsia" w:ascii="宋体" w:hAnsi="宋体" w:eastAsia="宋体" w:cs="宋体"/>
          <w:color w:val="auto"/>
          <w:sz w:val="24"/>
          <w:szCs w:val="24"/>
          <w:highlight w:val="none"/>
        </w:rPr>
        <w:t>自然资源局出具的《矿区土地利用现状证明》和《矿区土地利用规划证明》以及《土地利用现状分类》（GB/T21010－2017），矿区布局所占用土地类型为</w:t>
      </w:r>
      <w:r>
        <w:rPr>
          <w:rFonts w:hint="eastAsia" w:ascii="宋体" w:hAnsi="宋体" w:cs="宋体"/>
          <w:color w:val="auto"/>
          <w:sz w:val="24"/>
          <w:szCs w:val="24"/>
          <w:highlight w:val="none"/>
          <w:lang w:val="en-US" w:eastAsia="zh-CN"/>
        </w:rPr>
        <w:t>裸土地</w:t>
      </w:r>
      <w:r>
        <w:rPr>
          <w:rFonts w:hint="eastAsia" w:ascii="宋体" w:hAnsi="宋体" w:eastAsia="宋体" w:cs="宋体"/>
          <w:color w:val="auto"/>
          <w:sz w:val="24"/>
          <w:szCs w:val="24"/>
          <w:highlight w:val="none"/>
        </w:rPr>
        <w:t>，土地权属为国有。</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三、评估区范围及评估级别</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1、评估区范围：以矿区范围为基础，向外扩</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0米，评估区面积为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公顷。</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2、评估区重要程度为一般区，矿山地质环境条件复杂程度为中等，建设规模属</w:t>
      </w:r>
      <w:r>
        <w:rPr>
          <w:rFonts w:hint="eastAsia" w:ascii="宋体" w:hAnsi="宋体" w:cs="宋体"/>
          <w:color w:val="auto"/>
          <w:sz w:val="24"/>
          <w:szCs w:val="24"/>
          <w:highlight w:val="none"/>
          <w:lang w:val="en-US" w:eastAsia="zh-CN"/>
        </w:rPr>
        <w:t>中</w:t>
      </w:r>
      <w:r>
        <w:rPr>
          <w:rFonts w:hint="eastAsia" w:ascii="宋体" w:hAnsi="宋体" w:eastAsia="宋体" w:cs="宋体"/>
          <w:color w:val="auto"/>
          <w:sz w:val="24"/>
          <w:szCs w:val="24"/>
          <w:highlight w:val="none"/>
        </w:rPr>
        <w:t>型矿山，本矿山地质环境影响评估等级为二级。</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三、取得的成果</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（一）矿山地质环境影响现状评估</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矿山地质环境影响现状评估划分为较轻区：</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rPr>
        <w:t>较轻区：占地面积</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公顷，矿区目前为原始地貌,</w:t>
      </w:r>
      <w:r>
        <w:rPr>
          <w:rFonts w:hint="eastAsia" w:ascii="宋体" w:hAnsi="宋体" w:cs="宋体"/>
          <w:color w:val="auto"/>
          <w:sz w:val="24"/>
          <w:szCs w:val="24"/>
          <w:lang w:val="en-US" w:eastAsia="zh-CN"/>
        </w:rPr>
        <w:t>未</w:t>
      </w:r>
      <w:r>
        <w:rPr>
          <w:rFonts w:hint="eastAsia" w:ascii="宋体" w:hAnsi="宋体" w:eastAsia="宋体" w:cs="宋体"/>
          <w:color w:val="auto"/>
          <w:sz w:val="24"/>
          <w:szCs w:val="24"/>
        </w:rPr>
        <w:t>开展工程，现状下未进行开采；矿山无工作人员，现状条件下无生产废水及生活污水产生，对矿区地下水水环境无影响。矿区目前未进行生产建设，故矿区无土壤污染危害风险。矿山活动对区域内土壤环境质量无污染，对土壤污染影响程度较轻</w:t>
      </w:r>
      <w:r>
        <w:rPr>
          <w:rFonts w:hint="eastAsia" w:ascii="宋体" w:hAnsi="宋体" w:eastAsia="宋体" w:cs="宋体"/>
          <w:color w:val="auto"/>
          <w:sz w:val="24"/>
          <w:szCs w:val="24"/>
          <w:lang w:eastAsia="zh-CN"/>
        </w:rPr>
        <w:t>。</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（二）矿山地质环境影响预测评估</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矿山地质环境影响预测评估划分为严重区</w:t>
      </w:r>
      <w:r>
        <w:rPr>
          <w:rFonts w:hint="eastAsia" w:ascii="宋体" w:hAnsi="宋体" w:cs="宋体"/>
          <w:color w:val="auto"/>
          <w:sz w:val="24"/>
          <w:szCs w:val="24"/>
          <w:lang w:eastAsia="zh-CN"/>
        </w:rPr>
        <w:t>、</w:t>
      </w:r>
      <w:r>
        <w:rPr>
          <w:rFonts w:hint="eastAsia" w:ascii="宋体" w:hAnsi="宋体" w:eastAsia="宋体" w:cs="宋体"/>
          <w:color w:val="auto"/>
          <w:sz w:val="24"/>
          <w:szCs w:val="24"/>
        </w:rPr>
        <w:t>较严重区和较轻区</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rPr>
        <w:t>个分区：</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严重区：占地面积</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公顷，分布范围</w:t>
      </w:r>
      <w:r>
        <w:rPr>
          <w:rFonts w:hint="eastAsia" w:ascii="宋体" w:hAnsi="宋体" w:cs="宋体"/>
          <w:color w:val="auto"/>
          <w:sz w:val="24"/>
          <w:szCs w:val="24"/>
          <w:lang w:val="en-US" w:eastAsia="zh-CN"/>
        </w:rPr>
        <w:t>规划露天采矿场</w:t>
      </w:r>
      <w:r>
        <w:rPr>
          <w:rFonts w:hint="eastAsia" w:ascii="宋体" w:hAnsi="宋体" w:eastAsia="宋体" w:cs="宋体"/>
          <w:color w:val="auto"/>
          <w:sz w:val="24"/>
          <w:szCs w:val="24"/>
        </w:rPr>
        <w:t>，现状下崩塌地质灾害危害程度</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，危险性</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泥石流地质灾害危害程度小，危险性小；预测评估地面塌陷、地裂缝、地面沉降地质灾害危害程度小，危险性小，预测评估地质灾害对矿山地质灾害的影响程度小；地形地貌景观的破坏对矿山地质环境影响程度严重，含水层、水土污染对矿山地质环境影响程度较轻。</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较严重区：占地面积</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公顷，分布范围为</w:t>
      </w:r>
      <w:r>
        <w:rPr>
          <w:rFonts w:hint="eastAsia" w:ascii="宋体" w:hAnsi="宋体" w:eastAsia="宋体" w:cs="宋体"/>
          <w:color w:val="auto"/>
          <w:sz w:val="24"/>
          <w:szCs w:val="24"/>
          <w:lang w:val="en-US" w:eastAsia="zh-CN"/>
        </w:rPr>
        <w:t>拟建排土场</w:t>
      </w:r>
      <w:r>
        <w:rPr>
          <w:rFonts w:hint="eastAsia" w:ascii="宋体" w:hAnsi="宋体" w:cs="宋体"/>
          <w:color w:val="auto"/>
          <w:sz w:val="24"/>
          <w:szCs w:val="24"/>
          <w:lang w:val="en-US" w:eastAsia="zh-CN"/>
        </w:rPr>
        <w:t>、拟建</w:t>
      </w:r>
      <w:r>
        <w:rPr>
          <w:rFonts w:hint="eastAsia" w:ascii="宋体" w:hAnsi="宋体" w:eastAsia="宋体" w:cs="宋体"/>
          <w:color w:val="auto"/>
          <w:sz w:val="24"/>
          <w:szCs w:val="24"/>
        </w:rPr>
        <w:t>生活区</w:t>
      </w:r>
      <w:r>
        <w:rPr>
          <w:rFonts w:hint="eastAsia" w:ascii="宋体" w:hAnsi="宋体" w:cs="宋体"/>
          <w:color w:val="auto"/>
          <w:sz w:val="24"/>
          <w:szCs w:val="24"/>
          <w:lang w:val="en-US" w:eastAsia="zh-CN"/>
        </w:rPr>
        <w:t>和拟建矿山道路</w:t>
      </w:r>
      <w:r>
        <w:rPr>
          <w:rFonts w:hint="eastAsia" w:ascii="宋体" w:hAnsi="宋体" w:eastAsia="宋体" w:cs="宋体"/>
          <w:color w:val="auto"/>
          <w:sz w:val="24"/>
          <w:szCs w:val="24"/>
        </w:rPr>
        <w:t>，现状下崩塌地质灾害危害程度</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，危险性</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泥石流地质灾害危害程度小，危险性小；预测评估地面塌陷、地裂缝、地面沉降地质灾害危害程度小，危险性小，预测评估地质灾害对矿山地质灾害的影响程度小；地形地貌景观的破坏对矿山地质环境影响程度较严重，含水层、水土污染对矿山地质环境影响程度较轻。</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rPr>
        <w:t>较轻区：占地面积</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公顷，分布范围为除严重区</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较严重区以外的其它区域，对土地资源破坏的影响程度较轻，地质灾害不发育，对原地形地貌景观破坏程度小，对地质灾害、地形地貌景观破坏、含水层破坏和土地资源破坏的影响程度较轻。</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（三）矿山土地损毁现状评估</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本矿山为</w:t>
      </w:r>
      <w:r>
        <w:rPr>
          <w:rFonts w:hint="eastAsia" w:ascii="宋体" w:hAnsi="宋体" w:cs="宋体"/>
          <w:color w:val="auto"/>
          <w:sz w:val="24"/>
          <w:szCs w:val="24"/>
          <w:highlight w:val="none"/>
          <w:lang w:val="en-US" w:eastAsia="zh-CN"/>
        </w:rPr>
        <w:t>新建矿山</w:t>
      </w:r>
      <w:r>
        <w:rPr>
          <w:rFonts w:hint="eastAsia" w:ascii="宋体" w:hAnsi="宋体" w:eastAsia="宋体" w:cs="宋体"/>
          <w:color w:val="auto"/>
          <w:sz w:val="24"/>
          <w:szCs w:val="24"/>
          <w:highlight w:val="none"/>
        </w:rPr>
        <w:t>，未来拟损毁形式为挖损和压占。</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（四）矿山土地损毁预测评估</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未来矿山开采，拟破坏土地主要为</w:t>
      </w:r>
      <w:r>
        <w:rPr>
          <w:rFonts w:hint="eastAsia" w:ascii="宋体" w:hAnsi="宋体" w:cs="宋体"/>
          <w:color w:val="auto"/>
          <w:sz w:val="24"/>
          <w:szCs w:val="24"/>
          <w:highlight w:val="none"/>
          <w:lang w:val="en-US" w:eastAsia="zh-CN"/>
        </w:rPr>
        <w:t>规划</w:t>
      </w:r>
      <w:r>
        <w:rPr>
          <w:rFonts w:hint="eastAsia" w:ascii="宋体" w:hAnsi="宋体" w:eastAsia="宋体" w:cs="宋体"/>
          <w:color w:val="auto"/>
          <w:sz w:val="24"/>
          <w:szCs w:val="24"/>
          <w:highlight w:val="none"/>
        </w:rPr>
        <w:t>露天采场，矿山基建过程中拟损毁土地主要为</w:t>
      </w:r>
      <w:r>
        <w:rPr>
          <w:rFonts w:hint="eastAsia" w:ascii="宋体" w:hAnsi="宋体" w:eastAsia="宋体" w:cs="宋体"/>
          <w:color w:val="auto"/>
          <w:sz w:val="24"/>
          <w:szCs w:val="24"/>
          <w:highlight w:val="none"/>
          <w:lang w:val="en-US" w:eastAsia="zh-CN"/>
        </w:rPr>
        <w:t>拟建</w:t>
      </w:r>
      <w:r>
        <w:rPr>
          <w:rFonts w:hint="eastAsia" w:ascii="宋体" w:hAnsi="宋体" w:cs="宋体"/>
          <w:color w:val="auto"/>
          <w:sz w:val="24"/>
          <w:szCs w:val="24"/>
          <w:highlight w:val="none"/>
          <w:lang w:val="en-US" w:eastAsia="zh-CN"/>
        </w:rPr>
        <w:t>矿部生活区</w:t>
      </w:r>
      <w:r>
        <w:rPr>
          <w:rFonts w:hint="eastAsia" w:ascii="宋体" w:hAnsi="宋体" w:eastAsia="宋体" w:cs="宋体"/>
          <w:color w:val="auto"/>
          <w:sz w:val="24"/>
          <w:szCs w:val="24"/>
          <w:highlight w:val="none"/>
        </w:rPr>
        <w:t>和</w:t>
      </w:r>
      <w:r>
        <w:rPr>
          <w:rFonts w:hint="eastAsia" w:ascii="宋体" w:hAnsi="宋体" w:cs="宋体"/>
          <w:color w:val="auto"/>
          <w:sz w:val="24"/>
          <w:szCs w:val="24"/>
          <w:highlight w:val="none"/>
          <w:lang w:val="en-US" w:eastAsia="zh-CN"/>
        </w:rPr>
        <w:t>拟建排土场</w:t>
      </w:r>
      <w:r>
        <w:rPr>
          <w:rFonts w:hint="eastAsia" w:ascii="宋体" w:hAnsi="宋体" w:eastAsia="宋体" w:cs="宋体"/>
          <w:color w:val="auto"/>
          <w:sz w:val="24"/>
          <w:szCs w:val="24"/>
          <w:highlight w:val="none"/>
        </w:rPr>
        <w:t>等，</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占地面积</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公顷</w:t>
      </w:r>
      <w:r>
        <w:rPr>
          <w:rFonts w:hint="eastAsia" w:ascii="宋体" w:hAnsi="宋体" w:eastAsia="宋体" w:cs="宋体"/>
          <w:color w:val="auto"/>
          <w:sz w:val="24"/>
          <w:szCs w:val="24"/>
          <w:highlight w:val="none"/>
        </w:rPr>
        <w:t>。损毁方式为</w:t>
      </w:r>
      <w:r>
        <w:rPr>
          <w:rFonts w:hint="eastAsia" w:ascii="宋体" w:hAnsi="宋体" w:eastAsia="宋体" w:cs="宋体"/>
          <w:color w:val="auto"/>
          <w:sz w:val="24"/>
          <w:szCs w:val="24"/>
          <w:highlight w:val="none"/>
          <w:lang w:val="en-US" w:eastAsia="zh-CN"/>
        </w:rPr>
        <w:t>挖损及</w:t>
      </w:r>
      <w:r>
        <w:rPr>
          <w:rFonts w:hint="eastAsia" w:ascii="宋体" w:hAnsi="宋体" w:eastAsia="宋体" w:cs="宋体"/>
          <w:color w:val="auto"/>
          <w:sz w:val="24"/>
          <w:szCs w:val="24"/>
          <w:highlight w:val="none"/>
        </w:rPr>
        <w:t>压占。</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（五）费用估算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highlight w:val="none"/>
        </w:rPr>
        <w:t>矿山服务期内矿山地质环境保护与恢复治理静态总投资为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万元。其中工程施工费为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万元，其他费用</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val="en-US" w:eastAsia="zh-CN"/>
        </w:rPr>
        <w:t>监测费</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rPr>
        <w:t>预备费</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矿山服务期内土地复垦静态总投资为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万元。其中工程施工费为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万元，其他费用</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lang w:val="en-US" w:eastAsia="zh-CN"/>
        </w:rPr>
        <w:t>监测费</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rPr>
        <w:t>预备费</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万元。</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rPr>
        <w:t>矿山服务年限内矿山地质环境保护与治理工程费</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土地复垦工程费</w:t>
      </w:r>
      <w:r>
        <w:rPr>
          <w:rFonts w:hint="eastAsia" w:ascii="宋体" w:hAnsi="宋体" w:cs="宋体"/>
          <w:color w:val="auto"/>
          <w:sz w:val="24"/>
          <w:szCs w:val="24"/>
          <w:lang w:val="en-US" w:eastAsia="zh-CN"/>
        </w:rPr>
        <w:t>总费用为****</w:t>
      </w:r>
      <w:r>
        <w:rPr>
          <w:rFonts w:hint="eastAsia" w:ascii="宋体" w:hAnsi="宋体" w:eastAsia="宋体" w:cs="宋体"/>
          <w:color w:val="auto"/>
          <w:sz w:val="24"/>
          <w:szCs w:val="24"/>
        </w:rPr>
        <w:t>万元。</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矿山地质环境保护与治理恢复工程费用全部由中标单位承担。</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四、存在的问题</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1、报告中还有错别字及其他错漏处应加强校核。</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2、图面内容部分不规范。</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五、审查结论</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综上所述，本次工作达到了预期的目的，提交的《</w:t>
      </w: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highlight w:val="none"/>
        </w:rPr>
        <w:t>矿产资源开发利用与生态保护修复方案》符合《国土资源部办公厅关于做好矿山地质环境保护与土地复垦方案编报有关工作的通知》(国土资规[2016]21号)及《新疆维吾尔自治区自然资源厅关于进一步推进和完善矿产资源管理有关工作的通知》（新自然资规〔2021〕3号）的要求，对《方案》进一步校核后可以上报审查。</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p>
    <w:p>
      <w:pPr>
        <w:pageBreakBefore w:val="0"/>
        <w:kinsoku/>
        <w:overflowPunct/>
        <w:autoSpaceDE w:val="0"/>
        <w:autoSpaceDN w:val="0"/>
        <w:bidi w:val="0"/>
        <w:adjustRightInd/>
        <w:snapToGrid/>
        <w:spacing w:line="360" w:lineRule="auto"/>
        <w:ind w:left="0" w:leftChars="0" w:right="0" w:rightChars="0" w:firstLine="4080" w:firstLineChars="1700"/>
        <w:jc w:val="both"/>
        <w:rPr>
          <w:rFonts w:hint="eastAsia" w:ascii="宋体" w:hAnsi="宋体" w:eastAsia="宋体" w:cs="宋体"/>
          <w:color w:val="auto"/>
          <w:sz w:val="24"/>
          <w:szCs w:val="24"/>
        </w:rPr>
      </w:pPr>
      <w:r>
        <w:rPr>
          <w:rFonts w:hint="eastAsia" w:ascii="宋体" w:hAnsi="宋体" w:eastAsia="宋体" w:cs="宋体"/>
          <w:color w:val="auto"/>
          <w:sz w:val="24"/>
          <w:szCs w:val="24"/>
        </w:rPr>
        <w:t xml:space="preserve">中化地质矿山总局新疆地质调查院 </w:t>
      </w:r>
    </w:p>
    <w:p>
      <w:pPr>
        <w:spacing w:line="560" w:lineRule="exact"/>
        <w:jc w:val="center"/>
        <w:rPr>
          <w:rFonts w:hint="eastAsia" w:ascii="宋体" w:hAnsi="宋体" w:eastAsia="宋体" w:cs="宋体"/>
          <w:color w:val="auto"/>
          <w:spacing w:val="-4"/>
          <w:sz w:val="24"/>
          <w:szCs w:val="24"/>
        </w:rPr>
      </w:pPr>
      <w:r>
        <w:rPr>
          <w:rFonts w:hint="eastAsia" w:ascii="宋体" w:hAnsi="宋体" w:eastAsia="宋体" w:cs="宋体"/>
          <w:color w:val="auto"/>
          <w:sz w:val="24"/>
          <w:szCs w:val="24"/>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二〇二</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十</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十六</w:t>
      </w:r>
      <w:r>
        <w:rPr>
          <w:rFonts w:hint="eastAsia" w:ascii="宋体" w:hAnsi="宋体" w:eastAsia="宋体" w:cs="宋体"/>
          <w:color w:val="auto"/>
          <w:sz w:val="24"/>
          <w:szCs w:val="24"/>
        </w:rPr>
        <w:t>日</w:t>
      </w:r>
    </w:p>
    <w:p>
      <w:pPr>
        <w:rPr>
          <w:rFonts w:hint="eastAsia" w:ascii="宋体" w:hAnsi="宋体" w:eastAsia="宋体" w:cs="宋体"/>
          <w:color w:val="auto"/>
          <w:spacing w:val="-4"/>
          <w:sz w:val="24"/>
          <w:szCs w:val="24"/>
        </w:rPr>
      </w:pPr>
      <w:r>
        <w:rPr>
          <w:rFonts w:hint="eastAsia" w:ascii="宋体" w:hAnsi="宋体" w:eastAsia="宋体" w:cs="宋体"/>
          <w:color w:val="auto"/>
          <w:spacing w:val="-4"/>
          <w:sz w:val="24"/>
          <w:szCs w:val="24"/>
        </w:rPr>
        <w:br w:type="page"/>
      </w:r>
    </w:p>
    <w:p>
      <w:pPr>
        <w:pStyle w:val="35"/>
        <w:spacing w:before="0" w:after="0"/>
        <w:jc w:val="center"/>
        <w:rPr>
          <w:rFonts w:hint="eastAsia" w:ascii="宋体" w:hAnsi="宋体" w:eastAsia="宋体" w:cs="宋体"/>
          <w:color w:val="auto"/>
          <w:sz w:val="30"/>
          <w:szCs w:val="30"/>
        </w:rPr>
      </w:pPr>
      <w:r>
        <w:rPr>
          <w:rFonts w:hint="eastAsia" w:ascii="宋体" w:hAnsi="宋体" w:eastAsia="宋体" w:cs="宋体"/>
          <w:color w:val="auto"/>
          <w:sz w:val="30"/>
          <w:szCs w:val="30"/>
        </w:rPr>
        <w:t>目    录</w:t>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 w:val="0"/>
          <w:color w:val="auto"/>
          <w:sz w:val="24"/>
          <w:szCs w:val="24"/>
        </w:rPr>
        <w:fldChar w:fldCharType="begin"/>
      </w:r>
      <w:r>
        <w:rPr>
          <w:rFonts w:hint="eastAsia" w:ascii="宋体" w:hAnsi="宋体" w:eastAsia="宋体" w:cs="宋体"/>
          <w:b w:val="0"/>
          <w:color w:val="auto"/>
          <w:sz w:val="24"/>
          <w:szCs w:val="24"/>
        </w:rPr>
        <w:instrText xml:space="preserve"> TOC \o "1-2" \h \z \u </w:instrText>
      </w:r>
      <w:r>
        <w:rPr>
          <w:rFonts w:hint="eastAsia" w:ascii="宋体" w:hAnsi="宋体" w:eastAsia="宋体" w:cs="宋体"/>
          <w:b w:val="0"/>
          <w:color w:val="auto"/>
          <w:sz w:val="24"/>
          <w:szCs w:val="24"/>
        </w:rPr>
        <w:fldChar w:fldCharType="separate"/>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\l _Toc10865 </w:instrText>
      </w:r>
      <w:r>
        <w:rPr>
          <w:rFonts w:hint="eastAsia" w:ascii="宋体" w:hAnsi="宋体" w:eastAsia="宋体" w:cs="宋体"/>
          <w:color w:val="auto"/>
          <w:sz w:val="24"/>
          <w:szCs w:val="24"/>
        </w:rPr>
        <w:fldChar w:fldCharType="separate"/>
      </w:r>
      <w:r>
        <w:rPr>
          <w:rFonts w:hint="eastAsia" w:ascii="宋体" w:hAnsi="宋体" w:eastAsia="宋体" w:cs="宋体"/>
          <w:bCs w:val="0"/>
          <w:color w:val="auto"/>
          <w:sz w:val="24"/>
          <w:szCs w:val="24"/>
        </w:rPr>
        <w:t>前  言</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_Toc10865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_Toc16130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一、编制目的</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_Toc16130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_Toc9679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二、编制依据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_Toc9679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_Toc13020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三、方案适用年限</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_Toc13020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_Toc31372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四、编制工作概况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_Toc31372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_Toc32101 </w:instrText>
      </w:r>
      <w:r>
        <w:rPr>
          <w:rFonts w:hint="eastAsia" w:ascii="宋体" w:hAnsi="宋体" w:eastAsia="宋体" w:cs="宋体"/>
          <w:bCs/>
          <w:color w:val="auto"/>
          <w:sz w:val="24"/>
          <w:szCs w:val="24"/>
        </w:rPr>
        <w:fldChar w:fldCharType="separate"/>
      </w:r>
      <w:r>
        <w:rPr>
          <w:rFonts w:hint="eastAsia" w:ascii="宋体" w:hAnsi="宋体" w:eastAsia="宋体" w:cs="宋体"/>
          <w:bCs w:val="0"/>
          <w:color w:val="auto"/>
          <w:sz w:val="24"/>
          <w:szCs w:val="24"/>
        </w:rPr>
        <w:t>第一章  矿山基本情况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_Toc32101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_Toc13256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一、矿山概括</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_Toc13256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_Toc11719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二、自然地理</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_Toc11719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_Toc6790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三、矿区地质概况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_Toc6790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17</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_Toc28038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rPr>
        <w:t>四、矿区土地利用现状</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_Toc28038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39</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_Toc27774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rPr>
        <w:t>五、社会经济概况</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_Toc27774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_Toc31902 </w:instrText>
      </w:r>
      <w:r>
        <w:rPr>
          <w:rFonts w:hint="eastAsia" w:ascii="宋体" w:hAnsi="宋体" w:eastAsia="宋体" w:cs="宋体"/>
          <w:bCs/>
          <w:color w:val="auto"/>
          <w:sz w:val="24"/>
          <w:szCs w:val="24"/>
        </w:rPr>
        <w:fldChar w:fldCharType="separate"/>
      </w:r>
      <w:r>
        <w:rPr>
          <w:rFonts w:hint="eastAsia" w:ascii="宋体" w:hAnsi="宋体" w:eastAsia="宋体" w:cs="宋体"/>
          <w:bCs w:val="0"/>
          <w:color w:val="auto"/>
          <w:sz w:val="24"/>
          <w:szCs w:val="24"/>
          <w:highlight w:val="none"/>
        </w:rPr>
        <w:t>第二章  矿产资源开发利用</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_Toc31902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_Toc1627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rPr>
        <w:t>一、矿山矿产资源储量</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_Toc1627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_Toc22334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rPr>
        <w:t>二、主要建设方案</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_Toc22334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47</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_Toc1266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rPr>
        <w:t>三、矿床开采</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_Toc1266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50</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_Toc6824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lang w:val="en-US" w:eastAsia="zh-CN"/>
        </w:rPr>
        <w:t>四、全矿劳动定员</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_Toc6824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_Toc15679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lang w:val="en-US" w:eastAsia="zh-CN"/>
        </w:rPr>
        <w:t>五、辅助生产设施及土建工程</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_Toc15679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_Toc10687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lang w:val="en-US" w:eastAsia="zh-CN"/>
        </w:rPr>
        <w:t>六、矿山固体废弃物和废水排放</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_Toc10687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58</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_Toc10531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lang w:val="en-US" w:eastAsia="zh-CN"/>
        </w:rPr>
        <w:t>七</w:t>
      </w:r>
      <w:r>
        <w:rPr>
          <w:rFonts w:hint="eastAsia" w:ascii="宋体" w:hAnsi="宋体" w:eastAsia="宋体" w:cs="宋体"/>
          <w:color w:val="auto"/>
          <w:sz w:val="24"/>
          <w:szCs w:val="24"/>
          <w:highlight w:val="none"/>
        </w:rPr>
        <w:t>、矿山安全与卫生</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_Toc10531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59</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_Toc22338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lang w:val="en-US" w:eastAsia="zh-CN"/>
        </w:rPr>
        <w:t>八</w:t>
      </w:r>
      <w:r>
        <w:rPr>
          <w:rFonts w:hint="eastAsia" w:ascii="宋体" w:hAnsi="宋体" w:eastAsia="宋体" w:cs="宋体"/>
          <w:color w:val="auto"/>
          <w:sz w:val="24"/>
          <w:szCs w:val="24"/>
          <w:highlight w:val="none"/>
        </w:rPr>
        <w:t>、绿色矿山建设</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_Toc22338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_Toc5942 </w:instrText>
      </w:r>
      <w:r>
        <w:rPr>
          <w:rFonts w:hint="eastAsia" w:ascii="宋体" w:hAnsi="宋体" w:eastAsia="宋体" w:cs="宋体"/>
          <w:bCs/>
          <w:color w:val="auto"/>
          <w:sz w:val="24"/>
          <w:szCs w:val="24"/>
        </w:rPr>
        <w:fldChar w:fldCharType="separate"/>
      </w:r>
      <w:r>
        <w:rPr>
          <w:rFonts w:hint="eastAsia" w:ascii="宋体" w:hAnsi="宋体" w:eastAsia="宋体" w:cs="宋体"/>
          <w:bCs w:val="0"/>
          <w:color w:val="auto"/>
          <w:sz w:val="24"/>
          <w:szCs w:val="24"/>
        </w:rPr>
        <w:t>第三章  矿山地质环境影响与土地损毁评估</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_Toc5942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_Toc19156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highlight w:val="none"/>
        </w:rPr>
        <w:t>一、矿山地质环境影响评估</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_Toc19156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65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_Toc7737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二、矿山土地损毁预测与评估</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_Toc7737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_Toc16185 </w:instrText>
      </w:r>
      <w:r>
        <w:rPr>
          <w:rFonts w:hint="eastAsia" w:ascii="宋体" w:hAnsi="宋体" w:eastAsia="宋体" w:cs="宋体"/>
          <w:bCs/>
          <w:color w:val="auto"/>
          <w:sz w:val="24"/>
          <w:szCs w:val="24"/>
        </w:rPr>
        <w:fldChar w:fldCharType="separate"/>
      </w:r>
      <w:r>
        <w:rPr>
          <w:rFonts w:hint="eastAsia" w:ascii="宋体" w:hAnsi="宋体" w:eastAsia="宋体" w:cs="宋体"/>
          <w:bCs w:val="0"/>
          <w:color w:val="auto"/>
          <w:sz w:val="24"/>
          <w:szCs w:val="24"/>
        </w:rPr>
        <w:t>第四章  矿山地质环境治理</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_Toc16185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89</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_Toc6367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一、矿山地质环境保护与治理恢复分区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_Toc6367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89</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_Toc27499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二、矿区地质环境治理工程</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_Toc27499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93</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_Toc21763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三、矿山地质环境治理工作年度安排</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_Toc21763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_Toc13688 </w:instrText>
      </w:r>
      <w:r>
        <w:rPr>
          <w:rFonts w:hint="eastAsia" w:ascii="宋体" w:hAnsi="宋体" w:eastAsia="宋体" w:cs="宋体"/>
          <w:bCs/>
          <w:color w:val="auto"/>
          <w:sz w:val="24"/>
          <w:szCs w:val="24"/>
        </w:rPr>
        <w:fldChar w:fldCharType="separate"/>
      </w:r>
      <w:r>
        <w:rPr>
          <w:rFonts w:hint="eastAsia" w:ascii="宋体" w:hAnsi="宋体" w:eastAsia="宋体" w:cs="宋体"/>
          <w:bCs w:val="0"/>
          <w:color w:val="auto"/>
          <w:sz w:val="24"/>
          <w:szCs w:val="24"/>
        </w:rPr>
        <w:t>第五章  矿山土地复垦</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_Toc13688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_Toc14736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一、矿山土地复垦区与复垦责任范围</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_Toc14736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_Toc1360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lang w:val="en-US" w:eastAsia="zh-CN"/>
        </w:rPr>
        <w:t>二</w:t>
      </w:r>
      <w:r>
        <w:rPr>
          <w:rFonts w:hint="eastAsia" w:ascii="宋体" w:hAnsi="宋体" w:eastAsia="宋体" w:cs="宋体"/>
          <w:color w:val="auto"/>
          <w:sz w:val="24"/>
          <w:szCs w:val="24"/>
        </w:rPr>
        <w:t>、矿区土地复垦可行性分析</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_Toc1360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106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_Toc163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三、土地复垦工程</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_Toc163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116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_Toc32483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四、土地复垦工作部署</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_Toc32483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122</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_Toc20392 </w:instrText>
      </w:r>
      <w:r>
        <w:rPr>
          <w:rFonts w:hint="eastAsia" w:ascii="宋体" w:hAnsi="宋体" w:eastAsia="宋体" w:cs="宋体"/>
          <w:bCs/>
          <w:color w:val="auto"/>
          <w:sz w:val="24"/>
          <w:szCs w:val="24"/>
        </w:rPr>
        <w:fldChar w:fldCharType="separate"/>
      </w:r>
      <w:r>
        <w:rPr>
          <w:rFonts w:hint="eastAsia" w:ascii="宋体" w:hAnsi="宋体" w:eastAsia="宋体" w:cs="宋体"/>
          <w:bCs w:val="0"/>
          <w:color w:val="auto"/>
          <w:sz w:val="24"/>
          <w:szCs w:val="24"/>
        </w:rPr>
        <w:t>第六章  投资估算</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_Toc20392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_Toc26171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一、矿山开发利用投资估算</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_Toc26171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125</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_Toc1416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二、地质环境治理和土地复垦投资估算</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_Toc1416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166</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_Toc17794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三、保障措施</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_Toc17794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187</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35"/>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_Toc5921 </w:instrText>
      </w:r>
      <w:r>
        <w:rPr>
          <w:rFonts w:hint="eastAsia" w:ascii="宋体" w:hAnsi="宋体" w:eastAsia="宋体" w:cs="宋体"/>
          <w:bCs/>
          <w:color w:val="auto"/>
          <w:sz w:val="24"/>
          <w:szCs w:val="24"/>
        </w:rPr>
        <w:fldChar w:fldCharType="separate"/>
      </w:r>
      <w:r>
        <w:rPr>
          <w:rFonts w:hint="eastAsia" w:ascii="宋体" w:hAnsi="宋体" w:eastAsia="宋体" w:cs="宋体"/>
          <w:bCs w:val="0"/>
          <w:color w:val="auto"/>
          <w:sz w:val="24"/>
          <w:szCs w:val="24"/>
        </w:rPr>
        <w:t>第七章  结论与建议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_Toc5921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198</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_Toc27661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一、主要结论</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_Toc27661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198</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pStyle w:val="42"/>
        <w:tabs>
          <w:tab w:val="right" w:leader="dot" w:pos="8310"/>
        </w:tabs>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begin"/>
      </w:r>
      <w:r>
        <w:rPr>
          <w:rFonts w:hint="eastAsia" w:ascii="宋体" w:hAnsi="宋体" w:eastAsia="宋体" w:cs="宋体"/>
          <w:bCs/>
          <w:color w:val="auto"/>
          <w:sz w:val="24"/>
          <w:szCs w:val="24"/>
        </w:rPr>
        <w:instrText xml:space="preserve"> HYPERLINK \l _Toc21661 </w:instrText>
      </w:r>
      <w:r>
        <w:rPr>
          <w:rFonts w:hint="eastAsia" w:ascii="宋体" w:hAnsi="宋体" w:eastAsia="宋体" w:cs="宋体"/>
          <w:bCs/>
          <w:color w:val="auto"/>
          <w:sz w:val="24"/>
          <w:szCs w:val="24"/>
        </w:rPr>
        <w:fldChar w:fldCharType="separate"/>
      </w:r>
      <w:r>
        <w:rPr>
          <w:rFonts w:hint="eastAsia" w:ascii="宋体" w:hAnsi="宋体" w:eastAsia="宋体" w:cs="宋体"/>
          <w:color w:val="auto"/>
          <w:sz w:val="24"/>
          <w:szCs w:val="24"/>
        </w:rPr>
        <w:t>二、存在问题和建议</w:t>
      </w:r>
      <w:r>
        <w:rPr>
          <w:rFonts w:hint="eastAsia" w:ascii="宋体" w:hAnsi="宋体" w:eastAsia="宋体" w:cs="宋体"/>
          <w:color w:val="auto"/>
          <w:sz w:val="24"/>
          <w:szCs w:val="24"/>
        </w:rPr>
        <w:tab/>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PAGEREF _Toc21661 \h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201</w:t>
      </w:r>
      <w:r>
        <w:rPr>
          <w:rFonts w:hint="eastAsia" w:ascii="宋体" w:hAnsi="宋体" w:eastAsia="宋体" w:cs="宋体"/>
          <w:color w:val="auto"/>
          <w:sz w:val="24"/>
          <w:szCs w:val="24"/>
        </w:rPr>
        <w:fldChar w:fldCharType="end"/>
      </w:r>
      <w:r>
        <w:rPr>
          <w:rFonts w:hint="eastAsia" w:ascii="宋体" w:hAnsi="宋体" w:eastAsia="宋体" w:cs="宋体"/>
          <w:bCs/>
          <w:color w:val="auto"/>
          <w:sz w:val="24"/>
          <w:szCs w:val="24"/>
        </w:rPr>
        <w:fldChar w:fldCharType="end"/>
      </w:r>
    </w:p>
    <w:p>
      <w:pPr>
        <w:spacing w:line="440" w:lineRule="exact"/>
        <w:rPr>
          <w:rFonts w:hint="eastAsia" w:ascii="宋体" w:hAnsi="宋体" w:eastAsia="宋体" w:cs="宋体"/>
          <w:color w:val="auto"/>
          <w:sz w:val="24"/>
          <w:szCs w:val="24"/>
        </w:rPr>
      </w:pPr>
      <w:r>
        <w:rPr>
          <w:rFonts w:hint="eastAsia" w:ascii="宋体" w:hAnsi="宋体" w:eastAsia="宋体" w:cs="宋体"/>
          <w:bCs/>
          <w:color w:val="auto"/>
          <w:sz w:val="24"/>
          <w:szCs w:val="24"/>
        </w:rPr>
        <w:fldChar w:fldCharType="end"/>
      </w:r>
      <w:bookmarkStart w:id="0" w:name="_Toc8374"/>
      <w:bookmarkStart w:id="1" w:name="_Toc15324"/>
      <w:bookmarkStart w:id="2" w:name="_Toc18312"/>
      <w:bookmarkStart w:id="3" w:name="_Toc8520"/>
    </w:p>
    <w:p>
      <w:pPr>
        <w:spacing w:line="312" w:lineRule="auto"/>
        <w:ind w:left="700"/>
        <w:rPr>
          <w:rFonts w:hint="eastAsia" w:ascii="宋体" w:hAnsi="宋体" w:eastAsia="宋体" w:cs="宋体"/>
          <w:b/>
          <w:color w:val="auto"/>
          <w:sz w:val="24"/>
          <w:szCs w:val="24"/>
        </w:rPr>
      </w:pPr>
      <w:r>
        <w:rPr>
          <w:rFonts w:hint="eastAsia" w:ascii="宋体" w:hAnsi="宋体" w:eastAsia="宋体" w:cs="宋体"/>
          <w:b/>
          <w:color w:val="auto"/>
          <w:sz w:val="24"/>
          <w:szCs w:val="24"/>
        </w:rPr>
        <w:t>附图:</w:t>
      </w:r>
      <w:bookmarkEnd w:id="0"/>
      <w:bookmarkEnd w:id="1"/>
      <w:bookmarkEnd w:id="2"/>
      <w:bookmarkEnd w:id="3"/>
    </w:p>
    <w:tbl>
      <w:tblPr>
        <w:tblStyle w:val="53"/>
        <w:tblW w:w="857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708"/>
        <w:gridCol w:w="571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73" w:type="dxa"/>
            <w:gridSpan w:val="4"/>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bookmarkStart w:id="4" w:name="_Toc15889"/>
            <w:bookmarkStart w:id="5" w:name="_Toc7125"/>
            <w:bookmarkStart w:id="6" w:name="_Toc5523"/>
            <w:bookmarkStart w:id="7" w:name="_Toc3416"/>
            <w:r>
              <w:rPr>
                <w:rFonts w:hint="eastAsia" w:ascii="宋体" w:hAnsi="宋体" w:eastAsia="宋体" w:cs="宋体"/>
                <w:b/>
                <w:color w:val="auto"/>
                <w:sz w:val="21"/>
                <w:szCs w:val="21"/>
              </w:rPr>
              <w:t>一、矿产资源开发利用情况附图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顺序号</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图号</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图名</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比例尺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73" w:type="dxa"/>
            <w:gridSpan w:val="4"/>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lang w:val="en-US" w:eastAsia="zh-CN"/>
              </w:rPr>
              <w:t>一</w:t>
            </w:r>
            <w:r>
              <w:rPr>
                <w:rFonts w:hint="eastAsia" w:ascii="宋体" w:hAnsi="宋体" w:eastAsia="宋体" w:cs="宋体"/>
                <w:b/>
                <w:color w:val="auto"/>
                <w:sz w:val="21"/>
                <w:szCs w:val="21"/>
              </w:rPr>
              <w:t>、地质报告相关附图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rPr>
              <w:t>1</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新疆伽师县西克尔镇4号砖瓦用页岩矿地形地质图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2</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西克尔镇4号砖瓦用页岩矿资源储量估算平面图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r>
              <w:rPr>
                <w:rFonts w:hint="eastAsia" w:ascii="宋体" w:hAnsi="宋体" w:cs="宋体"/>
                <w:bCs/>
                <w:color w:val="auto"/>
                <w:sz w:val="21"/>
                <w:szCs w:val="21"/>
                <w:lang w:val="en-US" w:eastAsia="zh-CN"/>
              </w:rPr>
              <w:t>20</w:t>
            </w:r>
            <w:r>
              <w:rPr>
                <w:rFonts w:hint="eastAsia" w:ascii="宋体" w:hAnsi="宋体" w:eastAsia="宋体" w:cs="宋体"/>
                <w:bCs/>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3</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3</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西克尔镇4号砖瓦用页岩矿勘查线资源量估算剖面图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r>
              <w:rPr>
                <w:rFonts w:hint="eastAsia" w:ascii="宋体" w:hAnsi="宋体" w:cs="宋体"/>
                <w:bCs/>
                <w:color w:val="auto"/>
                <w:sz w:val="21"/>
                <w:szCs w:val="21"/>
                <w:lang w:val="en-US" w:eastAsia="zh-CN"/>
              </w:rPr>
              <w:t>10</w:t>
            </w:r>
            <w:r>
              <w:rPr>
                <w:rFonts w:hint="eastAsia" w:ascii="宋体" w:hAnsi="宋体" w:eastAsia="宋体" w:cs="宋体"/>
                <w:bCs/>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73" w:type="dxa"/>
            <w:gridSpan w:val="4"/>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cs="宋体"/>
                <w:bCs/>
                <w:color w:val="auto"/>
                <w:sz w:val="21"/>
                <w:szCs w:val="21"/>
                <w:lang w:val="en-US" w:eastAsia="zh-CN"/>
              </w:rPr>
            </w:pPr>
            <w:r>
              <w:rPr>
                <w:rFonts w:hint="eastAsia" w:ascii="宋体" w:hAnsi="宋体" w:eastAsia="宋体" w:cs="宋体"/>
                <w:b/>
                <w:color w:val="auto"/>
                <w:sz w:val="21"/>
                <w:szCs w:val="21"/>
              </w:rPr>
              <w:t>二、矿产资源开发利用情况附图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4</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4-1</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新疆伽师县西克尔镇4号砖瓦用页岩矿露天开采最终境界与总平面图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eastAsia="宋体" w:cs="宋体"/>
                <w:bCs/>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5</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4-2</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西克尔镇4号砖瓦用页岩矿露天开采最终境剖面图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cs="宋体"/>
                <w:bCs/>
                <w:color w:val="auto"/>
                <w:sz w:val="21"/>
                <w:szCs w:val="21"/>
                <w:lang w:val="en-US" w:eastAsia="zh-CN"/>
              </w:rPr>
            </w:pPr>
            <w:r>
              <w:rPr>
                <w:rFonts w:hint="eastAsia" w:ascii="宋体" w:hAnsi="宋体" w:eastAsia="宋体" w:cs="宋体"/>
                <w:bCs/>
                <w:color w:val="auto"/>
                <w:sz w:val="21"/>
                <w:szCs w:val="21"/>
              </w:rPr>
              <w:t>1:</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6</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4-3</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西克尔镇4号砖瓦用页岩矿露天开采最终境界纵剖面图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cs="宋体"/>
                <w:bCs/>
                <w:color w:val="auto"/>
                <w:sz w:val="21"/>
                <w:szCs w:val="21"/>
                <w:lang w:val="en-US" w:eastAsia="zh-CN"/>
              </w:rPr>
            </w:pPr>
            <w:r>
              <w:rPr>
                <w:rFonts w:hint="eastAsia" w:ascii="宋体" w:hAnsi="宋体" w:eastAsia="宋体" w:cs="宋体"/>
                <w:bCs/>
                <w:color w:val="auto"/>
                <w:sz w:val="21"/>
                <w:szCs w:val="21"/>
              </w:rPr>
              <w:t>1:</w:t>
            </w:r>
            <w:r>
              <w:rPr>
                <w:rFonts w:hint="eastAsia" w:ascii="宋体" w:hAnsi="宋体" w:eastAsia="宋体" w:cs="宋体"/>
                <w:bCs/>
                <w:color w:val="auto"/>
                <w:sz w:val="21"/>
                <w:szCs w:val="21"/>
                <w:lang w:val="en-US" w:eastAsia="zh-CN"/>
              </w:rPr>
              <w:t>1</w:t>
            </w:r>
            <w:r>
              <w:rPr>
                <w:rFonts w:hint="eastAsia" w:ascii="宋体" w:hAnsi="宋体" w:eastAsia="宋体" w:cs="宋体"/>
                <w:bCs/>
                <w:color w:val="auto"/>
                <w:sz w:val="21"/>
                <w:szCs w:val="21"/>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7</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4-4</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采矿方法图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73" w:type="dxa"/>
            <w:gridSpan w:val="4"/>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cs="宋体"/>
                <w:b/>
                <w:color w:val="auto"/>
                <w:sz w:val="21"/>
                <w:szCs w:val="21"/>
                <w:lang w:val="en-US" w:eastAsia="zh-CN"/>
              </w:rPr>
              <w:t>三</w:t>
            </w:r>
            <w:r>
              <w:rPr>
                <w:rFonts w:hint="eastAsia" w:ascii="宋体" w:hAnsi="宋体" w:eastAsia="宋体" w:cs="宋体"/>
                <w:b/>
                <w:color w:val="auto"/>
                <w:sz w:val="21"/>
                <w:szCs w:val="21"/>
              </w:rPr>
              <w:t>、矿区生态修复附图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顺序号</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图号</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图名</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8</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5-1</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新疆伽师县西克尔镇4号砖瓦用页岩矿矿山地质环境问题现状图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rPr>
            </w:pPr>
            <w:r>
              <w:rPr>
                <w:rFonts w:hint="eastAsia" w:ascii="宋体" w:hAnsi="宋体" w:cs="宋体"/>
                <w:bCs/>
                <w:color w:val="auto"/>
                <w:sz w:val="21"/>
                <w:szCs w:val="21"/>
                <w:lang w:val="en-US" w:eastAsia="zh-CN"/>
              </w:rPr>
              <w:t>9</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5-2</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新疆伽师县西克尔镇4号砖瓦用页岩矿矿区土地利用现状图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rPr>
            </w:pPr>
            <w:r>
              <w:rPr>
                <w:rFonts w:hint="eastAsia" w:ascii="宋体" w:hAnsi="宋体" w:cs="宋体"/>
                <w:bCs/>
                <w:color w:val="auto"/>
                <w:sz w:val="21"/>
                <w:szCs w:val="21"/>
                <w:lang w:val="en-US" w:eastAsia="zh-CN"/>
              </w:rPr>
              <w:t>10</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5-3</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新疆伽师县西克尔镇4号砖瓦用页岩矿地质环境问题预测图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rPr>
            </w:pPr>
            <w:r>
              <w:rPr>
                <w:rFonts w:hint="eastAsia" w:ascii="宋体" w:hAnsi="宋体" w:cs="宋体"/>
                <w:bCs/>
                <w:color w:val="auto"/>
                <w:sz w:val="21"/>
                <w:szCs w:val="21"/>
                <w:lang w:val="en-US" w:eastAsia="zh-CN"/>
              </w:rPr>
              <w:t>11</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5-4</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新疆伽师县西克尔镇4号砖瓦用页岩矿</w:t>
            </w:r>
            <w:r>
              <w:rPr>
                <w:rFonts w:hint="eastAsia" w:ascii="宋体" w:hAnsi="宋体" w:eastAsia="宋体" w:cs="宋体"/>
                <w:bCs/>
                <w:color w:val="auto"/>
                <w:sz w:val="21"/>
                <w:szCs w:val="21"/>
              </w:rPr>
              <w:t>土地损毁预测图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12</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5-5</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新疆伽师县西克尔镇4号砖瓦用页岩矿</w:t>
            </w:r>
            <w:r>
              <w:rPr>
                <w:rFonts w:hint="eastAsia" w:ascii="宋体" w:hAnsi="宋体" w:eastAsia="宋体" w:cs="宋体"/>
                <w:bCs/>
                <w:color w:val="auto"/>
                <w:sz w:val="21"/>
                <w:szCs w:val="21"/>
              </w:rPr>
              <w:t>土地复垦规划图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76"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cs="宋体"/>
                <w:bCs/>
                <w:color w:val="auto"/>
                <w:sz w:val="21"/>
                <w:szCs w:val="21"/>
                <w:lang w:val="en-US" w:eastAsia="zh-CN"/>
              </w:rPr>
            </w:pPr>
            <w:r>
              <w:rPr>
                <w:rFonts w:hint="eastAsia" w:ascii="宋体" w:hAnsi="宋体" w:cs="宋体"/>
                <w:bCs/>
                <w:color w:val="auto"/>
                <w:sz w:val="21"/>
                <w:szCs w:val="21"/>
                <w:lang w:val="en-US" w:eastAsia="zh-CN"/>
              </w:rPr>
              <w:t>13</w:t>
            </w:r>
          </w:p>
        </w:tc>
        <w:tc>
          <w:tcPr>
            <w:tcW w:w="708"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5-6</w:t>
            </w:r>
          </w:p>
        </w:tc>
        <w:tc>
          <w:tcPr>
            <w:tcW w:w="5714"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left"/>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新疆伽师县西克尔镇4号砖瓦用页岩矿</w:t>
            </w:r>
            <w:r>
              <w:rPr>
                <w:rFonts w:hint="eastAsia" w:ascii="宋体" w:hAnsi="宋体" w:eastAsia="宋体" w:cs="宋体"/>
                <w:bCs/>
                <w:color w:val="auto"/>
                <w:sz w:val="21"/>
                <w:szCs w:val="21"/>
              </w:rPr>
              <w:t>矿山地质环境治理工程部署图</w:t>
            </w:r>
          </w:p>
        </w:tc>
        <w:tc>
          <w:tcPr>
            <w:tcW w:w="1275" w:type="dxa"/>
            <w:tcBorders>
              <w:top w:val="single" w:color="auto" w:sz="4" w:space="0"/>
              <w:left w:val="single" w:color="auto" w:sz="4" w:space="0"/>
              <w:bottom w:val="single" w:color="auto" w:sz="4" w:space="0"/>
              <w:right w:val="single" w:color="auto" w:sz="4" w:space="0"/>
            </w:tcBorders>
            <w:vAlign w:val="center"/>
          </w:tcPr>
          <w:p>
            <w:pPr>
              <w:pageBreakBefore w:val="0"/>
              <w:widowControl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1:2000</w:t>
            </w:r>
          </w:p>
        </w:tc>
      </w:tr>
    </w:tbl>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p>
      <w:pPr>
        <w:spacing w:line="312" w:lineRule="auto"/>
        <w:ind w:left="700"/>
        <w:rPr>
          <w:rFonts w:hint="eastAsia" w:ascii="宋体" w:hAnsi="宋体" w:eastAsia="宋体" w:cs="宋体"/>
          <w:b/>
          <w:color w:val="auto"/>
          <w:sz w:val="24"/>
          <w:szCs w:val="24"/>
        </w:rPr>
      </w:pPr>
    </w:p>
    <w:bookmarkEnd w:id="4"/>
    <w:bookmarkEnd w:id="5"/>
    <w:bookmarkEnd w:id="6"/>
    <w:bookmarkEnd w:id="7"/>
    <w:p>
      <w:pPr>
        <w:keepNext w:val="0"/>
        <w:keepLines w:val="0"/>
        <w:pageBreakBefore w:val="0"/>
        <w:widowControl/>
        <w:kinsoku/>
        <w:wordWrap/>
        <w:overflowPunct/>
        <w:topLinePunct w:val="0"/>
        <w:autoSpaceDE/>
        <w:autoSpaceDN/>
        <w:bidi w:val="0"/>
        <w:adjustRightInd/>
        <w:snapToGrid/>
        <w:spacing w:line="400" w:lineRule="exact"/>
        <w:ind w:left="0" w:leftChars="0" w:right="0" w:rightChars="0" w:firstLine="482" w:firstLineChars="200"/>
        <w:jc w:val="both"/>
        <w:textAlignment w:val="auto"/>
        <w:rPr>
          <w:rFonts w:hint="eastAsia" w:ascii="宋体" w:hAnsi="宋体" w:eastAsia="宋体" w:cs="宋体"/>
          <w:b/>
          <w:color w:val="auto"/>
          <w:sz w:val="24"/>
          <w:szCs w:val="24"/>
          <w:lang w:eastAsia="zh-CN"/>
        </w:rPr>
      </w:pPr>
      <w:bookmarkStart w:id="8" w:name="_Toc25017"/>
      <w:bookmarkStart w:id="9" w:name="_Toc27879"/>
      <w:bookmarkStart w:id="10" w:name="_Toc11614"/>
      <w:bookmarkStart w:id="11" w:name="_Toc31265"/>
      <w:bookmarkStart w:id="12" w:name="_Toc15941"/>
      <w:bookmarkStart w:id="13" w:name="_Toc6032"/>
      <w:r>
        <w:rPr>
          <w:rFonts w:hint="eastAsia" w:ascii="宋体" w:hAnsi="宋体" w:eastAsia="宋体" w:cs="宋体"/>
          <w:b/>
          <w:color w:val="auto"/>
          <w:sz w:val="24"/>
          <w:szCs w:val="24"/>
        </w:rPr>
        <w:t>附件</w:t>
      </w:r>
      <w:bookmarkEnd w:id="8"/>
      <w:bookmarkEnd w:id="9"/>
      <w:bookmarkEnd w:id="10"/>
      <w:bookmarkEnd w:id="11"/>
      <w:r>
        <w:rPr>
          <w:rFonts w:hint="eastAsia" w:ascii="宋体" w:hAnsi="宋体" w:eastAsia="宋体" w:cs="宋体"/>
          <w:b/>
          <w:color w:val="auto"/>
          <w:sz w:val="24"/>
          <w:szCs w:val="24"/>
          <w:lang w:eastAsia="zh-CN"/>
        </w:rPr>
        <w:t>：</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1、委托书</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2、承诺书</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3、土地利用现状及规划证明</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普查</w:t>
      </w:r>
      <w:r>
        <w:rPr>
          <w:rFonts w:hint="eastAsia" w:ascii="宋体" w:hAnsi="宋体" w:eastAsia="宋体" w:cs="宋体"/>
          <w:color w:val="auto"/>
          <w:sz w:val="24"/>
          <w:szCs w:val="24"/>
        </w:rPr>
        <w:t>报告评审意见书</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、矿山地质环境现状调查表</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矿山地质环境保护治理恢复方案报告表</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7、土地复垦方案报告表</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、野外调查卡片集</w:t>
      </w:r>
    </w:p>
    <w:p>
      <w:pPr>
        <w:keepNext w:val="0"/>
        <w:keepLines w:val="0"/>
        <w:pageBreakBefore w:val="0"/>
        <w:widowControl/>
        <w:tabs>
          <w:tab w:val="left" w:pos="1340"/>
        </w:tabs>
        <w:kinsoku/>
        <w:wordWrap/>
        <w:overflowPunct/>
        <w:topLinePunct w:val="0"/>
        <w:autoSpaceDE/>
        <w:autoSpaceDN/>
        <w:bidi w:val="0"/>
        <w:adjustRightInd/>
        <w:snapToGrid/>
        <w:spacing w:line="400" w:lineRule="exact"/>
        <w:ind w:left="0" w:leftChars="0" w:right="0" w:rightChars="0" w:firstLine="480" w:firstLineChars="200"/>
        <w:jc w:val="both"/>
        <w:textAlignment w:val="auto"/>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9、公众参与调查表</w:t>
      </w:r>
    </w:p>
    <w:p>
      <w:pPr>
        <w:pStyle w:val="215"/>
        <w:spacing w:line="360" w:lineRule="auto"/>
        <w:ind w:left="0" w:firstLine="480" w:firstLineChars="200"/>
        <w:rPr>
          <w:rFonts w:hint="eastAsia" w:ascii="宋体" w:hAnsi="宋体" w:eastAsia="宋体" w:cs="宋体"/>
          <w:color w:val="auto"/>
          <w:sz w:val="24"/>
          <w:szCs w:val="24"/>
        </w:rPr>
      </w:pPr>
      <w:r>
        <w:rPr>
          <w:rFonts w:hint="eastAsia" w:ascii="宋体" w:hAnsi="宋体" w:cs="宋体"/>
          <w:color w:val="auto"/>
          <w:sz w:val="24"/>
          <w:szCs w:val="24"/>
          <w:lang w:val="en-US" w:eastAsia="zh-CN"/>
        </w:rPr>
        <w:t>10、照片集</w:t>
      </w:r>
    </w:p>
    <w:p>
      <w:pPr>
        <w:tabs>
          <w:tab w:val="left" w:pos="1340"/>
        </w:tabs>
        <w:spacing w:line="360" w:lineRule="auto"/>
        <w:ind w:left="300" w:firstLine="480" w:firstLineChars="200"/>
        <w:jc w:val="both"/>
        <w:rPr>
          <w:rFonts w:hint="eastAsia" w:ascii="宋体" w:hAnsi="宋体" w:eastAsia="宋体" w:cs="宋体"/>
          <w:color w:val="auto"/>
          <w:sz w:val="24"/>
          <w:szCs w:val="22"/>
          <w:lang w:val="zh-CN"/>
        </w:rPr>
      </w:pPr>
    </w:p>
    <w:bookmarkEnd w:id="12"/>
    <w:bookmarkEnd w:id="13"/>
    <w:p>
      <w:pPr>
        <w:pStyle w:val="2"/>
        <w:spacing w:before="360" w:beforeLines="150" w:after="240" w:afterLines="100" w:afterAutospacing="0" w:line="360" w:lineRule="auto"/>
        <w:rPr>
          <w:rFonts w:hint="eastAsia" w:ascii="宋体" w:hAnsi="宋体" w:eastAsia="宋体" w:cs="宋体"/>
          <w:b/>
          <w:bCs w:val="0"/>
          <w:color w:val="auto"/>
        </w:rPr>
        <w:sectPr>
          <w:footerReference r:id="rId3" w:type="default"/>
          <w:pgSz w:w="11910" w:h="16840"/>
          <w:pgMar w:top="1440" w:right="1800" w:bottom="1440" w:left="1800" w:header="0" w:footer="1117" w:gutter="0"/>
          <w:pgBorders>
            <w:top w:val="none" w:sz="0" w:space="0"/>
            <w:left w:val="none" w:sz="0" w:space="0"/>
            <w:bottom w:val="none" w:sz="0" w:space="0"/>
            <w:right w:val="none" w:sz="0" w:space="0"/>
          </w:pgBorders>
          <w:pgNumType w:start="1"/>
          <w:cols w:space="0" w:num="1"/>
        </w:sectPr>
      </w:pPr>
      <w:bookmarkStart w:id="14" w:name="_Toc16809"/>
      <w:bookmarkStart w:id="15" w:name="_Toc8035"/>
      <w:bookmarkStart w:id="16" w:name="_Toc27563"/>
      <w:bookmarkStart w:id="17" w:name="_Toc22448"/>
    </w:p>
    <w:p>
      <w:pPr>
        <w:pStyle w:val="2"/>
        <w:spacing w:before="360" w:beforeLines="150" w:after="240" w:afterLines="100" w:afterAutospacing="0" w:line="360" w:lineRule="auto"/>
        <w:jc w:val="center"/>
        <w:rPr>
          <w:rFonts w:hint="eastAsia" w:ascii="宋体" w:hAnsi="宋体" w:eastAsia="宋体" w:cs="宋体"/>
          <w:b/>
          <w:bCs w:val="0"/>
          <w:color w:val="auto"/>
        </w:rPr>
      </w:pPr>
      <w:bookmarkStart w:id="18" w:name="_Toc10865"/>
      <w:r>
        <w:rPr>
          <w:rFonts w:hint="eastAsia" w:ascii="宋体" w:hAnsi="宋体" w:eastAsia="宋体" w:cs="宋体"/>
          <w:b/>
          <w:bCs w:val="0"/>
          <w:color w:val="auto"/>
        </w:rPr>
        <w:t>前  言</w:t>
      </w:r>
      <w:bookmarkEnd w:id="14"/>
      <w:bookmarkEnd w:id="15"/>
      <w:bookmarkEnd w:id="16"/>
      <w:bookmarkEnd w:id="17"/>
      <w:bookmarkEnd w:id="18"/>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rPr>
      </w:pPr>
      <w:bookmarkStart w:id="19" w:name="_Toc28759"/>
      <w:bookmarkStart w:id="20" w:name="_Toc4678"/>
      <w:bookmarkStart w:id="21" w:name="_Toc16130"/>
      <w:bookmarkStart w:id="22" w:name="_Toc31"/>
      <w:r>
        <w:rPr>
          <w:rFonts w:hint="eastAsia" w:ascii="宋体" w:hAnsi="宋体" w:eastAsia="宋体" w:cs="宋体"/>
          <w:b/>
          <w:color w:val="auto"/>
          <w:sz w:val="30"/>
          <w:szCs w:val="30"/>
        </w:rPr>
        <w:t>一、编制目的</w:t>
      </w:r>
      <w:bookmarkEnd w:id="19"/>
      <w:bookmarkEnd w:id="20"/>
      <w:bookmarkEnd w:id="21"/>
      <w:bookmarkEnd w:id="22"/>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bookmarkStart w:id="23" w:name="_Toc13076"/>
      <w:bookmarkStart w:id="24" w:name="_Toc2301"/>
      <w:bookmarkStart w:id="25" w:name="_Toc11453"/>
      <w:bookmarkStart w:id="26" w:name="_Toc17608"/>
      <w:bookmarkStart w:id="27" w:name="_Toc25412"/>
      <w:bookmarkStart w:id="28" w:name="_Toc25234"/>
      <w:r>
        <w:rPr>
          <w:rFonts w:hint="eastAsia" w:ascii="宋体" w:hAnsi="宋体" w:eastAsia="宋体" w:cs="宋体"/>
          <w:color w:val="auto"/>
          <w:sz w:val="24"/>
          <w:szCs w:val="24"/>
        </w:rPr>
        <w:t>本矿山为拟设采矿权（拟新建矿山）。根据新疆维吾尔自治区自然资源厅《关于进一步推进和完善矿产资源管理有关工作的通知》（新自然资规〔2021〕3号）、《国土资源部办公厅关于做好矿山地质环境保护与土地复垦方案编报有关工作的通知》（国土资规〔2016〕21号）的要求，矿山在采矿权办理时需编制《矿产资源开发利用与生态保护修复方案》，喀什地区自然资源局为了贯彻落实《矿山地质环境保护规定》、《土地复垦条例》、《土地复垦条例实施办法》等法律法规，按照“预防为主，防治结合、综合治理”、“在保护中开发，在开发中保护”、“科学规划、因地制宜、综合治理、经济可行、本着“安全第一，规模经营，效益良好；最大限度的合理开发、利用资源”的原则、“谁损毁、谁复垦”的原则，编制矿产资源开发利用与生态保护修复方案。编制本方案的目的：一是为新设采矿权出让、采矿权证办理手续提供依据，为合理开发利用矿产资源、设计合理开拓系统及采矿方法，防止安全事故发生；二是矿山企业实施矿山地质环境保护、治理、监测以及土地复垦的技术依据，将矿山地质环境保护与土地复垦目标、任务、措施和计划等落到实处；三是自然资源管理部门监督、检查、督促矿山企业落实矿山地质环境保护与土地复垦责任义务的重要依据；四是使矿山损毁的土地恢复并达到最佳综合效益的状态，努力实现社会经济、生态环境的可持续发展；五是加强国土空间用途管制和生态保护修复管控能力建设，实现国土空间和地质环境的整体保护、系统修复、综合治理，建立生态环境安全机制。本方案生态保护修复部分不能替代相关矿山环境治理工程和土地复垦工程的勘查、设计。</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rPr>
      </w:pPr>
      <w:bookmarkStart w:id="29" w:name="_Toc9679"/>
      <w:r>
        <w:rPr>
          <w:rFonts w:hint="eastAsia" w:ascii="宋体" w:hAnsi="宋体" w:eastAsia="宋体" w:cs="宋体"/>
          <w:b/>
          <w:color w:val="auto"/>
          <w:sz w:val="30"/>
          <w:szCs w:val="30"/>
        </w:rPr>
        <w:t>二、编制依据</w:t>
      </w:r>
      <w:bookmarkEnd w:id="23"/>
      <w:bookmarkEnd w:id="29"/>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本方案编制依据主要有：国家、地方现行的有关法律法规、技术规程规范以及矿山资料等，分述如下：</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（一）法律法规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1.《中华人民共和国安全生产法》（2021年9月1日）；</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2.《中华人民共和国矿山安全法》(2009年8月27日第十一届全国人民代表大会常务委员会第十次会议通过)；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3.《中华人民共和国矿山安全法实施条例》(1996年10月11日国务院批准实施)；</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4.《中华人民共和国矿产资源法》（主席令-第74号，修订后施行时间：2009.8.27）；</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5.《中华人民共和国环境保护法》(主席令-第9号，修订后施行时间：2015.1.1)；</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6.《中华人民共和国消防法》(第十三届全国人民代表大会常务委员会第二十八次会议通过，修订后施行时间：2021.4.29)；</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7.《中华人民共和国劳动法》(主席令-第18号（修订：主席令第24号），修订后施行时间：2018.12.29)；</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8.《中华人民共和国职业病防治法》（2018年12月29日第十三届全国人民代表大会常务委员会第七次会议修正）；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9.《中华人民共和矿产资源法》（2009年8月27日修正）；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10.《中华人民共和国水污染防治法》（206.63年6月27日修正）；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11.《中华人民共和国水土保持法》（2010年12月25日修正）；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12.《中华人民共和国大气污染防治法》（2018年10月26日修正）；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13.《中华人民共和国固体废物污染环境防治法》（2020年9月1日施行）；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14.《矿产资源开采登记管理办法》（国务院令第241号，2014年7月29日修正）；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15.《土地复垦条例》（国务院令第592号）；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16.《矿山地质环境保护规定》（国土资源部令第44号，2019年7月16日修正）；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17.《土地复垦条例实施办法》（国土资源部令第56号，2019年7月16日修正）；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18.《新疆维吾尔自治区地质灾害防治条例》（2020年3月1日施行）；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19.《新疆维吾尔自治区地质环境保护条例》（2021年1月1日施行）；</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20.《新疆维吾尔自治区环境保护条例》（2018年9月21日修正）；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21.《新疆维吾尔自治区矿产资源管理条例》（1997年10月11日修正）；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22.《新疆维吾尔自治区大气污染防治条例》（2019年1月1日施行）。</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（二）政策文件</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1.《国土资源部关于完善矿产资源开采审批登记管理有关事项的通知》（国土资规〔2017〕16号）；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 国土资源部、工业和信息化部、财政部、环境保护部和国家能源局文件《关于加强矿山地质环境恢复和综合治理的指导意见》（国土资发[2016]63 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3.《新疆维吾尔自治区探矿权采矿权管理办法》（新政办发[2017]229号）；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4.自治区国土资源厅《关于做好&lt;矿山地质环境保护与土地复垦方案&gt;编审有关工作的通知》（新国土资规[2018]1号）； </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5.国土资源部办公厅“关于印发土地整治工程营业税改征增值税计价依据调整过度实施方案的通知”（国土资厅发[2017]19号））；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6.《国土资源部财政部、环境保护部国家质量监督检验检疫总局中国银行业监督管理委员会中国证券监督管理委员会关于加快建设绿色矿山的实施意见》（国土资规〔2017〕4号）；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7.《关于取消矿山地质环境治理恢复保证金建立矿山地质环境治理恢复基金的指导意见》（财建〔2017〕638 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8.《矿产资源权益金制度改革方案》（国发〔2017〕29号）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9.《国务院关于全面整顿和规范矿产资源开发秩序的通知》（国发〔2005〕28号）；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10.《国土资源部关于加强地质灾害危险性评估工作的通知》（国土资发〔2004〕69号）；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11.《国土资源部关于贯彻实施〈土地复垦条例〉的通知》（国土资发〔2011〕50号）；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12.《新疆维吾尔自治区土地整治项目管理暂行办法》（新国土资发〔2014〕314号）；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13.《关于印发〈新疆维吾尔自治区矿山地质环境治理恢复基金管理办法〉的通知》（新自然资规〔2022〕1号）</w:t>
      </w:r>
      <w:r>
        <w:rPr>
          <w:rFonts w:hint="eastAsia" w:ascii="宋体" w:hAnsi="宋体" w:cs="宋体"/>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14.</w:t>
      </w:r>
      <w:r>
        <w:rPr>
          <w:rFonts w:hint="eastAsia" w:ascii="宋体" w:hAnsi="宋体" w:eastAsia="宋体" w:cs="宋体"/>
          <w:color w:val="auto"/>
          <w:sz w:val="24"/>
          <w:szCs w:val="24"/>
          <w:vertAlign w:val="baseline"/>
          <w:lang w:val="en-US" w:eastAsia="zh-CN"/>
        </w:rPr>
        <w:t>《自然资源部办公厅关于印发&lt;国土空间调查、规划、用途管制用地用海分类指南的通知》（自然资办〔2023〕234号）。</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（三）技术规范、标准、规程</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1.《金属非金属矿山安全规程》（GB16423-2020）；</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2.《非金属矿行业绿色矿山建设规范》（DZ/T0312-2018）；</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3.《矿产资源开发利用与生态保护修复方案编制指南》（2016年）；</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4.《矿山地质环境保护与恢复治理方案编制规范》（DZ/T0223-2011）；</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5.《土地复垦方案编制规程第1部分：通则》（TD/T1031.1-2011）；</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6.《土地复垦方案编制规程第6部分：建设项目》（TD/T1031.6-2011）；</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7.《矿山地质环境保护与土地复垦方案编制指南》（2016年）；</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8.《地质灾害危险性评估规范》（GB/40112-2021）；</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9.《矿山土地复垦基础信息调查工程》（TD/T1049-2016）；</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10.《县（市）地质灾害调查与区划规范（试行）》（T/CAGHP 017-2018）；</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11.《国土空间调查、规划、用途管制用地用海分类指南》（试行）；</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12.《环境空气质量标准》（GB3095-2012，2018年修订）；</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13.《土壤环境质量农用地土壤污染风险管控标准（试行）》（GB15618-2018）；</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14.《矿区水文地质工程地质勘探规范》（GB/T12719-2021）；</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15.《岩土工程勘察规范》（GB50021-2001，2009年版）；</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16.《建筑边坡工程技术规范》（GB50330-2013）；</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17.《金属非金属矿山排土场安全生产规则》（AQ2005-2005）；</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18.《水土保持综合治理技术规范》（GB/T16453-2008）；</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19.《开发建设项目水土保持方案技术规范》（GB50433-2008）；</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20.《崩塌、滑坡、泥石流监测规范》（DZ/T0221-2006）；</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21.《生产项目土地复垦验收规程》（TD/1044-2014）；</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22.《水土保持监测技术规程》（SL227-2002）；</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23.《地表水和污水监测技术规范》（HJ/T91-2002）；</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24.《土壤环境监测技术规范》（HJ/T166-2004）；</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25.《土地复垦质量控制标准》（TD/T1036-2013）；</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26.《环境空气质量监测规范（试行）》（国家环境保护总局公告2007年第4号）；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27.《环境空气质量手工监测技术规范》（HJ 194-2017）；</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28.《矿山生态环境保护与恢复治理技术规范》（HJ651-2013）；</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29.《矿山生态环境保护与恢复治理方案（规划）编制规范（试行）》（HJ652-2013）；</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30.《财政部 国土资源部关于印发土地开发整理项目预算定额标准的通知》（财综〔2011〕128号）；</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31.《新疆水利水电概（估）预算编制规定》（2005年订稿）；</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cs="宋体"/>
          <w:color w:val="auto"/>
          <w:sz w:val="24"/>
          <w:szCs w:val="24"/>
          <w:lang w:eastAsia="zh-CN"/>
        </w:rPr>
      </w:pPr>
      <w:r>
        <w:rPr>
          <w:rFonts w:hint="eastAsia" w:ascii="宋体" w:hAnsi="宋体" w:eastAsia="宋体" w:cs="宋体"/>
          <w:color w:val="auto"/>
          <w:sz w:val="24"/>
          <w:szCs w:val="24"/>
        </w:rPr>
        <w:t>32.《新疆维吾尔自治区土地整治工程建设标准》（DB65/T3722-2015）</w:t>
      </w:r>
      <w:r>
        <w:rPr>
          <w:rFonts w:hint="eastAsia" w:ascii="宋体" w:hAnsi="宋体" w:cs="宋体"/>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矿山电力设计标准</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（GB50070-2020）</w:t>
      </w:r>
      <w:r>
        <w:rPr>
          <w:rFonts w:hint="eastAsia" w:ascii="宋体" w:hAnsi="宋体" w:eastAsia="宋体" w:cs="宋体"/>
          <w:color w:val="auto"/>
          <w:sz w:val="24"/>
          <w:szCs w:val="24"/>
          <w:highlight w:val="none"/>
        </w:rPr>
        <w:t>。</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（四）其它相关依据</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1.中化地质矿山总局新疆地质调查院202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月完成的《</w:t>
      </w: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rPr>
        <w:t>普查报告》；</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2.委托书；</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3.《&lt;</w:t>
      </w: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rPr>
        <w:t>普查报告〉矿产资源储量评审意见书》</w:t>
      </w:r>
      <w:r>
        <w:rPr>
          <w:rFonts w:hint="eastAsia" w:ascii="宋体" w:hAnsi="宋体" w:eastAsia="宋体" w:cs="宋体"/>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cs="宋体"/>
          <w:color w:val="auto"/>
          <w:sz w:val="24"/>
          <w:szCs w:val="24"/>
          <w:lang w:val="en-US" w:eastAsia="zh-CN"/>
        </w:rPr>
        <w:t>伽师县</w:t>
      </w:r>
      <w:r>
        <w:rPr>
          <w:rFonts w:hint="eastAsia" w:ascii="宋体" w:hAnsi="宋体" w:eastAsia="宋体" w:cs="宋体"/>
          <w:color w:val="auto"/>
          <w:sz w:val="24"/>
          <w:szCs w:val="24"/>
        </w:rPr>
        <w:t>自然资源局出具的有关土地权属和规划证明的函；</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5.本次方案编制野外实地调查资料和收集的其他相关资料。</w:t>
      </w:r>
    </w:p>
    <w:bookmarkEnd w:id="24"/>
    <w:bookmarkEnd w:id="25"/>
    <w:bookmarkEnd w:id="26"/>
    <w:bookmarkEnd w:id="27"/>
    <w:bookmarkEnd w:id="28"/>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rPr>
      </w:pPr>
      <w:bookmarkStart w:id="30" w:name="_Toc8125"/>
      <w:bookmarkStart w:id="31" w:name="_Toc2631"/>
      <w:bookmarkStart w:id="32" w:name="_Toc13020"/>
      <w:bookmarkStart w:id="33" w:name="_Toc2107"/>
      <w:r>
        <w:rPr>
          <w:rFonts w:hint="eastAsia" w:ascii="宋体" w:hAnsi="宋体" w:eastAsia="宋体" w:cs="宋体"/>
          <w:b/>
          <w:color w:val="auto"/>
          <w:sz w:val="30"/>
          <w:szCs w:val="30"/>
        </w:rPr>
        <w:t>三、方案适用年限</w:t>
      </w:r>
      <w:bookmarkEnd w:id="30"/>
      <w:bookmarkEnd w:id="31"/>
      <w:bookmarkEnd w:id="32"/>
      <w:bookmarkEnd w:id="33"/>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bookmarkStart w:id="34" w:name="_Toc20998"/>
      <w:bookmarkStart w:id="35" w:name="_Toc16989"/>
      <w:bookmarkStart w:id="36" w:name="_Toc19446"/>
      <w:r>
        <w:rPr>
          <w:rFonts w:hint="eastAsia" w:ascii="宋体" w:hAnsi="宋体" w:eastAsia="宋体" w:cs="宋体"/>
          <w:color w:val="auto"/>
          <w:sz w:val="24"/>
          <w:szCs w:val="24"/>
          <w:highlight w:val="none"/>
        </w:rPr>
        <w:t>1、矿山服务年限</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根据提供的地质资料，矿区范围内保有</w:t>
      </w:r>
      <w:r>
        <w:rPr>
          <w:rFonts w:hint="eastAsia" w:ascii="宋体" w:hAnsi="宋体" w:eastAsia="宋体" w:cs="宋体"/>
          <w:color w:val="auto"/>
          <w:spacing w:val="-2"/>
          <w:sz w:val="24"/>
          <w:szCs w:val="24"/>
          <w:highlight w:val="none"/>
        </w:rPr>
        <w:t>砖瓦用页岩</w:t>
      </w:r>
      <w:r>
        <w:rPr>
          <w:rFonts w:hint="eastAsia" w:ascii="宋体" w:hAnsi="宋体" w:eastAsia="宋体" w:cs="宋体"/>
          <w:color w:val="auto"/>
          <w:sz w:val="24"/>
          <w:szCs w:val="24"/>
          <w:highlight w:val="none"/>
        </w:rPr>
        <w:t>矿资源量（TD）</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万m³(</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万吨)</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设计利用资源量</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万m³(</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万吨)。设计生产规模为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万m³/a(</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万吨)，设计可采资源量</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万m³(</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万吨)，资源利用率为9</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%。设计采场回采率9</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%，因此矿山服务年限约为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年。</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2、方案基准期</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根据《矿山地质环境保护与土地复垦方案编制指南》中规定“方案基准期按以下原则确定：新建矿山以矿山正式投产之日算起；生产矿山以相关部门批准该方案之日算起”。本矿山为</w:t>
      </w:r>
      <w:r>
        <w:rPr>
          <w:rFonts w:hint="eastAsia" w:ascii="宋体" w:hAnsi="宋体" w:eastAsia="宋体" w:cs="宋体"/>
          <w:color w:val="auto"/>
          <w:sz w:val="24"/>
          <w:szCs w:val="24"/>
          <w:lang w:val="en-US" w:eastAsia="zh-CN"/>
        </w:rPr>
        <w:t>新建</w:t>
      </w:r>
      <w:r>
        <w:rPr>
          <w:rFonts w:hint="eastAsia" w:ascii="宋体" w:hAnsi="宋体" w:eastAsia="宋体" w:cs="宋体"/>
          <w:color w:val="auto"/>
          <w:sz w:val="24"/>
          <w:szCs w:val="24"/>
        </w:rPr>
        <w:t>矿山，本矿山计划202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11</w:t>
      </w:r>
      <w:r>
        <w:rPr>
          <w:rFonts w:hint="eastAsia" w:ascii="宋体" w:hAnsi="宋体" w:eastAsia="宋体" w:cs="宋体"/>
          <w:color w:val="auto"/>
          <w:sz w:val="24"/>
          <w:szCs w:val="24"/>
        </w:rPr>
        <w:t>月开始基建，基建期</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年，因此本方案的基准期暂定为202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月，具体时间以该方案最终批准的时间为准。</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3、方案适用年限</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lang w:val="en-US" w:eastAsia="zh-CN"/>
        </w:rPr>
      </w:pPr>
      <w:bookmarkStart w:id="37" w:name="_Hlk96901003"/>
      <w:r>
        <w:rPr>
          <w:rFonts w:hint="eastAsia" w:ascii="宋体" w:hAnsi="宋体" w:cs="宋体"/>
          <w:color w:val="auto"/>
          <w:sz w:val="24"/>
          <w:szCs w:val="24"/>
          <w:highlight w:val="none"/>
          <w:lang w:val="en-US" w:eastAsia="zh-CN"/>
        </w:rPr>
        <w:t>方案适用年限</w:t>
      </w:r>
      <w:r>
        <w:rPr>
          <w:rFonts w:hint="eastAsia" w:ascii="宋体" w:hAnsi="宋体" w:eastAsia="宋体" w:cs="宋体"/>
          <w:color w:val="auto"/>
          <w:sz w:val="24"/>
          <w:szCs w:val="24"/>
          <w:highlight w:val="none"/>
          <w:lang w:val="en-US" w:eastAsia="zh-CN"/>
        </w:rPr>
        <w:t>包括矿山服务年限及复垦期。</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矿山服务年限</w:t>
      </w:r>
      <w:r>
        <w:rPr>
          <w:rFonts w:hint="eastAsia" w:ascii="宋体" w:hAnsi="宋体" w:cs="宋体"/>
          <w:color w:val="auto"/>
          <w:sz w:val="24"/>
          <w:szCs w:val="24"/>
          <w:highlight w:val="none"/>
          <w:lang w:val="en-US" w:eastAsia="zh-CN"/>
        </w:rPr>
        <w:t>27.2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个月，</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月-20</w:t>
      </w:r>
      <w:r>
        <w:rPr>
          <w:rFonts w:hint="eastAsia" w:ascii="宋体" w:hAnsi="宋体" w:cs="宋体"/>
          <w:color w:val="auto"/>
          <w:sz w:val="24"/>
          <w:szCs w:val="24"/>
          <w:highlight w:val="none"/>
          <w:lang w:val="en-US" w:eastAsia="zh-CN"/>
        </w:rPr>
        <w:t>52</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），矿山闭坑后设</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年的复垦期。矿山从20</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月开采至土地复垦期结束，共经历以下时间段，即：</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月-20</w:t>
      </w:r>
      <w:r>
        <w:rPr>
          <w:rFonts w:hint="eastAsia" w:ascii="宋体" w:hAnsi="宋体" w:cs="宋体"/>
          <w:color w:val="auto"/>
          <w:sz w:val="24"/>
          <w:szCs w:val="24"/>
          <w:highlight w:val="none"/>
          <w:lang w:val="en-US" w:eastAsia="zh-CN"/>
        </w:rPr>
        <w:t>52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月，共</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个月，矿山边开采、边环境治理、边土地复垦。</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cs="宋体"/>
          <w:color w:val="auto"/>
          <w:sz w:val="24"/>
          <w:szCs w:val="24"/>
          <w:highlight w:val="none"/>
          <w:lang w:val="en-US" w:eastAsia="zh-CN"/>
        </w:rPr>
        <w:t>52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月-20</w:t>
      </w:r>
      <w:r>
        <w:rPr>
          <w:rFonts w:hint="eastAsia" w:ascii="宋体" w:hAnsi="宋体" w:cs="宋体"/>
          <w:color w:val="auto"/>
          <w:sz w:val="24"/>
          <w:szCs w:val="24"/>
          <w:highlight w:val="none"/>
          <w:lang w:val="en-US" w:eastAsia="zh-CN"/>
        </w:rPr>
        <w:t>52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月，共</w:t>
      </w:r>
      <w:r>
        <w:rPr>
          <w:rFonts w:hint="eastAsia" w:ascii="宋体" w:hAnsi="宋体" w:cs="宋体"/>
          <w:color w:val="auto"/>
          <w:sz w:val="24"/>
          <w:szCs w:val="24"/>
          <w:highlight w:val="none"/>
          <w:lang w:val="en-US" w:eastAsia="zh-CN"/>
        </w:rPr>
        <w:t>0.5</w:t>
      </w:r>
      <w:r>
        <w:rPr>
          <w:rFonts w:hint="eastAsia" w:ascii="宋体" w:hAnsi="宋体" w:eastAsia="宋体" w:cs="宋体"/>
          <w:color w:val="auto"/>
          <w:sz w:val="24"/>
          <w:szCs w:val="24"/>
          <w:highlight w:val="none"/>
          <w:lang w:val="en-US" w:eastAsia="zh-CN"/>
        </w:rPr>
        <w:t>年，为矿山复垦期。</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矿山地质环境保护与土地复垦工程从202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月开始到土地复垦期结束共用约</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个月（202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月-20</w:t>
      </w:r>
      <w:r>
        <w:rPr>
          <w:rFonts w:hint="eastAsia" w:ascii="宋体" w:hAnsi="宋体" w:cs="宋体"/>
          <w:color w:val="auto"/>
          <w:sz w:val="24"/>
          <w:szCs w:val="24"/>
          <w:highlight w:val="none"/>
          <w:lang w:val="en-US" w:eastAsia="zh-CN"/>
        </w:rPr>
        <w:t>52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新疆维吾尔自治区国土资源厅关于做好矿山地质环境保护与土地复垦方案编审有关工作的通知》（新国土资规[2018]1号）文，对于矿山服务年限或开采计划大于5年的矿山，每5年对《方案》进行修编，每10年对《方案》进行重新编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因矿山生产服务年限</w:t>
      </w:r>
      <w:r>
        <w:rPr>
          <w:rFonts w:hint="eastAsia" w:ascii="宋体" w:hAnsi="宋体" w:cs="宋体"/>
          <w:color w:val="auto"/>
          <w:sz w:val="24"/>
          <w:szCs w:val="24"/>
          <w:highlight w:val="none"/>
          <w:lang w:val="en-US" w:eastAsia="zh-CN"/>
        </w:rPr>
        <w:t>27.2</w:t>
      </w:r>
      <w:r>
        <w:rPr>
          <w:rFonts w:hint="eastAsia" w:ascii="宋体" w:hAnsi="宋体" w:eastAsia="宋体" w:cs="宋体"/>
          <w:color w:val="auto"/>
          <w:sz w:val="24"/>
          <w:szCs w:val="24"/>
          <w:highlight w:val="none"/>
          <w:lang w:val="en-US" w:eastAsia="zh-CN"/>
        </w:rPr>
        <w:t>年，后续为复垦期工作时间，故矿山地质环境保护与土地复垦年限</w:t>
      </w:r>
      <w:r>
        <w:rPr>
          <w:rFonts w:hint="eastAsia" w:ascii="宋体" w:hAnsi="宋体" w:cs="宋体"/>
          <w:color w:val="auto"/>
          <w:sz w:val="24"/>
          <w:szCs w:val="24"/>
          <w:highlight w:val="none"/>
          <w:lang w:val="en-US" w:eastAsia="zh-CN"/>
        </w:rPr>
        <w:t>27.2</w:t>
      </w:r>
      <w:r>
        <w:rPr>
          <w:rFonts w:hint="eastAsia" w:ascii="宋体" w:hAnsi="宋体" w:eastAsia="宋体" w:cs="宋体"/>
          <w:color w:val="auto"/>
          <w:sz w:val="24"/>
          <w:szCs w:val="24"/>
          <w:highlight w:val="none"/>
          <w:lang w:val="en-US" w:eastAsia="zh-CN"/>
        </w:rPr>
        <w:t>年，适用年限为10年，即202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年-203</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年，20</w:t>
      </w:r>
      <w:r>
        <w:rPr>
          <w:rFonts w:hint="eastAsia" w:ascii="宋体"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年需要对本《方案》进行修编，203</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lang w:val="en-US" w:eastAsia="zh-CN"/>
        </w:rPr>
        <w:t>年需要对本《方案》进行重编。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另外，在矿山生产过程中，若采矿权有所变动、矿山扩大开采规模、变更开采范围或改变开采方式，应按照矿山资源储量核实报告等</w:t>
      </w:r>
      <w:r>
        <w:rPr>
          <w:rFonts w:hint="eastAsia" w:ascii="宋体" w:hAnsi="宋体" w:cs="宋体"/>
          <w:color w:val="auto"/>
          <w:sz w:val="24"/>
          <w:szCs w:val="24"/>
          <w:highlight w:val="none"/>
          <w:lang w:val="en-US" w:eastAsia="zh-CN"/>
        </w:rPr>
        <w:t>资料</w:t>
      </w:r>
      <w:r>
        <w:rPr>
          <w:rFonts w:hint="eastAsia" w:ascii="宋体" w:hAnsi="宋体" w:eastAsia="宋体" w:cs="宋体"/>
          <w:color w:val="auto"/>
          <w:sz w:val="24"/>
          <w:szCs w:val="24"/>
          <w:highlight w:val="none"/>
          <w:lang w:val="en-US" w:eastAsia="zh-CN"/>
        </w:rPr>
        <w:t>重新编制矿产资源开发利用与生态保护修复方案。</w:t>
      </w:r>
    </w:p>
    <w:bookmarkEnd w:id="37"/>
    <w:p>
      <w:pPr>
        <w:pStyle w:val="460"/>
        <w:spacing w:line="240" w:lineRule="auto"/>
        <w:ind w:firstLine="0" w:firstLineChars="0"/>
        <w:rPr>
          <w:rFonts w:hint="eastAsia" w:ascii="宋体" w:hAnsi="宋体" w:eastAsia="宋体" w:cs="宋体"/>
          <w:color w:val="auto"/>
          <w:sz w:val="22"/>
          <w:szCs w:val="21"/>
          <w:highlight w:val="none"/>
        </w:rPr>
      </w:pPr>
      <w:bookmarkStart w:id="38" w:name="_Hlk96854523"/>
      <w:r>
        <w:rPr>
          <w:rFonts w:hint="eastAsia" w:ascii="宋体" w:hAnsi="宋体" w:eastAsia="宋体" w:cs="宋体"/>
          <w:color w:val="auto"/>
          <w:sz w:val="22"/>
          <w:szCs w:val="21"/>
          <w:highlight w:val="none"/>
        </w:rPr>
        <w:t>表0-1  矿山地质环境保护与土地复垦方案服务年限组成表</w:t>
      </w:r>
    </w:p>
    <w:tbl>
      <w:tblPr>
        <w:tblStyle w:val="53"/>
        <w:tblW w:w="77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3700"/>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75" w:type="dxa"/>
            <w:vAlign w:val="center"/>
          </w:tcPr>
          <w:p>
            <w:pPr>
              <w:pStyle w:val="477"/>
              <w:spacing w:line="240" w:lineRule="exact"/>
              <w:rPr>
                <w:rFonts w:hint="eastAsia" w:ascii="宋体" w:hAnsi="宋体" w:eastAsia="宋体" w:cs="宋体"/>
                <w:b/>
                <w:bCs/>
                <w:color w:val="auto"/>
                <w:szCs w:val="21"/>
              </w:rPr>
            </w:pPr>
            <w:bookmarkStart w:id="39" w:name="_Hlk81215040"/>
            <w:r>
              <w:rPr>
                <w:rFonts w:hint="eastAsia" w:ascii="宋体" w:hAnsi="宋体" w:eastAsia="宋体" w:cs="宋体"/>
                <w:b/>
                <w:bCs/>
                <w:color w:val="auto"/>
                <w:szCs w:val="21"/>
              </w:rPr>
              <w:t>序号</w:t>
            </w:r>
          </w:p>
        </w:tc>
        <w:tc>
          <w:tcPr>
            <w:tcW w:w="3700" w:type="dxa"/>
            <w:vAlign w:val="center"/>
          </w:tcPr>
          <w:p>
            <w:pPr>
              <w:pStyle w:val="477"/>
              <w:spacing w:line="240" w:lineRule="exact"/>
              <w:rPr>
                <w:rFonts w:hint="eastAsia" w:ascii="宋体" w:hAnsi="宋体" w:eastAsia="宋体" w:cs="宋体"/>
                <w:b/>
                <w:bCs/>
                <w:color w:val="auto"/>
                <w:szCs w:val="21"/>
              </w:rPr>
            </w:pPr>
            <w:r>
              <w:rPr>
                <w:rFonts w:hint="eastAsia" w:ascii="宋体" w:hAnsi="宋体" w:eastAsia="宋体" w:cs="宋体"/>
                <w:b/>
                <w:bCs/>
                <w:color w:val="auto"/>
                <w:szCs w:val="21"/>
              </w:rPr>
              <w:t>项目</w:t>
            </w:r>
          </w:p>
        </w:tc>
        <w:tc>
          <w:tcPr>
            <w:tcW w:w="2915" w:type="dxa"/>
            <w:vAlign w:val="center"/>
          </w:tcPr>
          <w:p>
            <w:pPr>
              <w:pStyle w:val="477"/>
              <w:spacing w:line="240" w:lineRule="exact"/>
              <w:rPr>
                <w:rFonts w:hint="eastAsia" w:ascii="宋体" w:hAnsi="宋体" w:eastAsia="宋体" w:cs="宋体"/>
                <w:b/>
                <w:bCs/>
                <w:color w:val="auto"/>
                <w:szCs w:val="21"/>
              </w:rPr>
            </w:pPr>
            <w:r>
              <w:rPr>
                <w:rFonts w:hint="eastAsia" w:ascii="宋体" w:hAnsi="宋体" w:eastAsia="宋体" w:cs="宋体"/>
                <w:b/>
                <w:bCs/>
                <w:color w:val="auto"/>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75"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1</w:t>
            </w:r>
          </w:p>
        </w:tc>
        <w:tc>
          <w:tcPr>
            <w:tcW w:w="3700"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基建期</w:t>
            </w:r>
          </w:p>
        </w:tc>
        <w:tc>
          <w:tcPr>
            <w:tcW w:w="2915"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0.5年（6个月）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75"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2</w:t>
            </w:r>
          </w:p>
        </w:tc>
        <w:tc>
          <w:tcPr>
            <w:tcW w:w="3700"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矿山服务年限</w:t>
            </w:r>
          </w:p>
        </w:tc>
        <w:tc>
          <w:tcPr>
            <w:tcW w:w="2915"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lang w:val="en-US" w:eastAsia="zh-CN"/>
              </w:rPr>
              <w:t>27.2年</w:t>
            </w:r>
            <w:r>
              <w:rPr>
                <w:rFonts w:hint="eastAsia" w:ascii="宋体" w:hAnsi="宋体" w:eastAsia="宋体" w:cs="宋体"/>
                <w:color w:val="auto"/>
                <w:szCs w:val="21"/>
              </w:rPr>
              <w:t>（</w:t>
            </w:r>
            <w:r>
              <w:rPr>
                <w:rFonts w:hint="eastAsia" w:cs="宋体"/>
                <w:color w:val="auto"/>
                <w:szCs w:val="21"/>
                <w:lang w:val="en-US" w:eastAsia="zh-CN"/>
              </w:rPr>
              <w:t>27年2</w:t>
            </w:r>
            <w:r>
              <w:rPr>
                <w:rFonts w:hint="eastAsia" w:ascii="宋体" w:hAnsi="宋体" w:eastAsia="宋体" w:cs="宋体"/>
                <w:color w:val="auto"/>
                <w:szCs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75"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3</w:t>
            </w:r>
          </w:p>
        </w:tc>
        <w:tc>
          <w:tcPr>
            <w:tcW w:w="3700"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地质环境治理和土地复垦</w:t>
            </w:r>
          </w:p>
        </w:tc>
        <w:tc>
          <w:tcPr>
            <w:tcW w:w="2915" w:type="dxa"/>
            <w:vAlign w:val="center"/>
          </w:tcPr>
          <w:p>
            <w:pPr>
              <w:pStyle w:val="477"/>
              <w:spacing w:line="240" w:lineRule="exact"/>
              <w:rPr>
                <w:rFonts w:hint="eastAsia" w:ascii="宋体" w:hAnsi="宋体" w:eastAsia="宋体" w:cs="宋体"/>
                <w:color w:val="auto"/>
                <w:szCs w:val="21"/>
              </w:rPr>
            </w:pPr>
            <w:r>
              <w:rPr>
                <w:rFonts w:hint="eastAsia" w:ascii="宋体" w:hAnsi="宋体" w:eastAsia="宋体" w:cs="宋体"/>
                <w:color w:val="auto"/>
                <w:szCs w:val="21"/>
              </w:rPr>
              <w:t>0.5年（6个月）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4875" w:type="dxa"/>
            <w:gridSpan w:val="2"/>
            <w:vAlign w:val="center"/>
          </w:tcPr>
          <w:p>
            <w:pPr>
              <w:pStyle w:val="477"/>
              <w:spacing w:line="240" w:lineRule="exact"/>
              <w:rPr>
                <w:rFonts w:hint="eastAsia" w:ascii="宋体" w:hAnsi="宋体" w:eastAsia="宋体" w:cs="宋体"/>
                <w:bCs/>
                <w:color w:val="auto"/>
                <w:szCs w:val="21"/>
              </w:rPr>
            </w:pPr>
            <w:r>
              <w:rPr>
                <w:rFonts w:hint="eastAsia" w:ascii="宋体" w:hAnsi="宋体" w:eastAsia="宋体" w:cs="宋体"/>
                <w:bCs/>
                <w:color w:val="auto"/>
                <w:szCs w:val="21"/>
              </w:rPr>
              <w:t>合计</w:t>
            </w:r>
          </w:p>
        </w:tc>
        <w:tc>
          <w:tcPr>
            <w:tcW w:w="2915" w:type="dxa"/>
            <w:vAlign w:val="center"/>
          </w:tcPr>
          <w:p>
            <w:pPr>
              <w:pStyle w:val="477"/>
              <w:spacing w:line="240" w:lineRule="exact"/>
              <w:rPr>
                <w:rFonts w:hint="eastAsia" w:ascii="宋体" w:hAnsi="宋体" w:eastAsia="宋体" w:cs="宋体"/>
                <w:bCs/>
                <w:color w:val="auto"/>
                <w:szCs w:val="21"/>
              </w:rPr>
            </w:pPr>
            <w:r>
              <w:rPr>
                <w:rFonts w:hint="eastAsia" w:cs="宋体"/>
                <w:bCs/>
                <w:color w:val="auto"/>
                <w:szCs w:val="21"/>
                <w:lang w:val="en-US" w:eastAsia="zh-CN"/>
              </w:rPr>
              <w:t>28.2</w:t>
            </w:r>
            <w:r>
              <w:rPr>
                <w:rFonts w:hint="eastAsia" w:ascii="宋体" w:hAnsi="宋体" w:eastAsia="宋体" w:cs="宋体"/>
                <w:bCs/>
                <w:color w:val="auto"/>
                <w:szCs w:val="21"/>
              </w:rPr>
              <w:t>年</w:t>
            </w:r>
          </w:p>
        </w:tc>
      </w:tr>
      <w:bookmarkEnd w:id="38"/>
      <w:bookmarkEnd w:id="39"/>
    </w:tbl>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rPr>
      </w:pPr>
      <w:bookmarkStart w:id="40" w:name="_Toc31372"/>
      <w:r>
        <w:rPr>
          <w:rFonts w:hint="eastAsia" w:ascii="宋体" w:hAnsi="宋体" w:eastAsia="宋体" w:cs="宋体"/>
          <w:b/>
          <w:color w:val="auto"/>
          <w:sz w:val="30"/>
          <w:szCs w:val="30"/>
        </w:rPr>
        <w:t>四、编制工作概况</w:t>
      </w:r>
      <w:bookmarkEnd w:id="34"/>
      <w:bookmarkEnd w:id="35"/>
      <w:bookmarkEnd w:id="36"/>
      <w:bookmarkEnd w:id="40"/>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（一）工作程序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方案的编制按照《原国土资源部办公厅关于加强对矿产资源开发利用方案审查的通知》(国土资发〔1999〕98号)、《原国土资源部办公厅关于做好矿山地质环境保护与土地复垦方案编报有关工作的通知》（国土资规〔2016〕21号）进行。工作程序是：接受业主委托，在收集和利用已有资料的基础上，结合现场调查建设工程区的地质环境条件、社会环境条件、现状地质灾害的类型、分布规模、稳定程度、活动特点等因素，综合分析，对矿山的地质环境影响进行现状评估和预测评估，确定复垦区，作出土地复垦适宜性评价，进行地质环境保护与恢复治理分区以及土地复垦，提出地质环境防治和土地复垦工程，以及所需经费估（概）算和进度安排，并提出地质环境保护与恢复治理措施、建议。方案编制的工作程序框图见图0-1。</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（二）工作方法</w:t>
      </w:r>
    </w:p>
    <w:p>
      <w:pPr>
        <w:pStyle w:val="21"/>
        <w:rPr>
          <w:rFonts w:hint="eastAsia"/>
          <w:color w:val="auto"/>
        </w:rPr>
      </w:pPr>
      <w:r>
        <w:rPr>
          <w:rFonts w:hint="eastAsia" w:ascii="宋体" w:hAnsi="宋体" w:eastAsia="宋体" w:cs="宋体"/>
          <w:color w:val="auto"/>
          <w:sz w:val="24"/>
          <w:szCs w:val="24"/>
        </w:rPr>
        <w:t>本《方案》主要以《原国土资源部办公厅关于加强对矿产资源开发利用方案审查的通知》(国土资发〔1999〕98号)、《原国土资源部办公厅关于做好矿山地质环境保护与土地复垦方案编报有关工作的通知》（国土资规〔2016〕21号）为依据，结合本矿山的实际情况进行编制，主要采用的技术方法为资料收集、野外调查和综合研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color w:val="auto"/>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p>
    <w:p>
      <w:pPr>
        <w:spacing w:line="240" w:lineRule="auto"/>
        <w:ind w:firstLine="0" w:firstLineChars="0"/>
        <w:jc w:val="center"/>
        <w:rPr>
          <w:color w:val="auto"/>
          <w:szCs w:val="28"/>
        </w:rPr>
      </w:pPr>
      <w:r>
        <w:rPr>
          <w:b/>
          <w:bCs/>
          <w:color w:val="auto"/>
          <w:sz w:val="21"/>
          <w:szCs w:val="21"/>
        </w:rPr>
        <w:t>图0-1  工作程序框图</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1、资料收集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项目组成立后，于202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年9月10日～202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9月15日收集了相关资料，初步掌握了矿山的地质环境条件、矿山概况、矿产资源开发利用情况。收集该区内气象、水文、水资源、土地利用现状与权属、土地利用总体规划、项目基本情况及社会经济概况，确定需要补充的资料，初步确定野外主要调查内容、调查方法和调查路线。主要收集到的技术资料有：《新疆伽师县西克尔镇4号砖瓦用页岩矿普查报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bookmarkStart w:id="41" w:name="_Hlk44407618"/>
      <w:r>
        <w:rPr>
          <w:rFonts w:hint="eastAsia" w:ascii="宋体" w:hAnsi="宋体" w:eastAsia="宋体" w:cs="宋体"/>
          <w:color w:val="auto"/>
          <w:sz w:val="24"/>
          <w:szCs w:val="24"/>
        </w:rPr>
        <w:t>野外调查</w:t>
      </w:r>
      <w:bookmarkEnd w:id="41"/>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年9月1</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日～202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9月20日完成了野外调查工作，在野外地质灾害调查过程中，积极访问当地政府工作人员以及矿山工作人员，调查矿山生产现状、主要地质环境问题及土地的损毁类型与程度、土壤、水文、水资源、土地利用、土地损毁等情况，采用数码相机拍照摄像，并做文字记录，调整室内初步设计的野外调查线路，进一步优化野外调查工作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调查范围囊括主要地质灾害点以及调查的准确性，野外调查采用1:2000地形图为底图，同时参考土地利用现状图、地貌类型图、植被覆盖度图等图件，调查的原则是“遇沟必看，现场观测”，对地质环境问题点和主要地质现象点进行观测描述，调查其发生时间，基本特征，危害程度，并对主要地质环境问题点进行数码照相和GPS定位。地形地貌景观影响调查通过收集遥感影像图、高程等值线图、地形地貌分区图等，对地形地貌景观、地质遗迹、人文景观进行调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损毁土地调查通过前期收集矿山土地利用现状图以及矿山遥感影像图，通过现场调查，对各场已损毁和可能引发的损毁范围、损毁程度、损毁时间进行调查并确定周边地类。以确保复垦工程措施的可行，以及复垦方向符合当地政策要求。野外调查配备设备仪器见表0-</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（三）编制单位情况</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中化地质矿山总局新疆地质调查院，注册于新疆乌鲁木齐市水磨沟区工商行政管理局。公司现有员工25人，其中注册环境影响评价工程师2名，地质矿产勘查高级工程师10名，地质矿产勘查工程师9人，公司主要从事金属、化工及非金属矿地质矿产勘查、水工环地质勘查、矿山地质环境恢复治理、土地复垦；地质灾害危险性评估、勘查、压覆矿产评估；环境影响评价、环境事件应急预案、环保竣工验收；矿产开发与矿产技术咨询。</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我单位一直非常重视矿山地质环境问题，经常组织技术人员参加该行业的各类培训，并取得相关合格证书，从而提高了业务水平。本单位近年承担的金属、化工及非金属矿开发利用方案、矿山地质环境保护与土地复垦方案等项目如下：《疏附县阿勒玛勒镇阿克其砖瓦用粘土矿矿产资源开发利用方案》、《疏附县万滕建材有限公司疏附县阿勒玛勒镇阿克其砖瓦用粘土矿矿山地质环境保护与土地复垦方案》、《疏附县卓硕商贸有限公司疏附县坎苏镇哈拉公盖建筑用砂石料矿矿山地质环境保护与土地复垦方案》、《疏附县云杰商贸有限公司疏附县哈拉布拉镇阿克莫依那克建筑用砂石料矿矿山地质环境保护与土地复垦方案》、《疏附县阿热勒托别镇吾热克特阿热勒建筑用砂石料矿矿产资源开发利用方案》、《疏附县新淮建材有限公司疏附县阿热勒托别镇吾热克特阿热勒建筑用砂石料矿矿山地质环境保护与土地复垦方案》。</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（四）项目编制人员</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项目组由</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人组成，共投入高级工程师1人，工程师2人，技术员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人，编制人员均参与了新疆自然资源厅和自治区新疆地质环境监测院主办的“矿产开发”及“矿山地质环境保护与治理恢复方案和土地复垦合并编制”培训课程。主要投入人员见表0-</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；主要设备仪器一览表见表0-</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质量管理按照我单位贯彻制定的质量管理体系执行。实行项目负责制，项目严格执行国家、地方、行业的相关技术法规、规定、规程。项目组设专（兼）职质检员，设计执行前制定自检、互检、专检计划，明确自检、互检、专检次数、时间、内容、方法、手段，保证单位质检部门监督到位，出现质量问题的处理方法；项目组内部人员自检、互检率100％，项目负责抽检率80％以上。组长现场对野外资料进行检查、校正，对发现的问题和存在的不足进行现场整改。项目负责对资料和卡片进行抽检并对存在的质量问题提出整改建议；项目组及时分析野外资料，对野外成果进行总结分析，为后续工作提供依据。调查点必须做到“一点一卡”，按照卡片要求内容逐一填写，不得遗漏。在野外工作中，使用照相、摄像等图像资料记录工作过程，提高工作精度，缩短工作周期，保证工作保质保量按时完成。</w:t>
      </w:r>
    </w:p>
    <w:p>
      <w:pPr>
        <w:spacing w:line="240" w:lineRule="auto"/>
        <w:ind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表0-</w:t>
      </w:r>
      <w:r>
        <w:rPr>
          <w:rFonts w:hint="eastAsia" w:ascii="宋体" w:hAnsi="宋体" w:cs="宋体"/>
          <w:b/>
          <w:color w:val="auto"/>
          <w:sz w:val="21"/>
          <w:szCs w:val="21"/>
          <w:lang w:val="en-US" w:eastAsia="zh-CN"/>
        </w:rPr>
        <w:t>2</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项目组主要人员及分工</w:t>
      </w:r>
    </w:p>
    <w:tbl>
      <w:tblPr>
        <w:tblStyle w:val="53"/>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848"/>
        <w:gridCol w:w="1283"/>
        <w:gridCol w:w="3358"/>
        <w:gridCol w:w="2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924"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项目分工</w:t>
            </w:r>
          </w:p>
        </w:tc>
        <w:tc>
          <w:tcPr>
            <w:tcW w:w="84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姓名</w:t>
            </w:r>
          </w:p>
        </w:tc>
        <w:tc>
          <w:tcPr>
            <w:tcW w:w="1283"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职称</w:t>
            </w:r>
          </w:p>
        </w:tc>
        <w:tc>
          <w:tcPr>
            <w:tcW w:w="335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主要职责</w:t>
            </w:r>
          </w:p>
        </w:tc>
        <w:tc>
          <w:tcPr>
            <w:tcW w:w="2261"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编制章节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24"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1</w:t>
            </w:r>
          </w:p>
        </w:tc>
        <w:tc>
          <w:tcPr>
            <w:tcW w:w="84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bCs/>
                <w:color w:val="auto"/>
                <w:kern w:val="0"/>
                <w:sz w:val="21"/>
                <w:szCs w:val="21"/>
              </w:rPr>
              <w:t>王</w:t>
            </w:r>
            <w:r>
              <w:rPr>
                <w:rFonts w:hint="eastAsia" w:ascii="宋体" w:hAnsi="宋体" w:eastAsia="宋体" w:cs="宋体"/>
                <w:bCs/>
                <w:color w:val="auto"/>
                <w:kern w:val="0"/>
                <w:sz w:val="21"/>
                <w:szCs w:val="21"/>
                <w:lang w:val="en-US" w:eastAsia="zh-CN"/>
              </w:rPr>
              <w:t xml:space="preserve">  </w:t>
            </w:r>
            <w:r>
              <w:rPr>
                <w:rFonts w:hint="eastAsia" w:ascii="宋体" w:hAnsi="宋体" w:eastAsia="宋体" w:cs="宋体"/>
                <w:bCs/>
                <w:color w:val="auto"/>
                <w:kern w:val="0"/>
                <w:sz w:val="21"/>
                <w:szCs w:val="21"/>
              </w:rPr>
              <w:t>军</w:t>
            </w:r>
          </w:p>
        </w:tc>
        <w:tc>
          <w:tcPr>
            <w:tcW w:w="1283"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高级工程师</w:t>
            </w:r>
          </w:p>
        </w:tc>
        <w:tc>
          <w:tcPr>
            <w:tcW w:w="335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项目负责，主要编写人，负责方案编写及图件编制、外业调查、组织协调</w:t>
            </w:r>
          </w:p>
        </w:tc>
        <w:tc>
          <w:tcPr>
            <w:tcW w:w="2261"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前言、第一章至第七章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924"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2</w:t>
            </w:r>
          </w:p>
        </w:tc>
        <w:tc>
          <w:tcPr>
            <w:tcW w:w="84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王进宝</w:t>
            </w:r>
          </w:p>
        </w:tc>
        <w:tc>
          <w:tcPr>
            <w:tcW w:w="1283"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工程师</w:t>
            </w:r>
          </w:p>
        </w:tc>
        <w:tc>
          <w:tcPr>
            <w:tcW w:w="335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负责方案编写及图件编制、外业调查、组织协调</w:t>
            </w:r>
          </w:p>
        </w:tc>
        <w:tc>
          <w:tcPr>
            <w:tcW w:w="2261"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第一章、第二章、第六章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924"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3</w:t>
            </w:r>
          </w:p>
        </w:tc>
        <w:tc>
          <w:tcPr>
            <w:tcW w:w="84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王家林</w:t>
            </w:r>
          </w:p>
        </w:tc>
        <w:tc>
          <w:tcPr>
            <w:tcW w:w="1283"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工程师</w:t>
            </w:r>
          </w:p>
        </w:tc>
        <w:tc>
          <w:tcPr>
            <w:tcW w:w="335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参与方案水文地质、工程地质、矿山地质及预算编写</w:t>
            </w:r>
          </w:p>
        </w:tc>
        <w:tc>
          <w:tcPr>
            <w:tcW w:w="2261"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第三章、第五章、第七章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924"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4</w:t>
            </w:r>
          </w:p>
        </w:tc>
        <w:tc>
          <w:tcPr>
            <w:tcW w:w="84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Cs/>
                <w:color w:val="auto"/>
                <w:kern w:val="0"/>
                <w:sz w:val="21"/>
                <w:szCs w:val="21"/>
              </w:rPr>
            </w:pPr>
            <w:r>
              <w:rPr>
                <w:rFonts w:hint="eastAsia" w:ascii="宋体" w:hAnsi="宋体" w:eastAsia="宋体" w:cs="宋体"/>
                <w:bCs/>
                <w:color w:val="auto"/>
                <w:kern w:val="0"/>
                <w:sz w:val="21"/>
                <w:szCs w:val="21"/>
              </w:rPr>
              <w:t>乔呈祥</w:t>
            </w:r>
          </w:p>
        </w:tc>
        <w:tc>
          <w:tcPr>
            <w:tcW w:w="1283"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技术员</w:t>
            </w:r>
          </w:p>
        </w:tc>
        <w:tc>
          <w:tcPr>
            <w:tcW w:w="335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辅助负责图件编制</w:t>
            </w:r>
          </w:p>
        </w:tc>
        <w:tc>
          <w:tcPr>
            <w:tcW w:w="2261"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第四章以及图件编制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924"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w:t>
            </w:r>
          </w:p>
        </w:tc>
        <w:tc>
          <w:tcPr>
            <w:tcW w:w="84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刘  芳</w:t>
            </w:r>
          </w:p>
        </w:tc>
        <w:tc>
          <w:tcPr>
            <w:tcW w:w="1283"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技术员</w:t>
            </w:r>
          </w:p>
        </w:tc>
        <w:tc>
          <w:tcPr>
            <w:tcW w:w="3358" w:type="dxa"/>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图件编制</w:t>
            </w:r>
          </w:p>
        </w:tc>
        <w:tc>
          <w:tcPr>
            <w:tcW w:w="2261" w:type="dxa"/>
            <w:shd w:val="clear" w:color="auto" w:fill="auto"/>
            <w:noWrap/>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图件编制</w:t>
            </w:r>
          </w:p>
        </w:tc>
      </w:tr>
    </w:tbl>
    <w:p>
      <w:pPr>
        <w:spacing w:line="240" w:lineRule="auto"/>
        <w:ind w:firstLine="422"/>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表0-</w:t>
      </w:r>
      <w:r>
        <w:rPr>
          <w:rFonts w:hint="eastAsia" w:ascii="宋体" w:hAnsi="宋体" w:eastAsia="宋体" w:cs="宋体"/>
          <w:b/>
          <w:color w:val="auto"/>
          <w:sz w:val="21"/>
          <w:szCs w:val="21"/>
          <w:lang w:val="en-US" w:eastAsia="zh-CN"/>
        </w:rPr>
        <w:t xml:space="preserve">3  </w:t>
      </w:r>
      <w:r>
        <w:rPr>
          <w:rFonts w:hint="eastAsia" w:ascii="宋体" w:hAnsi="宋体" w:eastAsia="宋体" w:cs="宋体"/>
          <w:b/>
          <w:color w:val="auto"/>
          <w:sz w:val="21"/>
          <w:szCs w:val="21"/>
        </w:rPr>
        <w:t xml:space="preserve">  主要配备设备仪器一览表</w:t>
      </w:r>
    </w:p>
    <w:tbl>
      <w:tblPr>
        <w:tblStyle w:val="53"/>
        <w:tblW w:w="86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784"/>
        <w:gridCol w:w="1566"/>
        <w:gridCol w:w="3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tblHeader/>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名称</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单位</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数量</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b/>
                <w:bCs w:val="0"/>
                <w:color w:val="auto"/>
                <w:kern w:val="0"/>
                <w:sz w:val="21"/>
                <w:szCs w:val="21"/>
              </w:rPr>
            </w:pPr>
            <w:r>
              <w:rPr>
                <w:rFonts w:hint="eastAsia" w:ascii="宋体" w:hAnsi="宋体" w:eastAsia="宋体" w:cs="宋体"/>
                <w:b/>
                <w:bCs w:val="0"/>
                <w:color w:val="auto"/>
                <w:kern w:val="0"/>
                <w:sz w:val="21"/>
                <w:szCs w:val="21"/>
              </w:rPr>
              <w:t>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车辆（</w:t>
            </w:r>
            <w:r>
              <w:rPr>
                <w:rFonts w:hint="eastAsia" w:ascii="宋体" w:hAnsi="宋体" w:cs="宋体"/>
                <w:color w:val="auto"/>
                <w:kern w:val="0"/>
                <w:sz w:val="21"/>
                <w:szCs w:val="21"/>
                <w:lang w:val="en-US" w:eastAsia="zh-CN"/>
              </w:rPr>
              <w:t>越野车</w:t>
            </w:r>
            <w:r>
              <w:rPr>
                <w:rFonts w:hint="eastAsia" w:ascii="宋体" w:hAnsi="宋体" w:eastAsia="宋体" w:cs="宋体"/>
                <w:color w:val="auto"/>
                <w:kern w:val="0"/>
                <w:sz w:val="21"/>
                <w:szCs w:val="21"/>
              </w:rPr>
              <w:t>）</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辆</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野外调查用车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手持GPS</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部</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调查点定位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罗盘</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部</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定方向、量产状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手持平板掌上机</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部</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定位，遥感影像定点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数码相机</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部</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拍摄照片及视频影像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卷尺</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个</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测量尺寸及深度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2263"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记录本</w:t>
            </w:r>
          </w:p>
        </w:tc>
        <w:tc>
          <w:tcPr>
            <w:tcW w:w="1784"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本</w:t>
            </w:r>
          </w:p>
        </w:tc>
        <w:tc>
          <w:tcPr>
            <w:tcW w:w="156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2</w:t>
            </w:r>
          </w:p>
        </w:tc>
        <w:tc>
          <w:tcPr>
            <w:tcW w:w="3086" w:type="dxa"/>
            <w:shd w:val="clear" w:color="auto" w:fill="auto"/>
            <w:noWrap/>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记录调查内容</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（五）完成工作量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本次调查工作完成调查区面积</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万</w:t>
      </w:r>
      <w:r>
        <w:rPr>
          <w:rFonts w:hint="eastAsia" w:ascii="宋体" w:hAnsi="宋体" w:eastAsia="宋体" w:cs="宋体"/>
          <w:color w:val="auto"/>
          <w:sz w:val="24"/>
          <w:szCs w:val="24"/>
          <w:highlight w:val="none"/>
        </w:rPr>
        <w:t>平方米，重点调查区主要包括规划露天采矿场、规划</w:t>
      </w:r>
      <w:r>
        <w:rPr>
          <w:rFonts w:hint="eastAsia" w:ascii="宋体" w:hAnsi="宋体" w:cs="宋体"/>
          <w:color w:val="auto"/>
          <w:sz w:val="24"/>
          <w:szCs w:val="24"/>
          <w:highlight w:val="none"/>
          <w:lang w:val="en-US" w:eastAsia="zh-CN"/>
        </w:rPr>
        <w:t>排土场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规划</w:t>
      </w:r>
      <w:r>
        <w:rPr>
          <w:rFonts w:hint="eastAsia" w:ascii="宋体" w:hAnsi="宋体" w:eastAsia="宋体" w:cs="宋体"/>
          <w:color w:val="auto"/>
          <w:sz w:val="24"/>
          <w:szCs w:val="24"/>
          <w:highlight w:val="none"/>
        </w:rPr>
        <w:t>矿山道路及</w:t>
      </w:r>
      <w:r>
        <w:rPr>
          <w:rFonts w:hint="eastAsia" w:ascii="宋体" w:hAnsi="宋体" w:cs="宋体"/>
          <w:color w:val="auto"/>
          <w:sz w:val="24"/>
          <w:szCs w:val="24"/>
          <w:highlight w:val="none"/>
          <w:lang w:val="en-US" w:eastAsia="zh-CN"/>
        </w:rPr>
        <w:t>规划</w:t>
      </w:r>
      <w:r>
        <w:rPr>
          <w:rFonts w:hint="eastAsia" w:ascii="宋体" w:hAnsi="宋体" w:eastAsia="宋体" w:cs="宋体"/>
          <w:color w:val="auto"/>
          <w:sz w:val="24"/>
          <w:szCs w:val="24"/>
          <w:highlight w:val="none"/>
        </w:rPr>
        <w:t>生活区等。重点调查区面积</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万</w:t>
      </w:r>
      <w:r>
        <w:rPr>
          <w:rFonts w:hint="eastAsia" w:ascii="宋体" w:hAnsi="宋体" w:eastAsia="宋体" w:cs="宋体"/>
          <w:color w:val="auto"/>
          <w:sz w:val="24"/>
          <w:szCs w:val="24"/>
          <w:highlight w:val="none"/>
        </w:rPr>
        <w:t>平方米；其余为一般调查区，为矿区范围外扩</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0m，一般调查区面积</w:t>
      </w:r>
      <w:r>
        <w:rPr>
          <w:rFonts w:hint="eastAsia" w:ascii="宋体" w:hAnsi="宋体" w:cs="宋体"/>
          <w:color w:val="auto"/>
          <w:sz w:val="24"/>
          <w:szCs w:val="24"/>
          <w:lang w:val="en-US" w:eastAsia="zh-CN"/>
        </w:rPr>
        <w:t>****</w:t>
      </w:r>
      <w:r>
        <w:rPr>
          <w:rFonts w:hint="eastAsia" w:ascii="宋体" w:hAnsi="宋体" w:cs="宋体"/>
          <w:color w:val="auto"/>
          <w:sz w:val="24"/>
          <w:szCs w:val="24"/>
          <w:highlight w:val="none"/>
          <w:lang w:val="en-US" w:eastAsia="zh-CN"/>
        </w:rPr>
        <w:t>万</w:t>
      </w:r>
      <w:r>
        <w:rPr>
          <w:rFonts w:hint="eastAsia" w:ascii="宋体" w:hAnsi="宋体" w:eastAsia="宋体" w:cs="宋体"/>
          <w:color w:val="auto"/>
          <w:sz w:val="24"/>
          <w:szCs w:val="24"/>
          <w:highlight w:val="none"/>
        </w:rPr>
        <w:t>平方米。调查内容为矿山地质环境条件及土地现状类型、地质灾害发育特征、矿山开采现状、废弃物排放情况，估算矿业活动对矿山及影响范围内土地及植被资源的破坏面积等。本次调查路线1条，长约2.</w:t>
      </w:r>
      <w:r>
        <w:rPr>
          <w:rFonts w:hint="eastAsia" w:ascii="宋体" w:hAnsi="宋体" w:cs="宋体"/>
          <w:color w:val="auto"/>
          <w:sz w:val="24"/>
          <w:szCs w:val="24"/>
          <w:highlight w:val="none"/>
          <w:lang w:val="en-US" w:eastAsia="zh-CN"/>
        </w:rPr>
        <w:t>65</w:t>
      </w:r>
      <w:r>
        <w:rPr>
          <w:rFonts w:hint="eastAsia" w:ascii="宋体" w:hAnsi="宋体" w:eastAsia="宋体" w:cs="宋体"/>
          <w:color w:val="auto"/>
          <w:sz w:val="24"/>
          <w:szCs w:val="24"/>
          <w:highlight w:val="none"/>
        </w:rPr>
        <w:t>千米，完成地质调查点15个。具体完成工作量见表0-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w:t>
      </w:r>
    </w:p>
    <w:p>
      <w:pPr>
        <w:tabs>
          <w:tab w:val="left" w:pos="426"/>
        </w:tabs>
        <w:autoSpaceDE w:val="0"/>
        <w:autoSpaceDN w:val="0"/>
        <w:spacing w:line="240" w:lineRule="auto"/>
        <w:ind w:firstLine="42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表0-</w:t>
      </w:r>
      <w:r>
        <w:rPr>
          <w:rFonts w:hint="eastAsia" w:ascii="宋体" w:hAnsi="宋体" w:cs="宋体"/>
          <w:b/>
          <w:color w:val="auto"/>
          <w:sz w:val="21"/>
          <w:szCs w:val="21"/>
          <w:highlight w:val="none"/>
          <w:lang w:val="en-US" w:eastAsia="zh-CN"/>
        </w:rPr>
        <w:t>4</w:t>
      </w:r>
      <w:r>
        <w:rPr>
          <w:rFonts w:hint="eastAsia" w:ascii="宋体" w:hAnsi="宋体" w:eastAsia="宋体" w:cs="宋体"/>
          <w:b/>
          <w:color w:val="auto"/>
          <w:sz w:val="21"/>
          <w:szCs w:val="21"/>
          <w:highlight w:val="none"/>
        </w:rPr>
        <w:t xml:space="preserve">  </w:t>
      </w:r>
      <w:r>
        <w:rPr>
          <w:rFonts w:hint="eastAsia" w:ascii="宋体" w:hAnsi="宋体" w:eastAsia="宋体" w:cs="宋体"/>
          <w:b/>
          <w:color w:val="auto"/>
          <w:sz w:val="21"/>
          <w:szCs w:val="21"/>
          <w:highlight w:val="none"/>
          <w:lang w:val="en-US" w:eastAsia="zh-CN"/>
        </w:rPr>
        <w:t xml:space="preserve"> </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完成工作量统计表</w:t>
      </w:r>
    </w:p>
    <w:tbl>
      <w:tblPr>
        <w:tblStyle w:val="53"/>
        <w:tblW w:w="8961" w:type="dxa"/>
        <w:tblInd w:w="0" w:type="dxa"/>
        <w:tblLayout w:type="fixed"/>
        <w:tblCellMar>
          <w:top w:w="0" w:type="dxa"/>
          <w:left w:w="108" w:type="dxa"/>
          <w:bottom w:w="0" w:type="dxa"/>
          <w:right w:w="108" w:type="dxa"/>
        </w:tblCellMar>
      </w:tblPr>
      <w:tblGrid>
        <w:gridCol w:w="1123"/>
        <w:gridCol w:w="1400"/>
        <w:gridCol w:w="979"/>
        <w:gridCol w:w="1260"/>
        <w:gridCol w:w="4199"/>
      </w:tblGrid>
      <w:tr>
        <w:tblPrEx>
          <w:tblLayout w:type="fixed"/>
          <w:tblCellMar>
            <w:top w:w="0" w:type="dxa"/>
            <w:left w:w="108" w:type="dxa"/>
            <w:bottom w:w="0" w:type="dxa"/>
            <w:right w:w="108" w:type="dxa"/>
          </w:tblCellMar>
        </w:tblPrEx>
        <w:trPr>
          <w:trHeight w:val="363" w:hRule="atLeast"/>
        </w:trPr>
        <w:tc>
          <w:tcPr>
            <w:tcW w:w="2523"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spacing w:line="240" w:lineRule="auto"/>
              <w:ind w:firstLine="422"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工作内容</w:t>
            </w:r>
          </w:p>
        </w:tc>
        <w:tc>
          <w:tcPr>
            <w:tcW w:w="97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计量单位</w:t>
            </w:r>
          </w:p>
        </w:tc>
        <w:tc>
          <w:tcPr>
            <w:tcW w:w="126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完成工作量</w:t>
            </w:r>
          </w:p>
        </w:tc>
        <w:tc>
          <w:tcPr>
            <w:tcW w:w="419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说明</w:t>
            </w:r>
          </w:p>
        </w:tc>
      </w:tr>
      <w:tr>
        <w:tblPrEx>
          <w:tblLayout w:type="fixed"/>
          <w:tblCellMar>
            <w:top w:w="0" w:type="dxa"/>
            <w:left w:w="108" w:type="dxa"/>
            <w:bottom w:w="0" w:type="dxa"/>
            <w:right w:w="108" w:type="dxa"/>
          </w:tblCellMar>
        </w:tblPrEx>
        <w:trPr>
          <w:trHeight w:val="363" w:hRule="atLeast"/>
        </w:trPr>
        <w:tc>
          <w:tcPr>
            <w:tcW w:w="2523" w:type="dxa"/>
            <w:gridSpan w:val="2"/>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资料收集</w:t>
            </w:r>
          </w:p>
        </w:tc>
        <w:tc>
          <w:tcPr>
            <w:tcW w:w="979" w:type="dxa"/>
            <w:tcBorders>
              <w:top w:val="nil"/>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份</w:t>
            </w:r>
          </w:p>
        </w:tc>
        <w:tc>
          <w:tcPr>
            <w:tcW w:w="1260" w:type="dxa"/>
            <w:tcBorders>
              <w:top w:val="nil"/>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4199" w:type="dxa"/>
            <w:tcBorders>
              <w:top w:val="nil"/>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主要收集地质勘查报告</w:t>
            </w:r>
          </w:p>
        </w:tc>
      </w:tr>
      <w:tr>
        <w:tblPrEx>
          <w:tblLayout w:type="fixed"/>
          <w:tblCellMar>
            <w:top w:w="0" w:type="dxa"/>
            <w:left w:w="108" w:type="dxa"/>
            <w:bottom w:w="0" w:type="dxa"/>
            <w:right w:w="108" w:type="dxa"/>
          </w:tblCellMar>
        </w:tblPrEx>
        <w:trPr>
          <w:trHeight w:val="363" w:hRule="atLeast"/>
        </w:trPr>
        <w:tc>
          <w:tcPr>
            <w:tcW w:w="1123" w:type="dxa"/>
            <w:tcBorders>
              <w:top w:val="nil"/>
              <w:left w:val="single" w:color="auto" w:sz="4" w:space="0"/>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矿山地质环境野外调查</w:t>
            </w:r>
          </w:p>
        </w:tc>
        <w:tc>
          <w:tcPr>
            <w:tcW w:w="1400" w:type="dxa"/>
            <w:tcBorders>
              <w:top w:val="nil"/>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调查区</w:t>
            </w:r>
          </w:p>
        </w:tc>
        <w:tc>
          <w:tcPr>
            <w:tcW w:w="979" w:type="dxa"/>
            <w:tcBorders>
              <w:top w:val="nil"/>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万方</w:t>
            </w:r>
            <w:r>
              <w:rPr>
                <w:rFonts w:hint="eastAsia" w:ascii="宋体" w:hAnsi="宋体" w:cs="宋体"/>
                <w:color w:val="auto"/>
                <w:kern w:val="0"/>
                <w:sz w:val="21"/>
                <w:szCs w:val="21"/>
                <w:lang w:val="en-US" w:eastAsia="zh-CN"/>
              </w:rPr>
              <w:t>千</w:t>
            </w:r>
            <w:r>
              <w:rPr>
                <w:rFonts w:hint="eastAsia" w:ascii="宋体" w:hAnsi="宋体" w:eastAsia="宋体" w:cs="宋体"/>
                <w:color w:val="auto"/>
                <w:kern w:val="0"/>
                <w:sz w:val="21"/>
                <w:szCs w:val="21"/>
              </w:rPr>
              <w:t>米</w:t>
            </w:r>
          </w:p>
        </w:tc>
        <w:tc>
          <w:tcPr>
            <w:tcW w:w="1260" w:type="dxa"/>
            <w:tcBorders>
              <w:top w:val="nil"/>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sz w:val="24"/>
                <w:szCs w:val="24"/>
                <w:lang w:val="en-US" w:eastAsia="zh-CN"/>
              </w:rPr>
              <w:t>****</w:t>
            </w:r>
          </w:p>
        </w:tc>
        <w:tc>
          <w:tcPr>
            <w:tcW w:w="4199" w:type="dxa"/>
            <w:tcBorders>
              <w:top w:val="nil"/>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矿山及其影响区范围</w:t>
            </w:r>
          </w:p>
        </w:tc>
      </w:tr>
      <w:tr>
        <w:tblPrEx>
          <w:tblLayout w:type="fixed"/>
          <w:tblCellMar>
            <w:top w:w="0" w:type="dxa"/>
            <w:left w:w="108" w:type="dxa"/>
            <w:bottom w:w="0" w:type="dxa"/>
            <w:right w:w="108" w:type="dxa"/>
          </w:tblCellMar>
        </w:tblPrEx>
        <w:trPr>
          <w:trHeight w:val="363" w:hRule="atLeast"/>
        </w:trPr>
        <w:tc>
          <w:tcPr>
            <w:tcW w:w="1123"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（比例尺1：2000）</w:t>
            </w:r>
          </w:p>
        </w:tc>
        <w:tc>
          <w:tcPr>
            <w:tcW w:w="140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重点调查区</w:t>
            </w:r>
          </w:p>
        </w:tc>
        <w:tc>
          <w:tcPr>
            <w:tcW w:w="97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万平方米</w:t>
            </w:r>
          </w:p>
        </w:tc>
        <w:tc>
          <w:tcPr>
            <w:tcW w:w="126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sz w:val="24"/>
                <w:szCs w:val="24"/>
                <w:lang w:val="en-US" w:eastAsia="zh-CN"/>
              </w:rPr>
              <w:t>****</w:t>
            </w:r>
          </w:p>
        </w:tc>
        <w:tc>
          <w:tcPr>
            <w:tcW w:w="419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矿山建设重点地段及可能对矿山有影响的区段</w:t>
            </w:r>
          </w:p>
        </w:tc>
      </w:tr>
      <w:tr>
        <w:tblPrEx>
          <w:tblLayout w:type="fixed"/>
          <w:tblCellMar>
            <w:top w:w="0" w:type="dxa"/>
            <w:left w:w="108" w:type="dxa"/>
            <w:bottom w:w="0" w:type="dxa"/>
            <w:right w:w="108" w:type="dxa"/>
          </w:tblCellMar>
        </w:tblPrEx>
        <w:trPr>
          <w:trHeight w:val="363" w:hRule="atLeast"/>
        </w:trPr>
        <w:tc>
          <w:tcPr>
            <w:tcW w:w="1123"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highlight w:val="yellow"/>
              </w:rPr>
            </w:pPr>
          </w:p>
        </w:tc>
        <w:tc>
          <w:tcPr>
            <w:tcW w:w="140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一般调查区</w:t>
            </w:r>
          </w:p>
        </w:tc>
        <w:tc>
          <w:tcPr>
            <w:tcW w:w="97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万平方米</w:t>
            </w:r>
          </w:p>
        </w:tc>
        <w:tc>
          <w:tcPr>
            <w:tcW w:w="126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default" w:ascii="宋体" w:hAnsi="宋体" w:eastAsia="宋体" w:cs="宋体"/>
                <w:color w:val="auto"/>
                <w:kern w:val="0"/>
                <w:sz w:val="21"/>
                <w:szCs w:val="21"/>
                <w:lang w:val="en-US" w:eastAsia="zh-CN"/>
              </w:rPr>
            </w:pPr>
            <w:r>
              <w:rPr>
                <w:rFonts w:hint="eastAsia" w:ascii="宋体" w:hAnsi="宋体" w:cs="宋体"/>
                <w:color w:val="auto"/>
                <w:sz w:val="24"/>
                <w:szCs w:val="24"/>
                <w:lang w:val="en-US" w:eastAsia="zh-CN"/>
              </w:rPr>
              <w:t>****</w:t>
            </w:r>
          </w:p>
        </w:tc>
        <w:tc>
          <w:tcPr>
            <w:tcW w:w="419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重点调查区外</w:t>
            </w:r>
          </w:p>
        </w:tc>
      </w:tr>
      <w:tr>
        <w:tblPrEx>
          <w:tblLayout w:type="fixed"/>
          <w:tblCellMar>
            <w:top w:w="0" w:type="dxa"/>
            <w:left w:w="108" w:type="dxa"/>
            <w:bottom w:w="0" w:type="dxa"/>
            <w:right w:w="108" w:type="dxa"/>
          </w:tblCellMar>
        </w:tblPrEx>
        <w:trPr>
          <w:trHeight w:val="363" w:hRule="atLeast"/>
        </w:trPr>
        <w:tc>
          <w:tcPr>
            <w:tcW w:w="1123"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highlight w:val="yellow"/>
              </w:rPr>
            </w:pPr>
          </w:p>
        </w:tc>
        <w:tc>
          <w:tcPr>
            <w:tcW w:w="140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路线调查</w:t>
            </w:r>
          </w:p>
        </w:tc>
        <w:tc>
          <w:tcPr>
            <w:tcW w:w="97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千米/条</w:t>
            </w:r>
          </w:p>
        </w:tc>
        <w:tc>
          <w:tcPr>
            <w:tcW w:w="126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cs="宋体"/>
                <w:color w:val="auto"/>
                <w:sz w:val="24"/>
                <w:szCs w:val="24"/>
                <w:lang w:val="en-US" w:eastAsia="zh-CN"/>
              </w:rPr>
              <w:t>****</w:t>
            </w:r>
          </w:p>
        </w:tc>
        <w:tc>
          <w:tcPr>
            <w:tcW w:w="4199" w:type="dxa"/>
            <w:vMerge w:val="restart"/>
            <w:tcBorders>
              <w:top w:val="single" w:color="auto" w:sz="4" w:space="0"/>
              <w:left w:val="single" w:color="auto" w:sz="4" w:space="0"/>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沿矿山道路及矿山布局分布特征情况逐点调查，一般调查点15个。</w:t>
            </w:r>
          </w:p>
        </w:tc>
      </w:tr>
      <w:tr>
        <w:tblPrEx>
          <w:tblLayout w:type="fixed"/>
          <w:tblCellMar>
            <w:top w:w="0" w:type="dxa"/>
            <w:left w:w="108" w:type="dxa"/>
            <w:bottom w:w="0" w:type="dxa"/>
            <w:right w:w="108" w:type="dxa"/>
          </w:tblCellMar>
        </w:tblPrEx>
        <w:trPr>
          <w:trHeight w:val="363" w:hRule="atLeast"/>
        </w:trPr>
        <w:tc>
          <w:tcPr>
            <w:tcW w:w="1123"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rPr>
            </w:pPr>
          </w:p>
        </w:tc>
        <w:tc>
          <w:tcPr>
            <w:tcW w:w="140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调查点</w:t>
            </w:r>
          </w:p>
        </w:tc>
        <w:tc>
          <w:tcPr>
            <w:tcW w:w="979"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个</w:t>
            </w:r>
          </w:p>
        </w:tc>
        <w:tc>
          <w:tcPr>
            <w:tcW w:w="1260" w:type="dxa"/>
            <w:tcBorders>
              <w:top w:val="single" w:color="auto" w:sz="4" w:space="0"/>
              <w:left w:val="nil"/>
              <w:bottom w:val="single" w:color="auto" w:sz="4" w:space="0"/>
              <w:right w:val="single" w:color="auto" w:sz="4" w:space="0"/>
            </w:tcBorders>
            <w:shd w:val="clear" w:color="auto" w:fill="auto"/>
            <w:tcMar>
              <w:left w:w="0" w:type="dxa"/>
              <w:right w:w="0" w:type="dxa"/>
            </w:tcMar>
            <w:vAlign w:val="center"/>
          </w:tcPr>
          <w:p>
            <w:pPr>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15</w:t>
            </w:r>
          </w:p>
        </w:tc>
        <w:tc>
          <w:tcPr>
            <w:tcW w:w="4199" w:type="dxa"/>
            <w:vMerge w:val="continue"/>
            <w:tcBorders>
              <w:top w:val="single" w:color="auto" w:sz="4" w:space="0"/>
              <w:left w:val="single" w:color="auto" w:sz="4" w:space="0"/>
              <w:bottom w:val="single" w:color="auto" w:sz="4" w:space="0"/>
              <w:right w:val="single" w:color="auto" w:sz="4" w:space="0"/>
            </w:tcBorders>
            <w:tcMar>
              <w:left w:w="0" w:type="dxa"/>
              <w:right w:w="0" w:type="dxa"/>
            </w:tcMar>
            <w:vAlign w:val="center"/>
          </w:tcPr>
          <w:p>
            <w:pPr>
              <w:spacing w:line="240" w:lineRule="auto"/>
              <w:ind w:firstLine="0" w:firstLineChars="0"/>
              <w:jc w:val="left"/>
              <w:rPr>
                <w:rFonts w:hint="eastAsia" w:ascii="宋体" w:hAnsi="宋体" w:eastAsia="宋体" w:cs="宋体"/>
                <w:color w:val="auto"/>
                <w:kern w:val="0"/>
                <w:sz w:val="21"/>
                <w:szCs w:val="21"/>
              </w:rPr>
            </w:pP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（六）质量评述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本次地面调查主要以《新疆伽师县西克尔镇4号砖瓦用页岩矿</w:t>
      </w:r>
      <w:r>
        <w:rPr>
          <w:rFonts w:hint="eastAsia" w:ascii="宋体" w:hAnsi="宋体" w:eastAsia="宋体" w:cs="宋体"/>
          <w:bCs/>
          <w:color w:val="auto"/>
          <w:kern w:val="0"/>
          <w:sz w:val="24"/>
          <w:szCs w:val="24"/>
        </w:rPr>
        <w:t>普查报告</w:t>
      </w:r>
      <w:r>
        <w:rPr>
          <w:rFonts w:hint="eastAsia" w:ascii="宋体" w:hAnsi="宋体" w:eastAsia="宋体" w:cs="宋体"/>
          <w:color w:val="auto"/>
          <w:sz w:val="24"/>
          <w:szCs w:val="24"/>
        </w:rPr>
        <w:t>》为基础进行野外实地调查，地质灾害调查按</w:t>
      </w:r>
      <w:r>
        <w:rPr>
          <w:rFonts w:hint="eastAsia" w:ascii="宋体" w:hAnsi="宋体" w:eastAsia="宋体" w:cs="宋体"/>
          <w:color w:val="auto"/>
          <w:sz w:val="24"/>
          <w:szCs w:val="24"/>
          <w:lang w:val="zh-CN"/>
        </w:rPr>
        <w:t>《县（市）地质灾害调查与区划规范》（试用）（T/CAGHP-017-2018）</w:t>
      </w:r>
      <w:r>
        <w:rPr>
          <w:rFonts w:hint="eastAsia" w:ascii="宋体" w:hAnsi="宋体" w:eastAsia="宋体" w:cs="宋体"/>
          <w:color w:val="auto"/>
          <w:sz w:val="24"/>
          <w:szCs w:val="24"/>
        </w:rPr>
        <w:t>开展。依据矿山建设布局以及灾害点分布情况对矿山建设开发重要地段及可能对矿山有影响作用的区段进行详细调查。在全面收集资料的基础上，通过实地调查、访问，查清了矿山环境地质背景条件、矿山地质环境问题、矿山影响范围内的土地类型、灾害分布现状以及对矿山建设开发产生的影响及危害等。</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结合《矿山地质环境保护与恢复治理方案编制规范》（DZ/T0223-2011）和《土地复垦方案编制规程通则》（TD/T1031.1-2011），本次矿山地质环境保护与土地复垦方案的编制工作严格按照《原国土资源部办公厅关于做好矿山地质环境保护与土地复垦方案编报有关工作的通知》（国土资规[2016]21号）、《关于做好矿山地质环境保护与土地复垦方案编审有关工作的通知》（新国土资规[2018]1号）和《矿山地质环境保护与土地复垦方案编制指南》进行，并在充分收集和利用矿山内已有的前人研究成果和各类资料的基础上，开展了矿山地质环境和土地资源现状调查工作。野外调查工作从一开始就做到统一方法、统一要求，通过以1:2000地形地质图为底图，采用点线结合，以点上观察、测量和访问为主，利用GPS定点，配合路线调查追索和区域踏勘，基本查明了矿山内存在的矿山地质环境和土地资源问题。</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确保方案编制报告的质量，项目组负责人对方案编制工作进行全程质量监控，对野外矿山地质环境调查工作、室内综合研究和报告编制等工作及时进行质量检查和验收，并组织有关专家对矿山地质环境条件、评估级别、矿山地质灾害、矿山含水层破坏、地形地貌景观（地质遗迹、人文景观）、水土环境污染、土地占用与损毁等关键问题进行了重点把关。报告编制完成后，项目组又征询了矿山、方案涉及自然资源局和地方人民政府相关职能部门的意见，并对方案进一步修改完善。</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方案中所用原始数据一部分来源于现场调查，一部分由矿山企业提供。引用数据来源于各种技术资料，引用资料均为评审通过的各类报告。</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方案土地复垦义务人喀什地区自然资源局保证本方案报审资料和编制资料真实、客观、无伪造、编造、变造、篡改等虚假内容，本方案编制单位中化地质矿山总局新疆地质调查院保证本方案按照规定要求科学、客观、真实进行编制和报审。本方案义务人喀什地区自然资源局和本方案编制单位对本方案的真实性和科学性负责。</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综上，本次工作中收集的资料比较全面，矿山提供基础数据和现场调查数据真实可靠，矿山地质环境和土地资源调查及报告编制工作按国家和新疆维吾尔自治区现行有关技术规程规范进行，工作精度符合规程规范要求，方案编制质量可靠。</w:t>
      </w: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rPr>
          <w:rFonts w:hint="eastAsia" w:ascii="宋体" w:hAnsi="宋体" w:eastAsia="宋体" w:cs="宋体"/>
          <w:b/>
          <w:bCs w:val="0"/>
          <w:color w:val="auto"/>
        </w:rPr>
      </w:pPr>
      <w:bookmarkStart w:id="42" w:name="_TOC_250047"/>
      <w:bookmarkStart w:id="43" w:name="_Toc2007"/>
      <w:bookmarkStart w:id="44" w:name="_Toc32318"/>
      <w:bookmarkStart w:id="45" w:name="_Toc1618"/>
      <w:bookmarkStart w:id="46" w:name="_Toc23127"/>
      <w:r>
        <w:rPr>
          <w:rFonts w:hint="eastAsia" w:ascii="宋体" w:hAnsi="宋体" w:eastAsia="宋体" w:cs="宋体"/>
          <w:b/>
          <w:bCs w:val="0"/>
          <w:color w:val="auto"/>
        </w:rPr>
        <w:br w:type="page"/>
      </w:r>
    </w:p>
    <w:p>
      <w:pPr>
        <w:pStyle w:val="2"/>
        <w:spacing w:before="360" w:beforeLines="150" w:after="240" w:afterLines="100" w:afterAutospacing="0" w:line="360" w:lineRule="auto"/>
        <w:jc w:val="center"/>
        <w:rPr>
          <w:rFonts w:hint="eastAsia" w:ascii="宋体" w:hAnsi="宋体" w:eastAsia="宋体" w:cs="宋体"/>
          <w:b/>
          <w:bCs w:val="0"/>
          <w:color w:val="auto"/>
          <w:lang w:val="zh-CN"/>
        </w:rPr>
      </w:pPr>
      <w:bookmarkStart w:id="47" w:name="_Toc32101"/>
      <w:r>
        <w:rPr>
          <w:rFonts w:hint="eastAsia" w:ascii="宋体" w:hAnsi="宋体" w:eastAsia="宋体" w:cs="宋体"/>
          <w:b/>
          <w:bCs w:val="0"/>
          <w:color w:val="auto"/>
        </w:rPr>
        <w:t>第一章</w:t>
      </w:r>
      <w:bookmarkEnd w:id="42"/>
      <w:r>
        <w:rPr>
          <w:rFonts w:hint="eastAsia" w:ascii="宋体" w:hAnsi="宋体" w:eastAsia="宋体" w:cs="宋体"/>
          <w:b/>
          <w:bCs w:val="0"/>
          <w:color w:val="auto"/>
        </w:rPr>
        <w:t xml:space="preserve">  矿山基本情况</w:t>
      </w:r>
      <w:bookmarkEnd w:id="43"/>
      <w:bookmarkEnd w:id="44"/>
      <w:bookmarkEnd w:id="45"/>
      <w:bookmarkEnd w:id="46"/>
      <w:bookmarkEnd w:id="47"/>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rPr>
      </w:pPr>
      <w:bookmarkStart w:id="48" w:name="_Toc18002"/>
      <w:bookmarkStart w:id="49" w:name="_Toc25119"/>
      <w:bookmarkStart w:id="50" w:name="_Toc10515"/>
      <w:bookmarkStart w:id="51" w:name="_Toc6720"/>
      <w:bookmarkStart w:id="52" w:name="_Toc532760436"/>
      <w:bookmarkStart w:id="53" w:name="_Toc13256"/>
      <w:bookmarkStart w:id="54" w:name="_Toc31269"/>
      <w:bookmarkStart w:id="55" w:name="_Toc12757"/>
      <w:r>
        <w:rPr>
          <w:rFonts w:hint="eastAsia" w:ascii="宋体" w:hAnsi="宋体" w:eastAsia="宋体" w:cs="宋体"/>
          <w:b/>
          <w:color w:val="auto"/>
          <w:sz w:val="30"/>
          <w:szCs w:val="30"/>
        </w:rPr>
        <w:t>一、矿山</w:t>
      </w:r>
      <w:bookmarkEnd w:id="48"/>
      <w:bookmarkEnd w:id="49"/>
      <w:bookmarkEnd w:id="50"/>
      <w:bookmarkEnd w:id="51"/>
      <w:bookmarkEnd w:id="52"/>
      <w:r>
        <w:rPr>
          <w:rFonts w:hint="eastAsia" w:ascii="宋体" w:hAnsi="宋体" w:eastAsia="宋体" w:cs="宋体"/>
          <w:b/>
          <w:color w:val="auto"/>
          <w:sz w:val="30"/>
          <w:szCs w:val="30"/>
        </w:rPr>
        <w:t>概括</w:t>
      </w:r>
      <w:bookmarkEnd w:id="53"/>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矿山名称：</w:t>
      </w: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rPr>
        <w:t>；</w:t>
      </w:r>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项目类型：新建矿山</w:t>
      </w:r>
      <w:r>
        <w:rPr>
          <w:rFonts w:hint="eastAsia" w:ascii="宋体" w:hAnsi="宋体" w:cs="宋体"/>
          <w:color w:val="auto"/>
          <w:sz w:val="24"/>
          <w:szCs w:val="24"/>
          <w:lang w:eastAsia="zh-CN"/>
        </w:rPr>
        <w:t>；</w:t>
      </w:r>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开采矿种：砖瓦用页岩矿；</w:t>
      </w:r>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开采方式：露天开采方式；</w:t>
      </w:r>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生产规模：</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万</w:t>
      </w:r>
      <w:r>
        <w:rPr>
          <w:rFonts w:hint="eastAsia" w:ascii="宋体" w:hAnsi="宋体" w:cs="宋体"/>
          <w:color w:val="auto"/>
          <w:sz w:val="24"/>
          <w:szCs w:val="24"/>
          <w:lang w:val="en-US" w:eastAsia="zh-CN"/>
        </w:rPr>
        <w:t>立方米</w:t>
      </w:r>
      <w:r>
        <w:rPr>
          <w:rFonts w:hint="eastAsia" w:ascii="宋体" w:hAnsi="宋体" w:eastAsia="宋体" w:cs="宋体"/>
          <w:color w:val="auto"/>
          <w:sz w:val="24"/>
          <w:szCs w:val="24"/>
        </w:rPr>
        <w:t>/年；</w:t>
      </w:r>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矿区面积：</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平方千米；</w:t>
      </w:r>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开采深度：标高</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米标高；</w:t>
      </w:r>
    </w:p>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矿山服务年限：</w:t>
      </w:r>
      <w:r>
        <w:rPr>
          <w:rFonts w:hint="eastAsia" w:ascii="宋体" w:hAnsi="宋体" w:cs="宋体"/>
          <w:color w:val="auto"/>
          <w:sz w:val="24"/>
          <w:szCs w:val="24"/>
          <w:lang w:val="en-US" w:eastAsia="zh-CN"/>
        </w:rPr>
        <w:t>****</w:t>
      </w:r>
      <w:r>
        <w:rPr>
          <w:rFonts w:hint="eastAsia" w:ascii="宋体" w:hAnsi="宋体" w:eastAsia="宋体" w:cs="宋体"/>
          <w:color w:val="auto"/>
          <w:sz w:val="24"/>
          <w:szCs w:val="24"/>
          <w:highlight w:val="none"/>
        </w:rPr>
        <w:t>年。</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（一）矿山地理位置及交通情况</w:t>
      </w:r>
    </w:p>
    <w:bookmarkEnd w:id="54"/>
    <w:bookmarkEnd w:id="55"/>
    <w:p>
      <w:pPr>
        <w:pStyle w:val="215"/>
        <w:keepNext w:val="0"/>
        <w:keepLines w:val="0"/>
        <w:pageBreakBefore w:val="0"/>
        <w:widowControl/>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新疆伽师县西克尔镇4号砖瓦用页岩矿位于伽师县</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方位约</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处，矿区周边有314国道，交通便利，通行方便。但未来设矿后需修建运矿道路与省道相连。行政区划属伽师县西克尔镇管辖（图1-1）。</w:t>
      </w:r>
    </w:p>
    <w:p>
      <w:pPr>
        <w:spacing w:line="240" w:lineRule="auto"/>
        <w:ind w:firstLine="0" w:firstLineChars="0"/>
        <w:jc w:val="center"/>
        <w:rPr>
          <w:color w:val="auto"/>
        </w:rPr>
      </w:pPr>
    </w:p>
    <w:p>
      <w:pPr>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图1-1  交通位置图</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（二）矿区范围及拐点坐标</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1、矿区范围及拐点坐标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拟设矿权已录入喀什地区矿产资源总体规划（2021-2025年）中，属于空白区新设矿权，拟设矿权面积</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平方千米，由6个拐点组成（表1-1</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图1-2</w:t>
      </w:r>
      <w:r>
        <w:rPr>
          <w:rFonts w:hint="eastAsia" w:ascii="宋体" w:hAnsi="宋体" w:eastAsia="宋体" w:cs="宋体"/>
          <w:color w:val="auto"/>
          <w:sz w:val="24"/>
          <w:szCs w:val="24"/>
        </w:rPr>
        <w:t>），开采标高</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m，开采矿种为砖瓦用页岩矿</w:t>
      </w:r>
      <w:r>
        <w:rPr>
          <w:rFonts w:hint="eastAsia" w:ascii="宋体" w:hAnsi="宋体" w:cs="宋体"/>
          <w:color w:val="auto"/>
          <w:sz w:val="24"/>
          <w:szCs w:val="24"/>
          <w:lang w:eastAsia="zh-CN"/>
        </w:rPr>
        <w:t>，</w:t>
      </w:r>
      <w:r>
        <w:rPr>
          <w:rFonts w:hint="eastAsia" w:ascii="宋体" w:hAnsi="宋体" w:eastAsia="宋体" w:cs="宋体"/>
          <w:color w:val="auto"/>
          <w:sz w:val="24"/>
          <w:szCs w:val="24"/>
        </w:rPr>
        <w:t>矿区中心地理坐标为（CGCS2000坐标系）：东经</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，北纬</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p>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 xml:space="preserve">表1-1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矿区拐点坐标一览表</w:t>
      </w:r>
    </w:p>
    <w:tbl>
      <w:tblPr>
        <w:tblStyle w:val="53"/>
        <w:tblW w:w="8041" w:type="dxa"/>
        <w:jc w:val="center"/>
        <w:tblInd w:w="0" w:type="dxa"/>
        <w:tblLayout w:type="fixed"/>
        <w:tblCellMar>
          <w:top w:w="0" w:type="dxa"/>
          <w:left w:w="108" w:type="dxa"/>
          <w:bottom w:w="0" w:type="dxa"/>
          <w:right w:w="108" w:type="dxa"/>
        </w:tblCellMar>
      </w:tblPr>
      <w:tblGrid>
        <w:gridCol w:w="945"/>
        <w:gridCol w:w="1985"/>
        <w:gridCol w:w="1791"/>
        <w:gridCol w:w="1634"/>
        <w:gridCol w:w="1686"/>
      </w:tblGrid>
      <w:tr>
        <w:tblPrEx>
          <w:tblLayout w:type="fixed"/>
          <w:tblCellMar>
            <w:top w:w="0" w:type="dxa"/>
            <w:left w:w="108" w:type="dxa"/>
            <w:bottom w:w="0" w:type="dxa"/>
            <w:right w:w="108" w:type="dxa"/>
          </w:tblCellMar>
        </w:tblPrEx>
        <w:trPr>
          <w:trHeight w:val="397" w:hRule="atLeast"/>
          <w:jc w:val="center"/>
        </w:trPr>
        <w:tc>
          <w:tcPr>
            <w:tcW w:w="945"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eastAsia="宋体" w:cs="宋体"/>
                <w:color w:val="auto"/>
                <w:kern w:val="0"/>
                <w:sz w:val="21"/>
                <w:szCs w:val="21"/>
                <w:lang w:bidi="ar"/>
                <w14:ligatures w14:val="none"/>
              </w:rPr>
              <w:t>点号</w:t>
            </w:r>
          </w:p>
        </w:tc>
        <w:tc>
          <w:tcPr>
            <w:tcW w:w="7096"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eastAsia="宋体" w:cs="宋体"/>
                <w:color w:val="auto"/>
                <w:sz w:val="21"/>
                <w:szCs w:val="21"/>
                <w14:ligatures w14:val="none"/>
              </w:rPr>
              <w:t>CGCS2000坐标</w:t>
            </w:r>
          </w:p>
        </w:tc>
      </w:tr>
      <w:tr>
        <w:tblPrEx>
          <w:tblLayout w:type="fixed"/>
          <w:tblCellMar>
            <w:top w:w="0" w:type="dxa"/>
            <w:left w:w="108" w:type="dxa"/>
            <w:bottom w:w="0" w:type="dxa"/>
            <w:right w:w="108" w:type="dxa"/>
          </w:tblCellMar>
        </w:tblPrEx>
        <w:trPr>
          <w:trHeight w:val="397" w:hRule="atLeast"/>
          <w:jc w:val="center"/>
        </w:trPr>
        <w:tc>
          <w:tcPr>
            <w:tcW w:w="945"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14:ligatures w14:val="none"/>
              </w:rPr>
            </w:pP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14:ligatures w14:val="none"/>
              </w:rPr>
            </w:pPr>
            <w:r>
              <w:rPr>
                <w:rFonts w:hint="eastAsia" w:ascii="宋体" w:hAnsi="宋体" w:eastAsia="宋体" w:cs="宋体"/>
                <w:color w:val="auto"/>
                <w:kern w:val="0"/>
                <w:sz w:val="21"/>
                <w:szCs w:val="21"/>
                <w:lang w:bidi="ar"/>
                <w14:ligatures w14:val="none"/>
              </w:rPr>
              <w:t>北纬</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14:ligatures w14:val="none"/>
              </w:rPr>
            </w:pPr>
            <w:r>
              <w:rPr>
                <w:rFonts w:hint="eastAsia" w:ascii="宋体" w:hAnsi="宋体" w:eastAsia="宋体" w:cs="宋体"/>
                <w:color w:val="auto"/>
                <w:kern w:val="0"/>
                <w:sz w:val="21"/>
                <w:szCs w:val="21"/>
                <w:lang w:bidi="ar"/>
                <w14:ligatures w14:val="none"/>
              </w:rPr>
              <w:t>东经</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14:ligatures w14:val="none"/>
              </w:rPr>
            </w:pPr>
            <w:r>
              <w:rPr>
                <w:rFonts w:hint="eastAsia" w:ascii="宋体" w:hAnsi="宋体" w:eastAsia="宋体" w:cs="宋体"/>
                <w:color w:val="auto"/>
                <w:kern w:val="0"/>
                <w:sz w:val="21"/>
                <w:szCs w:val="21"/>
                <w:lang w:bidi="ar"/>
                <w14:ligatures w14:val="none"/>
              </w:rPr>
              <w:t>X坐标</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14:ligatures w14:val="none"/>
              </w:rPr>
            </w:pPr>
            <w:r>
              <w:rPr>
                <w:rFonts w:hint="eastAsia" w:ascii="宋体" w:hAnsi="宋体" w:eastAsia="宋体" w:cs="宋体"/>
                <w:color w:val="auto"/>
                <w:kern w:val="0"/>
                <w:sz w:val="21"/>
                <w:szCs w:val="21"/>
                <w:lang w:bidi="ar"/>
                <w14:ligatures w14:val="none"/>
              </w:rPr>
              <w:t>Y坐标</w:t>
            </w:r>
          </w:p>
        </w:tc>
      </w:tr>
      <w:tr>
        <w:tblPrEx>
          <w:tblLayout w:type="fixed"/>
          <w:tblCellMar>
            <w:top w:w="0" w:type="dxa"/>
            <w:left w:w="108" w:type="dxa"/>
            <w:bottom w:w="0" w:type="dxa"/>
            <w:right w:w="108" w:type="dxa"/>
          </w:tblCellMar>
        </w:tblPrEx>
        <w:trPr>
          <w:trHeight w:val="397"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kern w:val="0"/>
                <w:sz w:val="21"/>
                <w:szCs w:val="21"/>
                <w:lang w:val="en-US" w:eastAsia="zh-CN" w:bidi="ar"/>
                <w14:ligatures w14:val="none"/>
              </w:rPr>
              <w:t>S</w:t>
            </w:r>
            <w:r>
              <w:rPr>
                <w:rFonts w:hint="eastAsia" w:ascii="宋体" w:hAnsi="宋体" w:eastAsia="宋体" w:cs="宋体"/>
                <w:color w:val="auto"/>
                <w:kern w:val="0"/>
                <w:sz w:val="21"/>
                <w:szCs w:val="21"/>
                <w:lang w:bidi="ar"/>
                <w14:ligatures w14:val="none"/>
              </w:rPr>
              <w:t>1</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r>
      <w:tr>
        <w:tblPrEx>
          <w:tblLayout w:type="fixed"/>
          <w:tblCellMar>
            <w:top w:w="0" w:type="dxa"/>
            <w:left w:w="108" w:type="dxa"/>
            <w:bottom w:w="0" w:type="dxa"/>
            <w:right w:w="108" w:type="dxa"/>
          </w:tblCellMar>
        </w:tblPrEx>
        <w:trPr>
          <w:trHeight w:val="397"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kern w:val="0"/>
                <w:sz w:val="21"/>
                <w:szCs w:val="21"/>
                <w:lang w:val="en-US" w:eastAsia="zh-CN" w:bidi="ar"/>
                <w14:ligatures w14:val="none"/>
              </w:rPr>
              <w:t>S</w:t>
            </w:r>
            <w:r>
              <w:rPr>
                <w:rFonts w:hint="eastAsia" w:ascii="宋体" w:hAnsi="宋体" w:eastAsia="宋体" w:cs="宋体"/>
                <w:color w:val="auto"/>
                <w:kern w:val="0"/>
                <w:sz w:val="21"/>
                <w:szCs w:val="21"/>
                <w:lang w:bidi="ar"/>
                <w14:ligatures w14:val="none"/>
              </w:rPr>
              <w:t>2</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r>
      <w:tr>
        <w:tblPrEx>
          <w:tblLayout w:type="fixed"/>
          <w:tblCellMar>
            <w:top w:w="0" w:type="dxa"/>
            <w:left w:w="108" w:type="dxa"/>
            <w:bottom w:w="0" w:type="dxa"/>
            <w:right w:w="108" w:type="dxa"/>
          </w:tblCellMar>
        </w:tblPrEx>
        <w:trPr>
          <w:trHeight w:val="397"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kern w:val="0"/>
                <w:sz w:val="21"/>
                <w:szCs w:val="21"/>
                <w:lang w:val="en-US" w:eastAsia="zh-CN" w:bidi="ar"/>
                <w14:ligatures w14:val="none"/>
              </w:rPr>
              <w:t>S</w:t>
            </w:r>
            <w:r>
              <w:rPr>
                <w:rFonts w:hint="eastAsia" w:ascii="宋体" w:hAnsi="宋体" w:eastAsia="宋体" w:cs="宋体"/>
                <w:color w:val="auto"/>
                <w:kern w:val="0"/>
                <w:sz w:val="21"/>
                <w:szCs w:val="21"/>
                <w:lang w:bidi="ar"/>
                <w14:ligatures w14:val="none"/>
              </w:rPr>
              <w:t>3</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r>
      <w:tr>
        <w:tblPrEx>
          <w:tblLayout w:type="fixed"/>
          <w:tblCellMar>
            <w:top w:w="0" w:type="dxa"/>
            <w:left w:w="108" w:type="dxa"/>
            <w:bottom w:w="0" w:type="dxa"/>
            <w:right w:w="108" w:type="dxa"/>
          </w:tblCellMar>
        </w:tblPrEx>
        <w:trPr>
          <w:trHeight w:val="397"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kern w:val="0"/>
                <w:sz w:val="21"/>
                <w:szCs w:val="21"/>
                <w:lang w:val="en-US" w:eastAsia="zh-CN" w:bidi="ar"/>
                <w14:ligatures w14:val="none"/>
              </w:rPr>
              <w:t>S</w:t>
            </w:r>
            <w:r>
              <w:rPr>
                <w:rFonts w:hint="eastAsia" w:ascii="宋体" w:hAnsi="宋体" w:eastAsia="宋体" w:cs="宋体"/>
                <w:color w:val="auto"/>
                <w:kern w:val="0"/>
                <w:sz w:val="21"/>
                <w:szCs w:val="21"/>
                <w:lang w:bidi="ar"/>
                <w14:ligatures w14:val="none"/>
              </w:rPr>
              <w:t>4</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r>
      <w:tr>
        <w:tblPrEx>
          <w:tblLayout w:type="fixed"/>
          <w:tblCellMar>
            <w:top w:w="0" w:type="dxa"/>
            <w:left w:w="108" w:type="dxa"/>
            <w:bottom w:w="0" w:type="dxa"/>
            <w:right w:w="108" w:type="dxa"/>
          </w:tblCellMar>
        </w:tblPrEx>
        <w:trPr>
          <w:trHeight w:val="397"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kern w:val="0"/>
                <w:sz w:val="21"/>
                <w:szCs w:val="21"/>
                <w:lang w:val="en-US" w:eastAsia="zh-CN" w:bidi="ar"/>
                <w14:ligatures w14:val="none"/>
              </w:rPr>
              <w:t>S</w:t>
            </w:r>
            <w:r>
              <w:rPr>
                <w:rFonts w:hint="eastAsia" w:ascii="宋体" w:hAnsi="宋体" w:eastAsia="宋体" w:cs="宋体"/>
                <w:color w:val="auto"/>
                <w:kern w:val="0"/>
                <w:sz w:val="21"/>
                <w:szCs w:val="21"/>
                <w:lang w:bidi="ar"/>
                <w14:ligatures w14:val="none"/>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r>
      <w:tr>
        <w:tblPrEx>
          <w:tblLayout w:type="fixed"/>
          <w:tblCellMar>
            <w:top w:w="0" w:type="dxa"/>
            <w:left w:w="108" w:type="dxa"/>
            <w:bottom w:w="0" w:type="dxa"/>
            <w:right w:w="108" w:type="dxa"/>
          </w:tblCellMar>
        </w:tblPrEx>
        <w:trPr>
          <w:trHeight w:val="397" w:hRule="atLeast"/>
          <w:jc w:val="center"/>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kern w:val="0"/>
                <w:sz w:val="21"/>
                <w:szCs w:val="21"/>
                <w:lang w:val="en-US" w:eastAsia="zh-CN" w:bidi="ar"/>
                <w14:ligatures w14:val="none"/>
              </w:rPr>
              <w:t>S</w:t>
            </w:r>
            <w:r>
              <w:rPr>
                <w:rFonts w:hint="eastAsia" w:ascii="宋体" w:hAnsi="宋体" w:eastAsia="宋体" w:cs="宋体"/>
                <w:color w:val="auto"/>
                <w:kern w:val="0"/>
                <w:sz w:val="21"/>
                <w:szCs w:val="21"/>
                <w:lang w:bidi="ar"/>
                <w14:ligatures w14:val="none"/>
              </w:rPr>
              <w:t>6</w:t>
            </w:r>
          </w:p>
        </w:tc>
        <w:tc>
          <w:tcPr>
            <w:tcW w:w="1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7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c>
          <w:tcPr>
            <w:tcW w:w="1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宋体" w:hAnsi="宋体" w:eastAsia="宋体" w:cs="宋体"/>
                <w:color w:val="auto"/>
                <w:sz w:val="21"/>
                <w:szCs w:val="21"/>
                <w14:ligatures w14:val="none"/>
              </w:rPr>
            </w:pPr>
            <w:r>
              <w:rPr>
                <w:rFonts w:hint="eastAsia" w:ascii="宋体" w:hAnsi="宋体" w:cs="宋体"/>
                <w:color w:val="auto"/>
                <w:sz w:val="24"/>
                <w:szCs w:val="24"/>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10"/>
          <w:szCs w:val="10"/>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4"/>
          <w:szCs w:val="24"/>
          <w:lang w:eastAsia="zh-CN"/>
        </w:rPr>
      </w:pPr>
    </w:p>
    <w:p>
      <w:pPr>
        <w:jc w:val="center"/>
        <w:rPr>
          <w:rFonts w:hint="eastAsia" w:ascii="宋体" w:hAnsi="宋体" w:eastAsia="宋体" w:cs="宋体"/>
          <w:b/>
          <w:bCs/>
          <w:color w:val="auto"/>
          <w:sz w:val="21"/>
          <w:szCs w:val="21"/>
          <w:lang w:eastAsia="zh-CN"/>
        </w:rPr>
      </w:pPr>
      <w:r>
        <w:rPr>
          <w:rFonts w:hint="eastAsia" w:ascii="宋体" w:hAnsi="宋体" w:cs="宋体"/>
          <w:b/>
          <w:bCs/>
          <w:color w:val="auto"/>
          <w:sz w:val="21"/>
          <w:szCs w:val="21"/>
          <w:lang w:val="en-US" w:eastAsia="zh-CN"/>
        </w:rPr>
        <w:t>图</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矿区</w:t>
      </w:r>
      <w:r>
        <w:rPr>
          <w:rFonts w:hint="eastAsia" w:ascii="宋体" w:hAnsi="宋体" w:cs="宋体"/>
          <w:b/>
          <w:bCs/>
          <w:color w:val="auto"/>
          <w:sz w:val="21"/>
          <w:szCs w:val="21"/>
          <w:lang w:val="en-US" w:eastAsia="zh-CN"/>
        </w:rPr>
        <w:t>范围示意图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t>矿山及周边其他人类重大工程活动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拟设矿区周边累计有</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个采矿权，</w:t>
      </w:r>
      <w:r>
        <w:rPr>
          <w:rFonts w:hint="eastAsia" w:ascii="宋体" w:hAnsi="宋体" w:cs="宋体"/>
          <w:color w:val="auto"/>
          <w:sz w:val="24"/>
          <w:szCs w:val="24"/>
          <w:lang w:val="en-US" w:eastAsia="zh-CN"/>
        </w:rPr>
        <w:t>3个探矿权，</w:t>
      </w:r>
      <w:r>
        <w:rPr>
          <w:rFonts w:hint="eastAsia" w:ascii="宋体" w:hAnsi="宋体" w:eastAsia="宋体" w:cs="宋体"/>
          <w:color w:val="auto"/>
          <w:sz w:val="24"/>
          <w:szCs w:val="24"/>
        </w:rPr>
        <w:t>分布范围见图1-</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，矿山及周边无重大工程活动。</w:t>
      </w:r>
    </w:p>
    <w:p>
      <w:pPr>
        <w:jc w:val="center"/>
        <w:rPr>
          <w:rFonts w:hint="eastAsia" w:ascii="宋体" w:hAnsi="宋体" w:eastAsia="宋体" w:cs="宋体"/>
          <w:color w:val="auto"/>
        </w:rPr>
      </w:pPr>
    </w:p>
    <w:p>
      <w:pPr>
        <w:jc w:val="center"/>
        <w:rPr>
          <w:rFonts w:hint="eastAsia" w:ascii="宋体" w:hAnsi="宋体" w:eastAsia="宋体" w:cs="宋体"/>
          <w:color w:val="auto"/>
        </w:rPr>
      </w:pPr>
    </w:p>
    <w:p>
      <w:pPr>
        <w:jc w:val="center"/>
        <w:rPr>
          <w:rFonts w:hint="eastAsia" w:ascii="宋体" w:hAnsi="宋体" w:eastAsia="宋体" w:cs="宋体"/>
          <w:color w:val="auto"/>
        </w:rPr>
      </w:pPr>
    </w:p>
    <w:p>
      <w:pPr>
        <w:jc w:val="center"/>
        <w:rPr>
          <w:rFonts w:hint="eastAsia" w:ascii="宋体" w:hAnsi="宋体" w:eastAsia="宋体" w:cs="宋体"/>
          <w:color w:val="auto"/>
        </w:rPr>
      </w:pPr>
    </w:p>
    <w:p>
      <w:pPr>
        <w:jc w:val="center"/>
        <w:rPr>
          <w:rFonts w:hint="eastAsia" w:ascii="宋体" w:hAnsi="宋体" w:eastAsia="宋体" w:cs="宋体"/>
          <w:color w:val="auto"/>
        </w:rPr>
      </w:pPr>
    </w:p>
    <w:p>
      <w:pPr>
        <w:jc w:val="center"/>
        <w:rPr>
          <w:rFonts w:hint="eastAsia" w:ascii="宋体" w:hAnsi="宋体" w:eastAsia="宋体" w:cs="宋体"/>
          <w:color w:val="auto"/>
        </w:rPr>
      </w:pPr>
    </w:p>
    <w:p>
      <w:pPr>
        <w:jc w:val="center"/>
        <w:rPr>
          <w:rFonts w:hint="eastAsia" w:ascii="宋体" w:hAnsi="宋体" w:eastAsia="宋体" w:cs="宋体"/>
          <w:b/>
          <w:bCs/>
          <w:color w:val="auto"/>
          <w:sz w:val="22"/>
          <w:szCs w:val="18"/>
        </w:rPr>
      </w:pPr>
      <w:r>
        <w:rPr>
          <w:rFonts w:hint="eastAsia" w:ascii="宋体" w:hAnsi="宋体" w:eastAsia="宋体" w:cs="宋体"/>
          <w:b/>
          <w:bCs/>
          <w:color w:val="auto"/>
          <w:sz w:val="22"/>
          <w:szCs w:val="18"/>
        </w:rPr>
        <w:t>图1-</w:t>
      </w:r>
      <w:r>
        <w:rPr>
          <w:rFonts w:hint="eastAsia" w:ascii="宋体" w:hAnsi="宋体" w:cs="宋体"/>
          <w:b/>
          <w:bCs/>
          <w:color w:val="auto"/>
          <w:sz w:val="22"/>
          <w:szCs w:val="18"/>
          <w:lang w:val="en-US" w:eastAsia="zh-CN"/>
        </w:rPr>
        <w:t>3</w:t>
      </w:r>
      <w:r>
        <w:rPr>
          <w:rFonts w:hint="eastAsia" w:ascii="宋体" w:hAnsi="宋体" w:eastAsia="宋体" w:cs="宋体"/>
          <w:b/>
          <w:bCs/>
          <w:color w:val="auto"/>
          <w:sz w:val="22"/>
          <w:szCs w:val="18"/>
        </w:rPr>
        <w:t xml:space="preserve">  拟设矿区一带矿权分布示意图</w:t>
      </w:r>
    </w:p>
    <w:p>
      <w:pPr>
        <w:widowControl w:val="0"/>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其中在拟设矿区西侧的为伽师县铜辉矿业有限责任公司新疆伽师县伽师铜矿采矿权范围，拟设矿区</w:t>
      </w:r>
      <w:r>
        <w:rPr>
          <w:rFonts w:hint="eastAsia" w:ascii="宋体" w:hAnsi="宋体" w:cs="宋体"/>
          <w:color w:val="auto"/>
          <w:sz w:val="24"/>
          <w:szCs w:val="24"/>
          <w:lang w:val="en-US" w:eastAsia="zh-CN"/>
        </w:rPr>
        <w:t>东</w:t>
      </w:r>
      <w:r>
        <w:rPr>
          <w:rFonts w:hint="eastAsia" w:ascii="宋体" w:hAnsi="宋体" w:eastAsia="宋体" w:cs="宋体"/>
          <w:color w:val="auto"/>
          <w:sz w:val="24"/>
          <w:szCs w:val="24"/>
        </w:rPr>
        <w:t>侧最近的为新疆伽师县西克尔北东铜矿勘探(一区)</w:t>
      </w:r>
      <w:r>
        <w:rPr>
          <w:rFonts w:hint="eastAsia" w:ascii="宋体" w:hAnsi="宋体" w:cs="宋体"/>
          <w:color w:val="auto"/>
          <w:sz w:val="24"/>
          <w:szCs w:val="24"/>
          <w:lang w:val="en-US" w:eastAsia="zh-CN"/>
        </w:rPr>
        <w:t>探</w:t>
      </w:r>
      <w:r>
        <w:rPr>
          <w:rFonts w:hint="eastAsia" w:ascii="宋体" w:hAnsi="宋体" w:eastAsia="宋体" w:cs="宋体"/>
          <w:color w:val="auto"/>
          <w:sz w:val="24"/>
          <w:szCs w:val="24"/>
        </w:rPr>
        <w:t>矿权范围，拟设矿区不存在矿业权纠纷问题。各矿山详情见下表1-2。</w:t>
      </w:r>
    </w:p>
    <w:p>
      <w:pPr>
        <w:pStyle w:val="460"/>
        <w:spacing w:line="240" w:lineRule="auto"/>
        <w:ind w:firstLine="0" w:firstLineChars="0"/>
        <w:rPr>
          <w:rFonts w:hint="eastAsia" w:ascii="宋体" w:hAnsi="宋体" w:eastAsia="宋体" w:cs="宋体"/>
          <w:color w:val="auto"/>
          <w:sz w:val="22"/>
          <w:szCs w:val="21"/>
        </w:rPr>
      </w:pPr>
      <w:r>
        <w:rPr>
          <w:rFonts w:hint="eastAsia" w:ascii="宋体" w:hAnsi="宋体" w:eastAsia="宋体" w:cs="宋体"/>
          <w:color w:val="auto"/>
          <w:sz w:val="22"/>
          <w:szCs w:val="21"/>
        </w:rPr>
        <w:t>表1-2  拟设矿区周边各采矿权一览表</w:t>
      </w:r>
    </w:p>
    <w:tbl>
      <w:tblPr>
        <w:tblStyle w:val="53"/>
        <w:tblW w:w="890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633"/>
        <w:gridCol w:w="2713"/>
        <w:gridCol w:w="810"/>
        <w:gridCol w:w="810"/>
        <w:gridCol w:w="1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blHeader/>
          <w:jc w:val="center"/>
        </w:trPr>
        <w:tc>
          <w:tcPr>
            <w:tcW w:w="610" w:type="dxa"/>
            <w:vAlign w:val="center"/>
          </w:tcPr>
          <w:p>
            <w:pPr>
              <w:widowControl/>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序号</w:t>
            </w:r>
          </w:p>
        </w:tc>
        <w:tc>
          <w:tcPr>
            <w:tcW w:w="2633" w:type="dxa"/>
            <w:vAlign w:val="center"/>
          </w:tcPr>
          <w:p>
            <w:pPr>
              <w:widowControl/>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编号</w:t>
            </w:r>
          </w:p>
        </w:tc>
        <w:tc>
          <w:tcPr>
            <w:tcW w:w="2713" w:type="dxa"/>
            <w:vAlign w:val="center"/>
          </w:tcPr>
          <w:p>
            <w:pPr>
              <w:widowControl/>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区块名称</w:t>
            </w:r>
          </w:p>
        </w:tc>
        <w:tc>
          <w:tcPr>
            <w:tcW w:w="810" w:type="dxa"/>
            <w:vAlign w:val="center"/>
          </w:tcPr>
          <w:p>
            <w:pPr>
              <w:widowControl/>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矿种</w:t>
            </w:r>
          </w:p>
        </w:tc>
        <w:tc>
          <w:tcPr>
            <w:tcW w:w="810"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面积</w:t>
            </w:r>
          </w:p>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(km</w:t>
            </w:r>
            <w:r>
              <w:rPr>
                <w:rFonts w:hint="eastAsia" w:ascii="宋体" w:hAnsi="宋体" w:eastAsia="宋体" w:cs="宋体"/>
                <w:color w:val="auto"/>
                <w:kern w:val="0"/>
                <w:sz w:val="21"/>
                <w:szCs w:val="21"/>
                <w:vertAlign w:val="superscript"/>
                <w:lang w:bidi="ar"/>
              </w:rPr>
              <w:t>2</w:t>
            </w:r>
            <w:r>
              <w:rPr>
                <w:rFonts w:hint="eastAsia" w:ascii="宋体" w:hAnsi="宋体" w:eastAsia="宋体" w:cs="宋体"/>
                <w:color w:val="auto"/>
                <w:kern w:val="0"/>
                <w:sz w:val="21"/>
                <w:szCs w:val="21"/>
                <w:lang w:bidi="ar"/>
              </w:rPr>
              <w:t>)</w:t>
            </w:r>
          </w:p>
        </w:tc>
        <w:tc>
          <w:tcPr>
            <w:tcW w:w="1331" w:type="dxa"/>
            <w:vAlign w:val="center"/>
          </w:tcPr>
          <w:p>
            <w:pPr>
              <w:widowControl/>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5" w:hRule="atLeast"/>
          <w:jc w:val="center"/>
        </w:trPr>
        <w:tc>
          <w:tcPr>
            <w:tcW w:w="610"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1</w:t>
            </w:r>
          </w:p>
        </w:tc>
        <w:tc>
          <w:tcPr>
            <w:tcW w:w="2633"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C6500002012033120126859</w:t>
            </w:r>
          </w:p>
        </w:tc>
        <w:tc>
          <w:tcPr>
            <w:tcW w:w="2713" w:type="dxa"/>
            <w:vAlign w:val="center"/>
          </w:tcPr>
          <w:p>
            <w:pPr>
              <w:widowControl/>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伽师县铜辉矿业有限责任公司新疆伽师县伽师铜矿</w:t>
            </w:r>
          </w:p>
        </w:tc>
        <w:tc>
          <w:tcPr>
            <w:tcW w:w="810" w:type="dxa"/>
            <w:vAlign w:val="center"/>
          </w:tcPr>
          <w:p>
            <w:pPr>
              <w:widowControl/>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sz w:val="21"/>
                <w:szCs w:val="21"/>
              </w:rPr>
              <w:t>铜矿</w:t>
            </w:r>
          </w:p>
        </w:tc>
        <w:tc>
          <w:tcPr>
            <w:tcW w:w="810" w:type="dxa"/>
            <w:vAlign w:val="center"/>
          </w:tcPr>
          <w:p>
            <w:pPr>
              <w:widowControl/>
              <w:spacing w:line="240" w:lineRule="auto"/>
              <w:ind w:firstLine="0" w:firstLineChars="0"/>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19.37</w:t>
            </w:r>
          </w:p>
        </w:tc>
        <w:tc>
          <w:tcPr>
            <w:tcW w:w="1331"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有效采矿权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9" w:hRule="atLeast"/>
          <w:jc w:val="center"/>
        </w:trPr>
        <w:tc>
          <w:tcPr>
            <w:tcW w:w="610"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2</w:t>
            </w:r>
          </w:p>
        </w:tc>
        <w:tc>
          <w:tcPr>
            <w:tcW w:w="2633"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T6500002010033010039801</w:t>
            </w:r>
          </w:p>
        </w:tc>
        <w:tc>
          <w:tcPr>
            <w:tcW w:w="2713"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新疆伽师县西克尔北东铜矿勘探(一区)</w:t>
            </w:r>
          </w:p>
        </w:tc>
        <w:tc>
          <w:tcPr>
            <w:tcW w:w="810"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铜矿</w:t>
            </w:r>
          </w:p>
        </w:tc>
        <w:tc>
          <w:tcPr>
            <w:tcW w:w="810"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16.96</w:t>
            </w:r>
          </w:p>
        </w:tc>
        <w:tc>
          <w:tcPr>
            <w:tcW w:w="1331"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有效探矿权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610"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3</w:t>
            </w:r>
          </w:p>
        </w:tc>
        <w:tc>
          <w:tcPr>
            <w:tcW w:w="2633"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T65120100202039277</w:t>
            </w:r>
          </w:p>
        </w:tc>
        <w:tc>
          <w:tcPr>
            <w:tcW w:w="2713"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新疆伽师县琼嘎克什套铜多金属矿详查</w:t>
            </w:r>
          </w:p>
        </w:tc>
        <w:tc>
          <w:tcPr>
            <w:tcW w:w="810"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铜矿</w:t>
            </w:r>
          </w:p>
        </w:tc>
        <w:tc>
          <w:tcPr>
            <w:tcW w:w="810"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36.27</w:t>
            </w:r>
          </w:p>
        </w:tc>
        <w:tc>
          <w:tcPr>
            <w:tcW w:w="1331"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有效探矿权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1" w:hRule="atLeast"/>
          <w:jc w:val="center"/>
        </w:trPr>
        <w:tc>
          <w:tcPr>
            <w:tcW w:w="610"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w:t>
            </w:r>
          </w:p>
        </w:tc>
        <w:tc>
          <w:tcPr>
            <w:tcW w:w="2633"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T65420200602055879</w:t>
            </w:r>
          </w:p>
        </w:tc>
        <w:tc>
          <w:tcPr>
            <w:tcW w:w="2713"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新疆伽师县青格力克纳伊铜多金属矿普查</w:t>
            </w:r>
          </w:p>
        </w:tc>
        <w:tc>
          <w:tcPr>
            <w:tcW w:w="810"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铜矿</w:t>
            </w:r>
          </w:p>
        </w:tc>
        <w:tc>
          <w:tcPr>
            <w:tcW w:w="810" w:type="dxa"/>
            <w:vAlign w:val="center"/>
          </w:tcPr>
          <w:p>
            <w:pPr>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3.96</w:t>
            </w:r>
          </w:p>
        </w:tc>
        <w:tc>
          <w:tcPr>
            <w:tcW w:w="1331" w:type="dxa"/>
            <w:vAlign w:val="center"/>
          </w:tcPr>
          <w:p>
            <w:pPr>
              <w:widowControl/>
              <w:spacing w:line="240" w:lineRule="auto"/>
              <w:ind w:firstLine="0" w:firstLineChars="0"/>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有效探矿权</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（三）地质勘查及矿山开采情况</w:t>
      </w:r>
    </w:p>
    <w:p>
      <w:pPr>
        <w:keepNext w:val="0"/>
        <w:keepLines w:val="0"/>
        <w:pageBreakBefore w:val="0"/>
        <w:widowControl w:val="0"/>
        <w:kinsoku/>
        <w:wordWrap/>
        <w:overflowPunct/>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1、以往地质矿产勘查工作程度</w:t>
      </w:r>
    </w:p>
    <w:p>
      <w:pPr>
        <w:keepNext w:val="0"/>
        <w:keepLines w:val="0"/>
        <w:pageBreakBefore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本区工作及其研究程度很低，先后有一些地质队和科研机构在此做过一些基础地质踏勘工作，均为1∶50万比例尺的地质、矿产调查等地质工作。</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1953年，苏联地质保矿部第十三航空地质测量大队对喀什地区进行了1：20万地质调查，编制了喀什地区区域地质图。著有《新疆南天山喀什-阿克苏区1：200000比例尺地质测量与普查工作报告》。</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1960年，新疆地质局、地科院、新疆石油局等编制出版了新疆维吾尔自治区1：200万地质图。</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1966年，新疆石油管理局地调处107/66队在巴楚地区进行了1∶20万石油区域调查工作。确立了工区地层系统，对构造、侵入岩特征也作了初步了解，并提交了《巴楚地区地质概要》。</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1985年，新疆地矿局第二地质大队综合组在南疆西部开展1：50万编图工作包括工区在内。提交的《新疆南疆西部地质图及说明书》首次详细的建立起区域地层层序、构造及岩浆岩演变特征，是本次工作区域地质部分的重要依据。</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1994年，新疆地矿局编制出版了《新疆维吾尔自治区区域地质志》，对本区的地层、沉积岩及沉积作用、岩浆岩及岩浆作用、变质岩及变质作用、地质构造、区域地质发展史等，均作了较为详细的论述，并且出版了1：150万地质图、岩浆岩图、地质构造图等。</w:t>
      </w:r>
    </w:p>
    <w:p>
      <w:pPr>
        <w:pStyle w:val="63"/>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2016-2018年有色金属矿产地质调查中心新疆地质调查所开展了《新疆阿图什市西克尔地区1：5万矿产地质调查》，提交了《西克尔镇幅》、《乌塘库勒幅》、《伽师总场幅》和《硝尔布拉克幅》四幅地质图及图幅说明书。</w:t>
      </w:r>
    </w:p>
    <w:p>
      <w:pPr>
        <w:keepNext w:val="0"/>
        <w:keepLines w:val="0"/>
        <w:pageBreakBefore w:val="0"/>
        <w:widowControl w:val="0"/>
        <w:kinsoku/>
        <w:wordWrap/>
        <w:overflowPunct/>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bookmarkStart w:id="56" w:name="_Toc532760437"/>
      <w:bookmarkStart w:id="57" w:name="_Toc10526"/>
      <w:bookmarkStart w:id="58" w:name="_Toc8967"/>
      <w:bookmarkStart w:id="59" w:name="_Toc26058"/>
      <w:bookmarkStart w:id="60" w:name="_Toc26267"/>
      <w:r>
        <w:rPr>
          <w:rFonts w:hint="eastAsia" w:ascii="宋体" w:hAnsi="宋体" w:eastAsia="宋体" w:cs="宋体"/>
          <w:b/>
          <w:bCs/>
          <w:color w:val="auto"/>
          <w:sz w:val="24"/>
          <w:szCs w:val="24"/>
        </w:rPr>
        <w:t>2、开采现状</w:t>
      </w:r>
    </w:p>
    <w:p>
      <w:pPr>
        <w:pStyle w:val="63"/>
        <w:keepNext w:val="0"/>
        <w:keepLines w:val="0"/>
        <w:pageBreakBefore w:val="0"/>
        <w:widowControl w:val="0"/>
        <w:kinsoku/>
        <w:wordWrap/>
        <w:overflowPunct/>
        <w:autoSpaceDE/>
        <w:autoSpaceDN/>
        <w:bidi w:val="0"/>
        <w:adjustRightInd/>
        <w:snapToGrid/>
        <w:jc w:val="both"/>
        <w:textAlignment w:val="auto"/>
        <w:rPr>
          <w:rFonts w:hint="eastAsia" w:ascii="宋体" w:hAnsi="宋体" w:eastAsia="宋体" w:cs="宋体"/>
          <w:color w:val="auto"/>
        </w:rPr>
      </w:pPr>
      <w:r>
        <w:rPr>
          <w:rFonts w:hint="eastAsia" w:ascii="宋体" w:hAnsi="宋体" w:eastAsia="宋体" w:cs="宋体"/>
          <w:color w:val="auto"/>
          <w:lang w:eastAsia="zh-CN"/>
        </w:rPr>
        <w:t>新疆伽师县西克尔镇4号砖瓦用页岩矿</w:t>
      </w:r>
      <w:r>
        <w:rPr>
          <w:rFonts w:hint="eastAsia" w:ascii="宋体" w:hAnsi="宋体" w:eastAsia="宋体" w:cs="宋体"/>
          <w:color w:val="auto"/>
        </w:rPr>
        <w:t>为拟设采矿权，属拟新建矿山，矿区为原始地貌，未曾开采过。</w:t>
      </w:r>
    </w:p>
    <w:p>
      <w:pPr>
        <w:keepNext w:val="0"/>
        <w:keepLines w:val="0"/>
        <w:pageBreakBefore w:val="0"/>
        <w:widowControl w:val="0"/>
        <w:kinsoku/>
        <w:wordWrap/>
        <w:overflowPunct/>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rPr>
      </w:pPr>
      <w:r>
        <w:rPr>
          <w:rFonts w:hint="eastAsia" w:ascii="宋体" w:hAnsi="宋体" w:cs="宋体"/>
          <w:b/>
          <w:bCs/>
          <w:color w:val="auto"/>
          <w:sz w:val="24"/>
          <w:szCs w:val="24"/>
          <w:lang w:val="en-US" w:eastAsia="zh-CN"/>
        </w:rPr>
        <w:t>3</w:t>
      </w:r>
      <w:r>
        <w:rPr>
          <w:rFonts w:hint="eastAsia" w:ascii="宋体" w:hAnsi="宋体" w:cs="宋体"/>
          <w:b/>
          <w:bCs/>
          <w:color w:val="auto"/>
          <w:sz w:val="24"/>
          <w:szCs w:val="24"/>
          <w:lang w:eastAsia="zh-CN"/>
        </w:rPr>
        <w:t>、</w:t>
      </w:r>
      <w:r>
        <w:rPr>
          <w:rFonts w:hint="eastAsia" w:ascii="宋体" w:hAnsi="宋体" w:eastAsia="宋体" w:cs="宋体"/>
          <w:b/>
          <w:bCs/>
          <w:color w:val="auto"/>
          <w:sz w:val="24"/>
          <w:szCs w:val="24"/>
        </w:rPr>
        <w:t>地质勘查历史及开采现状评述</w:t>
      </w:r>
    </w:p>
    <w:p>
      <w:pPr>
        <w:pStyle w:val="63"/>
        <w:keepNext w:val="0"/>
        <w:keepLines w:val="0"/>
        <w:pageBreakBefore w:val="0"/>
        <w:widowControl w:val="0"/>
        <w:kinsoku/>
        <w:wordWrap/>
        <w:overflowPunct/>
        <w:autoSpaceDE/>
        <w:autoSpaceDN/>
        <w:bidi w:val="0"/>
        <w:adjustRightInd/>
        <w:snapToGrid/>
        <w:jc w:val="both"/>
        <w:textAlignment w:val="auto"/>
        <w:rPr>
          <w:rFonts w:hint="eastAsia" w:ascii="宋体" w:hAnsi="宋体" w:eastAsia="宋体" w:cs="宋体"/>
          <w:color w:val="auto"/>
        </w:rPr>
      </w:pPr>
      <w:r>
        <w:rPr>
          <w:rFonts w:hint="eastAsia" w:ascii="宋体" w:hAnsi="宋体" w:eastAsia="宋体" w:cs="宋体"/>
          <w:color w:val="auto"/>
        </w:rPr>
        <w:t>本次利用的地质资料、工作单位、工作时间与普查报告一致。本次矿山拟设范围与普查报告中描述一致。</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rPr>
      </w:pPr>
      <w:bookmarkStart w:id="61" w:name="_Toc11719"/>
      <w:r>
        <w:rPr>
          <w:rFonts w:hint="eastAsia" w:ascii="宋体" w:hAnsi="宋体" w:eastAsia="宋体" w:cs="宋体"/>
          <w:b/>
          <w:color w:val="auto"/>
          <w:sz w:val="30"/>
          <w:szCs w:val="30"/>
        </w:rPr>
        <w:t>二、</w:t>
      </w:r>
      <w:bookmarkEnd w:id="56"/>
      <w:bookmarkEnd w:id="57"/>
      <w:bookmarkEnd w:id="58"/>
      <w:bookmarkEnd w:id="59"/>
      <w:bookmarkEnd w:id="60"/>
      <w:r>
        <w:rPr>
          <w:rFonts w:hint="eastAsia" w:ascii="宋体" w:hAnsi="宋体" w:eastAsia="宋体" w:cs="宋体"/>
          <w:b/>
          <w:color w:val="auto"/>
          <w:sz w:val="30"/>
          <w:szCs w:val="30"/>
        </w:rPr>
        <w:t>自然地理</w:t>
      </w:r>
      <w:bookmarkEnd w:id="61"/>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（一）气象水文</w:t>
      </w:r>
    </w:p>
    <w:p>
      <w:pPr>
        <w:keepNext w:val="0"/>
        <w:keepLines w:val="0"/>
        <w:pageBreakBefore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伽师县地处内陆腹地，远离海洋，中温带干旱气候区，典型的大陆性荒气候，一年四季多风少雨，气候变化多端。特点：降水稀少，蒸发强烈，气温变幅大，夏季酷热，冬季漫长寒冷，日照时间长，四季分明和多风，霜冻、干旱、冰雹等灾害性天气时有发生伽师县境内多年平均气温平原区略高于低山丘陵区，气温随高程的增大而降低，具有明显的垂直分带性。降水量分布趋势为北部多于南部，山区多于平原区，降水主要集中在夏、冬两季。蒸发量分布趋势为平原区大于山区，蒸发主要集中在4-9月，6-8月最大，1、12月较小，蒸发量随高程的增大而减少。伽师县春季多风最大风速可达12-28m/s左右，多发生在3-9月，多为东北风。</w:t>
      </w:r>
    </w:p>
    <w:p>
      <w:pPr>
        <w:keepNext w:val="0"/>
        <w:keepLines w:val="0"/>
        <w:pageBreakBefore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伽师县气象局1991-2023年气象数据的统计特征值为：历年最高气温：41.5℃；历年最低气温：-25.1℃；历年平均气温：12.6℃；历年平均降水量：74.7mm；一日最大降水量29.4mm（2017年7月31日）历年最大积雪深度：8mm；历年平均蒸发量：2233mm；历年平均低温：16.1℃；历年最大冻土深度：65cm；历年平均无霜期：269天；历年平均风速为：1.5m/s。</w:t>
      </w:r>
    </w:p>
    <w:p>
      <w:pPr>
        <w:keepNext w:val="0"/>
        <w:keepLines w:val="0"/>
        <w:pageBreakBefore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矿</w:t>
      </w:r>
      <w:r>
        <w:rPr>
          <w:rFonts w:hint="eastAsia" w:ascii="宋体" w:hAnsi="宋体" w:eastAsia="宋体" w:cs="宋体"/>
          <w:color w:val="auto"/>
          <w:sz w:val="24"/>
          <w:szCs w:val="24"/>
        </w:rPr>
        <w:t>区及周边气候较干燥，降雨极少，</w:t>
      </w:r>
      <w:r>
        <w:rPr>
          <w:rFonts w:hint="eastAsia" w:ascii="宋体" w:hAnsi="宋体" w:cs="宋体"/>
          <w:color w:val="auto"/>
          <w:sz w:val="24"/>
          <w:szCs w:val="24"/>
          <w:lang w:val="en-US" w:eastAsia="zh-CN"/>
        </w:rPr>
        <w:t>矿</w:t>
      </w:r>
      <w:r>
        <w:rPr>
          <w:rFonts w:hint="eastAsia" w:ascii="宋体" w:hAnsi="宋体" w:eastAsia="宋体" w:cs="宋体"/>
          <w:color w:val="auto"/>
          <w:sz w:val="24"/>
          <w:szCs w:val="24"/>
        </w:rPr>
        <w:t>区附近水系不发育，</w:t>
      </w:r>
      <w:r>
        <w:rPr>
          <w:rFonts w:hint="eastAsia" w:ascii="宋体" w:hAnsi="宋体" w:cs="宋体"/>
          <w:color w:val="auto"/>
          <w:sz w:val="24"/>
          <w:szCs w:val="24"/>
          <w:lang w:val="en-US" w:eastAsia="zh-CN"/>
        </w:rPr>
        <w:t>矿</w:t>
      </w:r>
      <w:r>
        <w:rPr>
          <w:rFonts w:hint="eastAsia" w:ascii="宋体" w:hAnsi="宋体" w:eastAsia="宋体" w:cs="宋体"/>
          <w:color w:val="auto"/>
          <w:sz w:val="24"/>
          <w:szCs w:val="24"/>
        </w:rPr>
        <w:t>区内无常年流水，暂时性流水主要有上游春末冰雪融水或夏秋降雨形成。</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（二）地形地貌</w:t>
      </w:r>
    </w:p>
    <w:p>
      <w:pPr>
        <w:pStyle w:val="63"/>
        <w:rPr>
          <w:rFonts w:hint="eastAsia" w:ascii="宋体" w:hAnsi="宋体" w:eastAsia="宋体" w:cs="宋体"/>
          <w:color w:val="auto"/>
        </w:rPr>
      </w:pPr>
      <w:r>
        <w:rPr>
          <w:rFonts w:hint="eastAsia" w:cs="宋体"/>
          <w:color w:val="auto"/>
          <w:sz w:val="24"/>
          <w:szCs w:val="24"/>
          <w:lang w:val="en-US" w:eastAsia="zh-CN"/>
        </w:rPr>
        <w:t>矿</w:t>
      </w:r>
      <w:r>
        <w:rPr>
          <w:rFonts w:hint="eastAsia" w:ascii="宋体" w:hAnsi="宋体" w:eastAsia="宋体" w:cs="宋体"/>
          <w:color w:val="auto"/>
          <w:sz w:val="24"/>
          <w:szCs w:val="24"/>
        </w:rPr>
        <w:t>区为中低山丘陵地貌，总体地势北高南低，矿区内页岩矿均凸露于地表，</w:t>
      </w:r>
      <w:r>
        <w:rPr>
          <w:rFonts w:hint="eastAsia" w:ascii="宋体" w:hAnsi="宋体" w:cs="宋体"/>
          <w:color w:val="auto"/>
          <w:sz w:val="24"/>
          <w:szCs w:val="24"/>
          <w:lang w:val="en-US" w:eastAsia="zh-CN"/>
        </w:rPr>
        <w:t>矿</w:t>
      </w:r>
      <w:r>
        <w:rPr>
          <w:rFonts w:hint="eastAsia" w:ascii="宋体" w:hAnsi="宋体" w:eastAsia="宋体" w:cs="宋体"/>
          <w:color w:val="auto"/>
          <w:sz w:val="24"/>
          <w:szCs w:val="24"/>
        </w:rPr>
        <w:t>区总体上基岩裸露良好，无植被覆盖。</w:t>
      </w:r>
      <w:r>
        <w:rPr>
          <w:rFonts w:hint="eastAsia" w:ascii="宋体" w:hAnsi="宋体" w:eastAsia="宋体" w:cs="宋体"/>
          <w:color w:val="auto"/>
        </w:rPr>
        <w:t>矿权范围内最高海拔为</w:t>
      </w:r>
      <w:r>
        <w:rPr>
          <w:rFonts w:hint="eastAsia" w:ascii="宋体" w:hAnsi="宋体" w:cs="宋体"/>
          <w:color w:val="auto"/>
          <w:sz w:val="24"/>
          <w:szCs w:val="24"/>
          <w:lang w:val="en-US" w:eastAsia="zh-CN"/>
        </w:rPr>
        <w:t>****</w:t>
      </w:r>
      <w:r>
        <w:rPr>
          <w:rFonts w:hint="eastAsia" w:ascii="宋体" w:hAnsi="宋体" w:eastAsia="宋体" w:cs="宋体"/>
          <w:color w:val="auto"/>
        </w:rPr>
        <w:t>米，最低海拔为</w:t>
      </w:r>
      <w:r>
        <w:rPr>
          <w:rFonts w:hint="eastAsia" w:ascii="宋体" w:hAnsi="宋体" w:cs="宋体"/>
          <w:color w:val="auto"/>
          <w:sz w:val="24"/>
          <w:szCs w:val="24"/>
          <w:lang w:val="en-US" w:eastAsia="zh-CN"/>
        </w:rPr>
        <w:t>****</w:t>
      </w:r>
      <w:r>
        <w:rPr>
          <w:rFonts w:hint="eastAsia" w:ascii="宋体" w:hAnsi="宋体" w:eastAsia="宋体" w:cs="宋体"/>
          <w:color w:val="auto"/>
        </w:rPr>
        <w:t>米，比高</w:t>
      </w:r>
      <w:r>
        <w:rPr>
          <w:rFonts w:hint="eastAsia" w:ascii="宋体" w:hAnsi="宋体" w:cs="宋体"/>
          <w:color w:val="auto"/>
          <w:sz w:val="24"/>
          <w:szCs w:val="24"/>
          <w:lang w:val="en-US" w:eastAsia="zh-CN"/>
        </w:rPr>
        <w:t>****</w:t>
      </w:r>
      <w:r>
        <w:rPr>
          <w:rFonts w:hint="eastAsia" w:ascii="宋体" w:hAnsi="宋体" w:eastAsia="宋体" w:cs="宋体"/>
          <w:color w:val="auto"/>
        </w:rPr>
        <w:t>米，地形起伏较大。总体上，矿区及周边地区地貌类型单一，地形条件中等。</w:t>
      </w:r>
    </w:p>
    <w:p>
      <w:pPr>
        <w:jc w:val="center"/>
        <w:rPr>
          <w:rFonts w:hint="eastAsia" w:ascii="宋体" w:hAnsi="宋体" w:eastAsia="宋体" w:cs="宋体"/>
          <w:color w:val="auto"/>
          <w:spacing w:val="2"/>
          <w:lang w:eastAsia="zh-CN"/>
        </w:rPr>
      </w:pPr>
    </w:p>
    <w:p>
      <w:pPr>
        <w:pStyle w:val="460"/>
        <w:spacing w:line="240" w:lineRule="auto"/>
        <w:ind w:firstLine="0" w:firstLineChars="0"/>
        <w:rPr>
          <w:rFonts w:hint="eastAsia" w:ascii="宋体" w:hAnsi="宋体" w:eastAsia="宋体" w:cs="宋体"/>
          <w:color w:val="auto"/>
          <w:sz w:val="22"/>
          <w:szCs w:val="21"/>
          <w:highlight w:val="none"/>
        </w:rPr>
      </w:pPr>
      <w:r>
        <w:rPr>
          <w:rFonts w:hint="eastAsia" w:ascii="宋体" w:hAnsi="宋体" w:cs="宋体"/>
          <w:color w:val="auto"/>
          <w:sz w:val="22"/>
          <w:szCs w:val="21"/>
          <w:highlight w:val="none"/>
          <w:lang w:val="en-US" w:eastAsia="zh-CN"/>
        </w:rPr>
        <w:t>照片</w:t>
      </w:r>
      <w:r>
        <w:rPr>
          <w:rFonts w:hint="eastAsia" w:ascii="宋体" w:hAnsi="宋体" w:eastAsia="宋体" w:cs="宋体"/>
          <w:color w:val="auto"/>
          <w:sz w:val="22"/>
          <w:szCs w:val="21"/>
          <w:highlight w:val="none"/>
        </w:rPr>
        <w:t>1-</w:t>
      </w:r>
      <w:r>
        <w:rPr>
          <w:rFonts w:hint="eastAsia" w:ascii="宋体" w:hAnsi="宋体" w:cs="宋体"/>
          <w:color w:val="auto"/>
          <w:sz w:val="22"/>
          <w:szCs w:val="21"/>
          <w:highlight w:val="none"/>
          <w:lang w:val="en-US" w:eastAsia="zh-CN"/>
        </w:rPr>
        <w:t>1</w:t>
      </w:r>
      <w:r>
        <w:rPr>
          <w:rFonts w:hint="eastAsia" w:ascii="宋体" w:hAnsi="宋体" w:eastAsia="宋体" w:cs="宋体"/>
          <w:color w:val="auto"/>
          <w:sz w:val="22"/>
          <w:szCs w:val="21"/>
          <w:highlight w:val="none"/>
        </w:rPr>
        <w:t xml:space="preserve">  </w:t>
      </w:r>
      <w:r>
        <w:rPr>
          <w:rFonts w:hint="eastAsia" w:ascii="宋体" w:hAnsi="宋体" w:cs="宋体"/>
          <w:color w:val="auto"/>
          <w:sz w:val="22"/>
          <w:szCs w:val="21"/>
          <w:highlight w:val="none"/>
          <w:lang w:val="en-US" w:eastAsia="zh-CN"/>
        </w:rPr>
        <w:t xml:space="preserve">  </w:t>
      </w:r>
      <w:r>
        <w:rPr>
          <w:rFonts w:hint="eastAsia" w:ascii="宋体" w:hAnsi="宋体" w:eastAsia="宋体" w:cs="宋体"/>
          <w:color w:val="auto"/>
          <w:sz w:val="22"/>
          <w:szCs w:val="21"/>
          <w:highlight w:val="none"/>
        </w:rPr>
        <w:t>矿区地形地貌概况图</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（三）植被土壤</w:t>
      </w:r>
    </w:p>
    <w:p>
      <w:pPr>
        <w:widowControl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矿区地表无植被，据现场调查，矿区一带未见到野生动物在此活动，矿区内无其它名胜古迹、地质遗迹、地质公园及风景旅游景点。</w:t>
      </w:r>
    </w:p>
    <w:p>
      <w:pPr>
        <w:jc w:val="center"/>
        <w:rPr>
          <w:rFonts w:hint="eastAsia" w:ascii="宋体" w:hAnsi="宋体" w:eastAsia="宋体" w:cs="宋体"/>
          <w:color w:val="auto"/>
          <w:lang w:eastAsia="zh-CN"/>
        </w:rPr>
      </w:pPr>
    </w:p>
    <w:p>
      <w:pPr>
        <w:jc w:val="center"/>
        <w:rPr>
          <w:rFonts w:hint="eastAsia" w:ascii="宋体" w:hAnsi="宋体" w:eastAsia="宋体" w:cs="宋体"/>
          <w:b/>
          <w:bCs/>
          <w:color w:val="auto"/>
          <w:sz w:val="22"/>
          <w:szCs w:val="18"/>
          <w:highlight w:val="none"/>
        </w:rPr>
      </w:pPr>
      <w:r>
        <w:rPr>
          <w:rFonts w:hint="eastAsia" w:ascii="宋体" w:hAnsi="宋体" w:cs="宋体"/>
          <w:b/>
          <w:bCs/>
          <w:color w:val="auto"/>
          <w:sz w:val="22"/>
          <w:szCs w:val="18"/>
          <w:highlight w:val="none"/>
          <w:lang w:val="en-US" w:eastAsia="zh-CN"/>
        </w:rPr>
        <w:t>照片</w:t>
      </w:r>
      <w:r>
        <w:rPr>
          <w:rFonts w:hint="eastAsia" w:ascii="宋体" w:hAnsi="宋体" w:eastAsia="宋体" w:cs="宋体"/>
          <w:b/>
          <w:bCs/>
          <w:color w:val="auto"/>
          <w:sz w:val="22"/>
          <w:szCs w:val="18"/>
          <w:highlight w:val="none"/>
        </w:rPr>
        <w:t>1-</w:t>
      </w:r>
      <w:r>
        <w:rPr>
          <w:rFonts w:hint="eastAsia" w:ascii="宋体" w:hAnsi="宋体" w:cs="宋体"/>
          <w:b/>
          <w:bCs/>
          <w:color w:val="auto"/>
          <w:sz w:val="22"/>
          <w:szCs w:val="18"/>
          <w:highlight w:val="none"/>
          <w:lang w:val="en-US" w:eastAsia="zh-CN"/>
        </w:rPr>
        <w:t>2</w:t>
      </w:r>
      <w:r>
        <w:rPr>
          <w:rFonts w:hint="eastAsia" w:ascii="宋体" w:hAnsi="宋体" w:eastAsia="宋体" w:cs="宋体"/>
          <w:b/>
          <w:bCs/>
          <w:color w:val="auto"/>
          <w:sz w:val="22"/>
          <w:szCs w:val="18"/>
          <w:highlight w:val="none"/>
        </w:rPr>
        <w:t xml:space="preserve">   矿区植被、土壤照片</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rPr>
      </w:pPr>
      <w:bookmarkStart w:id="62" w:name="_Toc26284"/>
      <w:bookmarkStart w:id="63" w:name="_Toc532760438"/>
      <w:bookmarkStart w:id="64" w:name="_Toc5091"/>
      <w:bookmarkStart w:id="65" w:name="_Toc11540"/>
      <w:bookmarkStart w:id="66" w:name="_Toc13057"/>
      <w:bookmarkStart w:id="67" w:name="_Toc6790"/>
      <w:bookmarkStart w:id="68" w:name="_Toc18389"/>
      <w:bookmarkStart w:id="69" w:name="_Toc3279"/>
      <w:r>
        <w:rPr>
          <w:rFonts w:hint="eastAsia" w:ascii="宋体" w:hAnsi="宋体" w:eastAsia="宋体" w:cs="宋体"/>
          <w:b/>
          <w:color w:val="auto"/>
          <w:sz w:val="30"/>
          <w:szCs w:val="30"/>
        </w:rPr>
        <w:t>三、</w:t>
      </w:r>
      <w:bookmarkEnd w:id="62"/>
      <w:bookmarkEnd w:id="63"/>
      <w:bookmarkEnd w:id="64"/>
      <w:bookmarkEnd w:id="65"/>
      <w:bookmarkEnd w:id="66"/>
      <w:r>
        <w:rPr>
          <w:rFonts w:hint="eastAsia" w:ascii="宋体" w:hAnsi="宋体" w:eastAsia="宋体" w:cs="宋体"/>
          <w:b/>
          <w:color w:val="auto"/>
          <w:sz w:val="30"/>
          <w:szCs w:val="30"/>
        </w:rPr>
        <w:t>矿区地质概况</w:t>
      </w:r>
      <w:bookmarkEnd w:id="67"/>
    </w:p>
    <w:bookmarkEnd w:id="68"/>
    <w:bookmarkEnd w:id="69"/>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（一）地层岩性</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矿</w:t>
      </w:r>
      <w:r>
        <w:rPr>
          <w:rFonts w:hint="eastAsia" w:ascii="宋体" w:hAnsi="宋体" w:eastAsia="宋体" w:cs="宋体"/>
          <w:color w:val="auto"/>
          <w:sz w:val="24"/>
          <w:szCs w:val="24"/>
        </w:rPr>
        <w:t>区内及周边出露地层为泥盆系沙拉依姆群依木干他乌组(D</w:t>
      </w:r>
      <w:r>
        <w:rPr>
          <w:rFonts w:hint="eastAsia" w:ascii="宋体" w:hAnsi="宋体" w:eastAsia="宋体" w:cs="宋体"/>
          <w:i/>
          <w:iCs/>
          <w:color w:val="auto"/>
          <w:sz w:val="24"/>
          <w:szCs w:val="24"/>
        </w:rPr>
        <w:t>y</w:t>
      </w:r>
      <w:r>
        <w:rPr>
          <w:rFonts w:hint="eastAsia" w:ascii="宋体" w:hAnsi="宋体" w:eastAsia="宋体" w:cs="宋体"/>
          <w:color w:val="auto"/>
          <w:sz w:val="24"/>
          <w:szCs w:val="24"/>
        </w:rPr>
        <w:t>)浅灰色-灰白色砂质泥页岩夹粉砂质页岩</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为赋矿地层</w:t>
      </w:r>
      <w:r>
        <w:rPr>
          <w:rFonts w:hint="eastAsia" w:ascii="宋体" w:hAnsi="宋体" w:cs="宋体"/>
          <w:color w:val="auto"/>
          <w:sz w:val="24"/>
          <w:szCs w:val="24"/>
          <w:lang w:eastAsia="zh-CN"/>
        </w:rPr>
        <w:t>；</w:t>
      </w:r>
      <w:r>
        <w:rPr>
          <w:rFonts w:hint="eastAsia" w:ascii="宋体" w:hAnsi="宋体" w:eastAsia="宋体" w:cs="宋体"/>
          <w:color w:val="auto"/>
          <w:sz w:val="24"/>
          <w:szCs w:val="24"/>
        </w:rPr>
        <w:t>泥盆系沙拉依姆群克孜尔塔格组第一段(D</w:t>
      </w:r>
      <w:r>
        <w:rPr>
          <w:rFonts w:hint="eastAsia" w:ascii="宋体" w:hAnsi="宋体" w:eastAsia="宋体" w:cs="宋体"/>
          <w:i/>
          <w:iCs/>
          <w:color w:val="auto"/>
          <w:sz w:val="24"/>
          <w:szCs w:val="24"/>
        </w:rPr>
        <w:t>k</w:t>
      </w:r>
      <w:r>
        <w:rPr>
          <w:rFonts w:hint="eastAsia" w:ascii="宋体" w:hAnsi="宋体" w:eastAsia="宋体" w:cs="宋体"/>
          <w:color w:val="auto"/>
          <w:sz w:val="24"/>
          <w:szCs w:val="24"/>
          <w:vertAlign w:val="superscript"/>
        </w:rPr>
        <w:t>1</w:t>
      </w:r>
      <w:r>
        <w:rPr>
          <w:rFonts w:hint="eastAsia" w:ascii="宋体" w:hAnsi="宋体" w:eastAsia="宋体" w:cs="宋体"/>
          <w:color w:val="auto"/>
          <w:sz w:val="24"/>
          <w:szCs w:val="24"/>
        </w:rPr>
        <w:t>)砖红色粉砂质页岩夹灰白色细砂质粉砂岩</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为赋矿地层</w:t>
      </w:r>
      <w:r>
        <w:rPr>
          <w:rFonts w:hint="eastAsia" w:ascii="宋体" w:hAnsi="宋体" w:cs="宋体"/>
          <w:color w:val="auto"/>
          <w:sz w:val="24"/>
          <w:szCs w:val="24"/>
          <w:lang w:eastAsia="zh-CN"/>
        </w:rPr>
        <w:t>；</w:t>
      </w:r>
      <w:r>
        <w:rPr>
          <w:rFonts w:hint="eastAsia" w:ascii="宋体" w:hAnsi="宋体" w:eastAsia="宋体" w:cs="宋体"/>
          <w:color w:val="auto"/>
          <w:sz w:val="24"/>
          <w:szCs w:val="24"/>
        </w:rPr>
        <w:t>克孜尔塔格组第二段(D</w:t>
      </w:r>
      <w:r>
        <w:rPr>
          <w:rFonts w:hint="eastAsia" w:ascii="宋体" w:hAnsi="宋体" w:eastAsia="宋体" w:cs="宋体"/>
          <w:i/>
          <w:iCs/>
          <w:color w:val="auto"/>
          <w:sz w:val="24"/>
          <w:szCs w:val="24"/>
        </w:rPr>
        <w:t>k</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)浅灰色岩屑石英砂岩</w:t>
      </w:r>
      <w:r>
        <w:rPr>
          <w:rFonts w:hint="eastAsia" w:ascii="宋体" w:hAnsi="宋体" w:cs="宋体"/>
          <w:color w:val="auto"/>
          <w:sz w:val="24"/>
          <w:szCs w:val="24"/>
          <w:lang w:eastAsia="zh-CN"/>
        </w:rPr>
        <w:t>；</w:t>
      </w:r>
      <w:r>
        <w:rPr>
          <w:rFonts w:hint="eastAsia" w:ascii="宋体" w:hAnsi="宋体" w:eastAsia="宋体" w:cs="宋体"/>
          <w:color w:val="auto"/>
          <w:sz w:val="24"/>
          <w:szCs w:val="24"/>
        </w:rPr>
        <w:t>克孜尔塔格组第三段(D</w:t>
      </w:r>
      <w:r>
        <w:rPr>
          <w:rFonts w:hint="eastAsia" w:ascii="宋体" w:hAnsi="宋体" w:eastAsia="宋体" w:cs="宋体"/>
          <w:i/>
          <w:iCs/>
          <w:color w:val="auto"/>
          <w:sz w:val="24"/>
          <w:szCs w:val="24"/>
        </w:rPr>
        <w:t>k</w:t>
      </w:r>
      <w:r>
        <w:rPr>
          <w:rFonts w:hint="eastAsia" w:ascii="宋体" w:hAnsi="宋体" w:eastAsia="宋体" w:cs="宋体"/>
          <w:color w:val="auto"/>
          <w:sz w:val="24"/>
          <w:szCs w:val="24"/>
          <w:vertAlign w:val="superscript"/>
        </w:rPr>
        <w:t>3</w:t>
      </w:r>
      <w:r>
        <w:rPr>
          <w:rFonts w:hint="eastAsia" w:ascii="宋体" w:hAnsi="宋体" w:eastAsia="宋体" w:cs="宋体"/>
          <w:color w:val="auto"/>
          <w:sz w:val="24"/>
          <w:szCs w:val="24"/>
        </w:rPr>
        <w:t>)砖红色粉砂质页岩夹灰绿色-浅灰色细砂质粉砂岩</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为赋矿地层。</w:t>
      </w:r>
      <w:r>
        <w:rPr>
          <w:rFonts w:hint="eastAsia" w:ascii="宋体" w:hAnsi="宋体" w:eastAsia="宋体" w:cs="宋体"/>
          <w:color w:val="auto"/>
          <w:sz w:val="24"/>
          <w:szCs w:val="24"/>
        </w:rPr>
        <w:t>地层整体产状345°-0°∠40-70°，为陡倾斜薄层状单斜地层。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1、砂质泥页岩</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由砂质碎屑和粘土矿物组成的陆源沉积岩。岩石具层状构造，层理清晰，延伸稳定，平直，层厚＞0.18mm，属于微层，局部层颜色较浅，含砂质较多，具页理构造。长石含量约5%，次棱角状，0.02～0.08mm，具泥化，微定向，少量为细砂质；石英含量约30%，次棱角状，0.01～0.15mm，碎屑间含绿泥石、绿帘石，板状不透明矿物；粘土矿物含量约55%，隐晶质～显微鳞片状，含铁质，微定向分布；不透明矿物含量约5%，显微～自形粒状，片板状，0.01～0.28mm，在砂岩层中结晶较粗，呈片状、板状；岩屑含量约5%，次棱角状，0.02～0.10mm，少量为细砂质，成分多为云母、长英质集合体，微定向分布；磷灰石含量较少，次棱角状，0.01～0.06m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2、粉砂质页岩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为砖红色铁泥质粉砂质页岩。主要由粉砂质碎屑组成的陆源沉积岩。岩石具层状构造，层理较清晰，延伸较稳定，较平直，层厚＞0.16mm，属于微层，局部层颜色较暗，含不透明矿物较多，具页理构造。长石含量约5%，呈次棱角状，0.02～0.08㎜，具泥化，微定向，少量为细砂质；石英含量约41%，呈次棱角状，0.01～0.20㎜，少量为细砂质，微定向分布；岩屑含量约20%，呈次棱角状，0.02～0.10㎜，少量为细砂质，成分多为云母、长英质集合体，微定向分布；铁泥质含量约30%，隐晶质，均匀分布于碎屑间；不透明矿物含量约4%，呈次棱角状，0.01～0.10㎜，具褐铁矿化；电气石含量较少，呈次棱角状，0.01～0.10㎜，具浅黄-绿色多色性，含包裹体。岩石呈基底～孔隙式胶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3、岩屑石英砂岩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由细砂质碎屑组成的陆源沉积岩。长石含量约7%，次棱角状～次圆状，0.06～0.26㎜，具泥化，微定向；石英含量约68%，次棱角状～次圆状，0.06～0.26㎜，偶见次生加大边，微定向分布；岩屑含量约12%，次棱角状～次圆状，0.02～0.25㎜，成分多为云母、长英质、泥质集合体，含铁质，微定向分布；铁泥质含量约6%，隐晶质，均匀分布于碎屑间；方解石含量约4%，显微～他形粒状，0.01～0.14㎜，团块状分布，偶见解理、双晶，边部含铁泥质；不透明矿物含量约3%，次棱角状，0.01～0.10㎜，具褐铁矿化；电气石含量较少，次棱角状，0.01～0.11㎜，具浅黄-绿色多色性，含包裹体。岩石呈接触式胶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4、细砂质粉砂岩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由细砂质、粉砂质碎屑组成的陆源沉积岩。长石含量约5%，次棱角状，0.02～0.20㎜，具泥化，微定向，部分为细砂质；石英含量约52%，次棱角状，0.01～0.20㎜，部分为细砂质，微定向分布；岩屑含量约20%，次棱角状，0.02～0.18㎜，部分为细砂质，成分多为云母、长英质集合体，微定向分布；铁泥质含量约20%，隐晶质，均匀分布于碎屑间；不透明矿物含量约3%，次棱角状，0.01～0.10㎜，具褐铁矿化；磷灰石含量较少，次棱角状，0.01～0.10㎜。岩石呈孔隙式胶结。</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（二）地质构造</w:t>
      </w:r>
    </w:p>
    <w:p>
      <w:pPr>
        <w:spacing w:line="360" w:lineRule="auto"/>
        <w:ind w:firstLine="480"/>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矿区内构造简单，未见断层和褶皱。</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（三）水文地质</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bookmarkStart w:id="70" w:name="_Hlk173935257"/>
      <w:r>
        <w:rPr>
          <w:rFonts w:hint="eastAsia" w:ascii="宋体" w:hAnsi="宋体" w:eastAsia="宋体" w:cs="宋体"/>
          <w:b/>
          <w:bCs/>
          <w:color w:val="auto"/>
          <w:sz w:val="24"/>
          <w:szCs w:val="24"/>
          <w:lang w:val="en-US" w:eastAsia="zh-CN"/>
        </w:rPr>
        <w:t>1、矿</w:t>
      </w:r>
      <w:r>
        <w:rPr>
          <w:rFonts w:hint="eastAsia" w:ascii="宋体" w:hAnsi="宋体" w:eastAsia="宋体" w:cs="宋体"/>
          <w:b/>
          <w:bCs/>
          <w:color w:val="auto"/>
          <w:sz w:val="24"/>
          <w:szCs w:val="24"/>
        </w:rPr>
        <w:t>区水文地质条件</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矿</w:t>
      </w:r>
      <w:r>
        <w:rPr>
          <w:rFonts w:hint="eastAsia" w:ascii="宋体" w:hAnsi="宋体" w:eastAsia="宋体" w:cs="宋体"/>
          <w:color w:val="auto"/>
          <w:sz w:val="24"/>
          <w:szCs w:val="24"/>
        </w:rPr>
        <w:t>区水文地质单元的位置</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为中低山丘陵地貌，山间沟谷较发育，区域上构成一个完整水文地质单元。该水文地质单元东西两侧以两条沟谷为界，南侧周界为山脊，北侧周界为山峰，该区地下水接受大气降水和冰雪融水的补给，由北向南径流，向相邻水文地质单位侧向径流补给。</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位于水文地质单元径流区的中下游。</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侵蚀基准面</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海拔标高为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米之间，矿区周边最低侵蚀基准面为西克尔水库，海拔标高约为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米，是矿区及附近地表水流和地下水的汇水中心，最终以侧向径流的方式向西克尔水库排泄。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资源量计算标高为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米，高于</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侵蚀基准面，有利于采矿场矿坑涌水的自然排泄。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水文地质岩组的划分</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依照</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地层岩性的不同，将</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含水岩组划分为2类：</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1)松散坡积物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分布于</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中间和南侧坡脚，岩性为地表岩石全风化后的坡积物，主要由碎块(40%)、粉土(60%)组成，赋水介质为松散堆积物间的孔隙，孔隙度小，总体透水性好。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2)粉砂质页岩夹粉砂岩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大面积分布于</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北部及中偏南侧，呈条带状，主要为砖红色铁泥质粉砂质页岩，优势结构面主要有2组，第1组结构面为层面，产状一般为345-0°∠55-70°，发育频率一般2-5 条/m，第2组结构面为节理裂隙，产状一般为230-265°/45-65°，发育频率一般3-16 条/m。地下水主要赋存和流通的介质，总体而言透水性弱。</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含水层</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内地下水主要为基岩裂隙水，地下水类型为潜水，含水岩组为风化粉砂质页岩、粉砂岩，赋水介质为构造裂隙和层面。</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透水层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内本次施工1个钻孔ZK001，根据孔内简易水文观测，终孔后48小时，钻孔内水位持续下降，最终为干孔，本次钻孔揭露最低标高为1187m，设计准采最底标高为1190m，故本矿山开采深度以上为透水不含水层。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地下水与地表水及各含水层间的水力联系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1)地下水与地表水之间的水力联系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内冲沟仅在暴雨、融雪特殊时期，会形成暂时性小型溪流，溪沟水对地下水的补给量极小，基本不会对矿体开采造成不良影响。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2)各含水层之间的水力联系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面积小，仅为0.3729km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，区内含水层单一，为基岩裂隙水。在区域尺度上，接受相邻含水层的侧向补给，并向相邻含水层侧向排泄。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地下水的补给、径流和排泄条件</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地下水主要受大气降水(雪)和相邻地下水含水层的侧向径流补给。由北向南径流，主要以侧向径流的方式向相邻含水层排泄。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地表水化学特征</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外地表水（位于西克尔水库中)pH平均值为7.65，矿化度1351mg/L，阴离子以 SO</w:t>
      </w:r>
      <w:r>
        <w:rPr>
          <w:rFonts w:hint="eastAsia" w:ascii="宋体" w:hAnsi="宋体" w:eastAsia="宋体" w:cs="宋体"/>
          <w:color w:val="auto"/>
          <w:sz w:val="24"/>
          <w:szCs w:val="24"/>
          <w:vertAlign w:val="subscript"/>
        </w:rPr>
        <w:t>4</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、HCO</w:t>
      </w:r>
      <w:r>
        <w:rPr>
          <w:rFonts w:hint="eastAsia" w:ascii="宋体" w:hAnsi="宋体" w:eastAsia="宋体" w:cs="宋体"/>
          <w:color w:val="auto"/>
          <w:sz w:val="24"/>
          <w:szCs w:val="24"/>
          <w:vertAlign w:val="subscript"/>
        </w:rPr>
        <w:t>3</w:t>
      </w:r>
      <w:r>
        <w:rPr>
          <w:rFonts w:hint="eastAsia" w:ascii="宋体" w:hAnsi="宋体" w:eastAsia="宋体" w:cs="宋体"/>
          <w:color w:val="auto"/>
          <w:sz w:val="24"/>
          <w:szCs w:val="24"/>
          <w:vertAlign w:val="superscript"/>
        </w:rPr>
        <w:t>-</w:t>
      </w:r>
      <w:r>
        <w:rPr>
          <w:rFonts w:hint="eastAsia" w:ascii="宋体" w:hAnsi="宋体" w:eastAsia="宋体" w:cs="宋体"/>
          <w:color w:val="auto"/>
          <w:sz w:val="24"/>
          <w:szCs w:val="24"/>
        </w:rPr>
        <w:t>为主，其中SO</w:t>
      </w:r>
      <w:r>
        <w:rPr>
          <w:rFonts w:hint="eastAsia" w:ascii="宋体" w:hAnsi="宋体" w:eastAsia="宋体" w:cs="宋体"/>
          <w:color w:val="auto"/>
          <w:sz w:val="24"/>
          <w:szCs w:val="24"/>
          <w:vertAlign w:val="subscript"/>
        </w:rPr>
        <w:t>4</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浓度值为 584mg/L，HCO</w:t>
      </w:r>
      <w:r>
        <w:rPr>
          <w:rFonts w:hint="eastAsia" w:ascii="宋体" w:hAnsi="宋体" w:eastAsia="宋体" w:cs="宋体"/>
          <w:color w:val="auto"/>
          <w:sz w:val="24"/>
          <w:szCs w:val="24"/>
          <w:vertAlign w:val="subscript"/>
        </w:rPr>
        <w:t>3</w:t>
      </w:r>
      <w:r>
        <w:rPr>
          <w:rFonts w:hint="eastAsia" w:ascii="宋体" w:hAnsi="宋体" w:eastAsia="宋体" w:cs="宋体"/>
          <w:color w:val="auto"/>
          <w:sz w:val="24"/>
          <w:szCs w:val="24"/>
          <w:vertAlign w:val="superscript"/>
        </w:rPr>
        <w:t>-</w:t>
      </w:r>
      <w:r>
        <w:rPr>
          <w:rFonts w:hint="eastAsia" w:ascii="宋体" w:hAnsi="宋体" w:eastAsia="宋体" w:cs="宋体"/>
          <w:color w:val="auto"/>
          <w:sz w:val="24"/>
          <w:szCs w:val="24"/>
        </w:rPr>
        <w:t>浓度值为108.96mg/L，阳离子以Ca</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、Na</w:t>
      </w:r>
      <w:r>
        <w:rPr>
          <w:rFonts w:hint="eastAsia" w:ascii="宋体" w:hAnsi="宋体" w:eastAsia="宋体" w:cs="宋体"/>
          <w:color w:val="auto"/>
          <w:sz w:val="24"/>
          <w:szCs w:val="24"/>
          <w:vertAlign w:val="superscript"/>
        </w:rPr>
        <w:t>+</w:t>
      </w:r>
      <w:r>
        <w:rPr>
          <w:rFonts w:hint="eastAsia" w:ascii="宋体" w:hAnsi="宋体" w:eastAsia="宋体" w:cs="宋体"/>
          <w:color w:val="auto"/>
          <w:sz w:val="24"/>
          <w:szCs w:val="24"/>
        </w:rPr>
        <w:t>为主，其中Ca</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浓度值为225.45mg/L，Na+浓度平均值为82.3mg/L，水化学类型为 SO</w:t>
      </w:r>
      <w:r>
        <w:rPr>
          <w:rFonts w:hint="eastAsia" w:ascii="宋体" w:hAnsi="宋体" w:eastAsia="宋体" w:cs="宋体"/>
          <w:color w:val="auto"/>
          <w:sz w:val="24"/>
          <w:szCs w:val="24"/>
          <w:vertAlign w:val="subscript"/>
        </w:rPr>
        <w:t>4</w:t>
      </w:r>
      <w:r>
        <w:rPr>
          <w:rFonts w:hint="eastAsia" w:ascii="宋体" w:hAnsi="宋体" w:eastAsia="宋体" w:cs="宋体"/>
          <w:color w:val="auto"/>
          <w:sz w:val="24"/>
          <w:szCs w:val="24"/>
        </w:rPr>
        <w:t>·HCO</w:t>
      </w:r>
      <w:r>
        <w:rPr>
          <w:rFonts w:hint="eastAsia" w:ascii="宋体" w:hAnsi="宋体" w:eastAsia="宋体" w:cs="宋体"/>
          <w:color w:val="auto"/>
          <w:sz w:val="24"/>
          <w:szCs w:val="24"/>
          <w:vertAlign w:val="subscript"/>
        </w:rPr>
        <w:t>3</w:t>
      </w:r>
      <w:r>
        <w:rPr>
          <w:rFonts w:hint="eastAsia" w:ascii="宋体" w:hAnsi="宋体" w:eastAsia="宋体" w:cs="宋体"/>
          <w:color w:val="auto"/>
          <w:sz w:val="24"/>
          <w:szCs w:val="24"/>
        </w:rPr>
        <w:t>-Ca·Na型</w:t>
      </w:r>
      <w:r>
        <w:rPr>
          <w:rFonts w:hint="eastAsia" w:ascii="宋体" w:hAnsi="宋体" w:eastAsia="宋体" w:cs="宋体"/>
          <w:color w:val="auto"/>
          <w:sz w:val="24"/>
          <w:szCs w:val="24"/>
          <w:highlight w:val="none"/>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综上所述，</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外西克尔水库中水质矿化度较低，矿化度小于3g/L，为弱矿化水(微咸水)。</w:t>
      </w:r>
    </w:p>
    <w:bookmarkEnd w:id="70"/>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、矿坑涌水预测</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71" w:name="_Hlk173935380"/>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矿床充水来源</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矿床露天开采时，能进入矿坑的水源主要为大气降水。</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1)大气降水水源</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大气降雨直接降落在露天采坑中，成为矿坑充水的水源。根据前述气象水文内容，</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内一日最大降水量为29.4mm，年平均降水量74.7mm，则</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内日平均降水量为74.7mm/a÷117d=0.638mm/d，露天矿坑的面积为372900m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2)地下水水源</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依据</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钻孔工程简易水文观测数据，钻孔为干孔，所以揭露设计开采标高之上不含水，后续随着矿坑开采深度的增大，当开采到地下水位以下时，基岩裂隙水会通过导水裂隙涌入矿坑，成为矿坑充水的水源，当前设计开采标高不考虑地下水涌水量。</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矿坑的最终涌水量即为大气降水水源</w:t>
      </w:r>
      <w:r>
        <w:rPr>
          <w:rFonts w:hint="eastAsia" w:ascii="宋体" w:hAnsi="宋体" w:cs="宋体"/>
          <w:color w:val="auto"/>
          <w:sz w:val="24"/>
          <w:szCs w:val="24"/>
          <w:lang w:eastAsia="zh-CN"/>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矿床充水方式</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直接进水，露天开采时，大气降水会直接落入矿坑。</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预测结果</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1)大气降雨直接降入矿坑水量</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①计算公式</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大气降雨直接降入矿坑水量的计算采用《矿坑涌水计算规程》DZ/T3042-2020附录G公式(G-2)进行计算。</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计算公式：Q=F×X</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式中：Q——降入采坑水量(立方米/天)</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F——露天坑坑面积(平方米)</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            X——日平均降水量或日最大降水量(米/天)</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②参数选取</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内全部基岩多为矿体，少量围岩与矿体一同开采处理，矿床开采地表顶境界即为矿坑面积，露天矿坑面积F为372900平方米，日平均降水量X为 0.000638米/天，日最大降水量X最大为0.0294米/天。</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③计算结果</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通过上述公式计算，区内日正常涌水量为238.08立方米/天，日最大涌水量10963.26 立方米/天。</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2)预测结果</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正常涌水量：矿坑涌水量主要由大气降雨直接降入矿坑水量构成，矿坑正常涌水量合计238.08立方米/天。</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最大涌水量：矿坑涌水量由大气降雨直接降入矿坑水量水量构成，矿坑最大涌水量合计10963.26 立方米/天。</w:t>
      </w:r>
    </w:p>
    <w:p>
      <w:pPr>
        <w:spacing w:line="30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3</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矿坑涌水量预测结果汇总表</w:t>
      </w:r>
    </w:p>
    <w:tbl>
      <w:tblPr>
        <w:tblStyle w:val="54"/>
        <w:tblW w:w="81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8"/>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2588" w:type="dxa"/>
          </w:tcPr>
          <w:p>
            <w:pPr>
              <w:widowControl w:val="0"/>
              <w:spacing w:line="36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矿坑涌水量</w:t>
            </w:r>
          </w:p>
        </w:tc>
        <w:tc>
          <w:tcPr>
            <w:tcW w:w="2765" w:type="dxa"/>
          </w:tcPr>
          <w:p>
            <w:pPr>
              <w:widowControl w:val="0"/>
              <w:spacing w:line="36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大气降水(立方米/天)</w:t>
            </w:r>
          </w:p>
        </w:tc>
        <w:tc>
          <w:tcPr>
            <w:tcW w:w="2766" w:type="dxa"/>
          </w:tcPr>
          <w:p>
            <w:pPr>
              <w:widowControl w:val="0"/>
              <w:spacing w:line="36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日涌水量(立方米/天)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8" w:type="dxa"/>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日正常涌水量</w:t>
            </w:r>
          </w:p>
        </w:tc>
        <w:tc>
          <w:tcPr>
            <w:tcW w:w="2765" w:type="dxa"/>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238.08</w:t>
            </w:r>
          </w:p>
        </w:tc>
        <w:tc>
          <w:tcPr>
            <w:tcW w:w="2766" w:type="dxa"/>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238.08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88" w:type="dxa"/>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日最大涌水量</w:t>
            </w:r>
          </w:p>
        </w:tc>
        <w:tc>
          <w:tcPr>
            <w:tcW w:w="2765" w:type="dxa"/>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10963.26</w:t>
            </w:r>
          </w:p>
        </w:tc>
        <w:tc>
          <w:tcPr>
            <w:tcW w:w="2766" w:type="dxa"/>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10963.26</w:t>
            </w:r>
          </w:p>
        </w:tc>
      </w:tr>
      <w:bookmarkEnd w:id="71"/>
    </w:tbl>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矿坑涌水量精度级别和可信度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根据《固体矿产勘查工作规范》(GB/T33444-2016)，气象条件及地下水径流模数计算的矿坑涌水量属于E级的精度，考虑到公式适用性较好，且参数选取较准确，可信度为0.2。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综上，本次大气降雨直接降入矿坑水量和暂时性地表洪水汇入矿坑水量的计算为E级的精度。根据就低不就高的原则，确定本次矿坑涌水量计算为E级的精度，可信度为0.2。</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预测结果评述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坑涌水量主要由大气降雨、暂时性地表洪水提供，采用“露天矿坑涌水量计算公式”计算，公式适用性较强，参数选取合理，计算结果能为后期矿山制定疏排水措施提供依据，但气象条件具有较强的变化性、不确定性，计算结果局限性较强。</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建议在矿山下一步的勘查、开发过程中，应加强</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水文地质勘查工作，平时注意矿坑涌水量观测工作，通过综合分析研究后指导生产；设计部门应根据具体的开采强度和矿坑复杂程度进行更为准确的矿坑涌水量计算，采取合适的疏排水措施，以保证矿山安全运行。</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、预测水文地质问题及其防治措施建议</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矿山开采方式为顺坡露天开采，最终形成的采坑为台阶式的单面斜坡形态，且斜坡底部标高高于矿区侵蚀基准面，矿坑涌水可自然排泄至</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南侧冲沟中。仅局部地形凹陷处会形成采坑积水防治措施建议：在露天采矿场外围修筑截水沟，不让暂时性地表洪水流入采场；对露天采场内的矿坑涌水，利用北高南低的地势，采用自然排泄的方法将矿坑涌水排泄至矿区南部的冲沟中；对于局部负地形产生的矿坑积水，通过抽排的方式排出。</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、矿床水资源综合利用评价</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矿床水资源有矿坑疏排水、地表水，现对各水资源综合利用分述如下：</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矿坑疏排水：矿坑充水水源为大气降雨、暂时性地表洪水，属于较单一水源充水矿床，其中暂时性地表洪水泥沙含量高、浑浊，受此影响不考虑利用矿坑疏排水。</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地表水：主要为矿区内干沟（仅在长时间暴雨时形成暂时性地表洪流）。地表水浑浊，泥沙含量高，水质较差，不考虑利用矿区地表水。</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南侧约 2km处为西克尔水库，PH为7.65，矿化度为1.351克/升，水化学类型为SO</w:t>
      </w:r>
      <w:r>
        <w:rPr>
          <w:rFonts w:hint="eastAsia" w:ascii="宋体" w:hAnsi="宋体" w:eastAsia="宋体" w:cs="宋体"/>
          <w:color w:val="auto"/>
          <w:sz w:val="24"/>
          <w:szCs w:val="24"/>
          <w:vertAlign w:val="subscript"/>
        </w:rPr>
        <w:t>4</w:t>
      </w:r>
      <w:r>
        <w:rPr>
          <w:rFonts w:hint="eastAsia" w:ascii="宋体" w:hAnsi="宋体" w:eastAsia="宋体" w:cs="宋体"/>
          <w:color w:val="auto"/>
          <w:sz w:val="24"/>
          <w:szCs w:val="24"/>
        </w:rPr>
        <w:t>·HCO</w:t>
      </w:r>
      <w:r>
        <w:rPr>
          <w:rFonts w:hint="eastAsia" w:ascii="宋体" w:hAnsi="宋体" w:eastAsia="宋体" w:cs="宋体"/>
          <w:color w:val="auto"/>
          <w:sz w:val="24"/>
          <w:szCs w:val="24"/>
          <w:vertAlign w:val="subscript"/>
        </w:rPr>
        <w:t>3</w:t>
      </w:r>
      <w:r>
        <w:rPr>
          <w:rFonts w:hint="eastAsia" w:ascii="宋体" w:hAnsi="宋体" w:eastAsia="宋体" w:cs="宋体"/>
          <w:color w:val="auto"/>
          <w:sz w:val="24"/>
          <w:szCs w:val="24"/>
        </w:rPr>
        <w:t>-Ca·Na型，水质较好，可考虑利用该河地表水。</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地下水：地下水为基岩裂隙水，埋深大，富水性弱，不考虑利用矿区地下水。</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、供水水源评价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根据矿床水资源综合利用评价结果，矿区未来生产生活用水可从矿区南边西克尔水库接入，水质好。</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、含水层保护建议</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随着矿区人类工程经济活动的增多，地下水环境将要受到个各种污染因素的影响。因此须对矿山生产生活污水进行处理，减少污染，增加水资源的重复利用率；坚决杜绝将污水、废水未经处理就以渗坑、散流的形式任意排放。 </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水是不可再生资源，因此要统筹规划，统一管理，做到合理开发水资源。</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、水文地质勘探类型划分</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72" w:name="_Hlk173935587"/>
      <w:r>
        <w:rPr>
          <w:rFonts w:hint="eastAsia" w:ascii="宋体" w:hAnsi="宋体" w:eastAsia="宋体" w:cs="宋体"/>
          <w:color w:val="auto"/>
          <w:sz w:val="24"/>
          <w:szCs w:val="24"/>
        </w:rPr>
        <w:t>矿体位于当地侵蚀基准面和地下水位以上，矿区及附近地表水体不发育，区内无第四系覆盖。主要充水因素为大气降水。预测露天开采正常涌水量238.08立方米/天，最大涌水量10963.26立方米/天。确定矿床水文地质条件简单。</w:t>
      </w:r>
      <w:bookmarkEnd w:id="72"/>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（四）工程地质</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color w:val="auto"/>
          <w:sz w:val="24"/>
          <w:szCs w:val="24"/>
        </w:rPr>
      </w:pPr>
      <w:bookmarkStart w:id="73" w:name="_Toc18342"/>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矿区</w:t>
      </w:r>
      <w:r>
        <w:rPr>
          <w:rFonts w:hint="eastAsia" w:ascii="宋体" w:hAnsi="宋体" w:eastAsia="宋体" w:cs="宋体"/>
          <w:b/>
          <w:bCs/>
          <w:color w:val="auto"/>
          <w:sz w:val="24"/>
          <w:szCs w:val="24"/>
        </w:rPr>
        <w:t>工程地质岩组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广泛分布的层状岩类，结构面以层面、构造裂面为主，岩体稳定性严格受各种结构面控制。根据岩体结构控制岩体稳定的观点，用普查期所取的资料，对矿区工程地质岩组进行划分，分成三个岩组，见表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p>
    <w:p>
      <w:pPr>
        <w:spacing w:line="30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工程岩组划分表</w:t>
      </w:r>
    </w:p>
    <w:tbl>
      <w:tblPr>
        <w:tblStyle w:val="54"/>
        <w:tblW w:w="901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1305"/>
        <w:gridCol w:w="2232"/>
        <w:gridCol w:w="311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blHeader/>
          <w:jc w:val="center"/>
        </w:trPr>
        <w:tc>
          <w:tcPr>
            <w:tcW w:w="117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工程地质岩类</w:t>
            </w:r>
          </w:p>
        </w:tc>
        <w:tc>
          <w:tcPr>
            <w:tcW w:w="130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岩体结构</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类型</w:t>
            </w:r>
          </w:p>
        </w:tc>
        <w:tc>
          <w:tcPr>
            <w:tcW w:w="223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工程地质岩组</w:t>
            </w:r>
          </w:p>
        </w:tc>
        <w:tc>
          <w:tcPr>
            <w:tcW w:w="31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岩性</w:t>
            </w:r>
          </w:p>
        </w:tc>
        <w:tc>
          <w:tcPr>
            <w:tcW w:w="12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岩石坚硬程度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17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松散岩</w:t>
            </w:r>
          </w:p>
        </w:tc>
        <w:tc>
          <w:tcPr>
            <w:tcW w:w="130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散体状结构</w:t>
            </w:r>
          </w:p>
        </w:tc>
        <w:tc>
          <w:tcPr>
            <w:tcW w:w="223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散体工程地质岩组</w:t>
            </w:r>
          </w:p>
        </w:tc>
        <w:tc>
          <w:tcPr>
            <w:tcW w:w="31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全风化堆积物</w:t>
            </w:r>
          </w:p>
        </w:tc>
        <w:tc>
          <w:tcPr>
            <w:tcW w:w="12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极软岩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170"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沉积岩</w:t>
            </w:r>
          </w:p>
        </w:tc>
        <w:tc>
          <w:tcPr>
            <w:tcW w:w="1305"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层状结构</w:t>
            </w:r>
          </w:p>
        </w:tc>
        <w:tc>
          <w:tcPr>
            <w:tcW w:w="223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薄-中层状较软岩岩组</w:t>
            </w:r>
          </w:p>
        </w:tc>
        <w:tc>
          <w:tcPr>
            <w:tcW w:w="31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粉砂质页岩、泥页岩、粉砂岩</w:t>
            </w:r>
          </w:p>
        </w:tc>
        <w:tc>
          <w:tcPr>
            <w:tcW w:w="12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较软岩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jc w:val="center"/>
        </w:trPr>
        <w:tc>
          <w:tcPr>
            <w:tcW w:w="1170"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1305"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223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块状较坚硬岩岩组</w:t>
            </w:r>
          </w:p>
        </w:tc>
        <w:tc>
          <w:tcPr>
            <w:tcW w:w="31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岩屑石英砂岩</w:t>
            </w:r>
          </w:p>
        </w:tc>
        <w:tc>
          <w:tcPr>
            <w:tcW w:w="12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较硬岩</w:t>
            </w:r>
          </w:p>
        </w:tc>
      </w:tr>
    </w:tbl>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各岩组工程地质特征叙述如下：</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散体工程地质岩组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74" w:name="_Hlk173935951"/>
      <w:r>
        <w:rPr>
          <w:rFonts w:hint="eastAsia" w:ascii="宋体" w:hAnsi="宋体" w:eastAsia="宋体" w:cs="宋体"/>
          <w:color w:val="auto"/>
          <w:sz w:val="24"/>
          <w:szCs w:val="24"/>
        </w:rPr>
        <w:t>大规模分布于整个</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山坡及坡脚，岩性为原岩风化后就地堆积，主要由岩石碎块(30-40%)、砂土(40-60%)组成，松散堆积，孔度大，透水性好，工程地质条件差</w:t>
      </w:r>
      <w:bookmarkEnd w:id="74"/>
      <w:r>
        <w:rPr>
          <w:rFonts w:hint="eastAsia" w:ascii="宋体" w:hAnsi="宋体" w:eastAsia="宋体" w:cs="宋体"/>
          <w:color w:val="auto"/>
          <w:sz w:val="24"/>
          <w:szCs w:val="24"/>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薄-中层状较软岩岩组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75" w:name="_Hlk173935981"/>
      <w:bookmarkStart w:id="76" w:name="_Hlk173744630"/>
      <w:r>
        <w:rPr>
          <w:rFonts w:hint="eastAsia" w:ascii="宋体" w:hAnsi="宋体" w:eastAsia="宋体" w:cs="宋体"/>
          <w:color w:val="auto"/>
          <w:sz w:val="24"/>
          <w:szCs w:val="24"/>
        </w:rPr>
        <w:t>大面积分布于</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北部及中偏南部，岩性为砖红色粉砂质页岩、泥页岩、粉砂岩，岩石中-细粒砂状结构，薄层状构造，主要由碎屑物(70%)胶结物(30%)组成，呈条带状，优势结构面主要有2组，第1组结构面为层面，产状一般为345-0°∠55-70°，发育频率一般2-5 条/m，第2组结构面为节理裂隙，产状一般为230-265°/45-65°，发育频率一般3-16 条/m。</w:t>
      </w:r>
      <w:bookmarkEnd w:id="75"/>
    </w:p>
    <w:bookmarkEnd w:id="76"/>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77" w:name="_Hlk173935995"/>
      <w:r>
        <w:rPr>
          <w:rFonts w:hint="eastAsia" w:ascii="宋体" w:hAnsi="宋体" w:eastAsia="宋体" w:cs="宋体"/>
          <w:color w:val="auto"/>
          <w:sz w:val="24"/>
          <w:szCs w:val="24"/>
        </w:rPr>
        <w:t>此组岩石表层，由于物理风化作用发育较多的风化裂隙等次生结构面不均匀统一，贯通性差，大多无充填，未形成一个统一的风化破碎带。其变形主要表现为：由结构面组合而成的不稳定结构体，导致局部滑动或块塌，地下水加剧结构体失稳</w:t>
      </w:r>
      <w:bookmarkEnd w:id="77"/>
      <w:r>
        <w:rPr>
          <w:rFonts w:hint="eastAsia" w:ascii="宋体" w:hAnsi="宋体" w:eastAsia="宋体" w:cs="宋体"/>
          <w:color w:val="auto"/>
          <w:sz w:val="24"/>
          <w:szCs w:val="24"/>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块状较坚硬岩岩组</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78" w:name="_Hlk173936372"/>
      <w:r>
        <w:rPr>
          <w:rFonts w:hint="eastAsia" w:ascii="宋体" w:hAnsi="宋体" w:eastAsia="宋体" w:cs="宋体"/>
          <w:color w:val="auto"/>
          <w:sz w:val="24"/>
          <w:szCs w:val="24"/>
        </w:rPr>
        <w:t>分布于</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北部及中偏南部，岩性为浅灰色、灰褐色岩屑石英砂岩，岩石中-细粒砂状结构，块状构造，主要由石英、长石、岩屑及填隙物组成，石英含量约70%，优势结构面主要有2组，第1组结构面为层面，产状一般为350-10°∠45-65°，发育频率一般2-5 条/m，第2组结构面为节理裂隙，产状一般为240-270°/50-65°，发育频率一般3-12条/m。</w:t>
      </w:r>
    </w:p>
    <w:bookmarkEnd w:id="78"/>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、矿体及围岩岩石物理力学性质</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内矿体为粉砂质页岩、泥页岩和粉砂岩，围岩为岩屑石英砂岩。</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根据普查岩石力学测试成果（表1-</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），共测试岩石力学样品9组，其中3组为围岩，6组为矿体。</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依据3组围岩力学样品测试结果，</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围岩饱和状态下单轴抗压强度为40.95～53.42Mpa，平均值为49.06Mpa，天然状态下抗压强度为54.79～69.35Mpa，平均值为65.02Mpa；饱和抗拉强度3.01～4.96Mpa，平均值为4.04Mpa；天然状态下抗拉强度为4.29～7.37Mpa，平均值为6.06Mpa；天然内粘聚力12.17～20.31Mpa，平均值为14.10Mpa，饱和内粘聚力10.00～13.28Mpa，平均值为11.05Mpa，天然内摩擦角20.15°～32.41°，平均值为28.28°，饱和内摩擦角20.16°～28.15°，平均值为25.19°。根据《岩石工程勘察规范》（GB50021-2001）中岩石坚硬程度划分标准，</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内围岩属于较硬岩石。</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依据6组矿石力学样品测试结果，</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矿石饱和状态下单轴抗压强度为17.56～37.49Mpa，平均值为27.87Mpa，天然状态下抗压强度为26.78～47.68Mpa，平均值为39.02Mpa；饱和抗拉强度1.03～2.96Mpa，平均值为2.15Mpa；天然状态下抗拉强度为2.11～3.88Mpa，平均值为3.09Mpa；天然内粘聚力4.24～13.24Mpa，平均值为10.12Mpa，饱和内粘聚力3.07～10.79Mpa，平均值为7.61Mpa，天然内摩擦角17.95°～24.15°，平均值为21.32°，饱和内摩擦角18.16°～22.11°，平均值为20.48°。根据《岩石工程勘察规范》（GB50021-2001）中岩石坚硬程度划分标准，</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内矿石属于较软弱岩石。</w:t>
      </w:r>
    </w:p>
    <w:p>
      <w:pPr>
        <w:spacing w:line="300" w:lineRule="exact"/>
        <w:ind w:firstLine="0" w:firstLineChars="0"/>
        <w:jc w:val="center"/>
        <w:rPr>
          <w:rFonts w:hint="eastAsia" w:ascii="宋体" w:hAnsi="宋体" w:eastAsia="宋体" w:cs="宋体"/>
          <w:b/>
          <w:bCs/>
          <w:color w:val="auto"/>
          <w:sz w:val="21"/>
          <w:szCs w:val="21"/>
        </w:rPr>
      </w:pPr>
    </w:p>
    <w:p>
      <w:pPr>
        <w:spacing w:line="30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矿体、围岩矿石饱和抗压强度最值统计表</w:t>
      </w:r>
    </w:p>
    <w:tbl>
      <w:tblPr>
        <w:tblStyle w:val="54"/>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134"/>
        <w:gridCol w:w="1134"/>
        <w:gridCol w:w="1134"/>
        <w:gridCol w:w="1134"/>
        <w:gridCol w:w="1166"/>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矿区</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p>
        </w:tc>
        <w:tc>
          <w:tcPr>
            <w:tcW w:w="3402" w:type="dxa"/>
            <w:gridSpan w:val="3"/>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tc>
        <w:tc>
          <w:tcPr>
            <w:tcW w:w="3402" w:type="dxa"/>
            <w:gridSpan w:val="3"/>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jc w:val="center"/>
        </w:trPr>
        <w:tc>
          <w:tcPr>
            <w:tcW w:w="1276"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最高值(MPa)</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最低值(MPa)</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平均值(MPa)</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最高值(MPa)</w:t>
            </w:r>
          </w:p>
        </w:tc>
        <w:tc>
          <w:tcPr>
            <w:tcW w:w="116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最低值(MPa)</w:t>
            </w:r>
          </w:p>
        </w:tc>
        <w:tc>
          <w:tcPr>
            <w:tcW w:w="110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平均值(MPa)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127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西克尔</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53.24</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40.95</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49.06</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37.49</w:t>
            </w:r>
          </w:p>
        </w:tc>
        <w:tc>
          <w:tcPr>
            <w:tcW w:w="116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17.56</w:t>
            </w:r>
          </w:p>
        </w:tc>
        <w:tc>
          <w:tcPr>
            <w:tcW w:w="110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27.87</w:t>
            </w:r>
          </w:p>
        </w:tc>
      </w:tr>
    </w:tbl>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根据《矿区水文地质工程地质勘</w:t>
      </w:r>
      <w:r>
        <w:rPr>
          <w:rFonts w:hint="eastAsia" w:ascii="宋体" w:hAnsi="宋体" w:cs="宋体"/>
          <w:color w:val="auto"/>
          <w:sz w:val="24"/>
          <w:szCs w:val="24"/>
          <w:lang w:val="en-US" w:eastAsia="zh-CN"/>
        </w:rPr>
        <w:t>查</w:t>
      </w:r>
      <w:r>
        <w:rPr>
          <w:rFonts w:hint="eastAsia" w:ascii="宋体" w:hAnsi="宋体" w:eastAsia="宋体" w:cs="宋体"/>
          <w:color w:val="auto"/>
          <w:sz w:val="24"/>
          <w:szCs w:val="24"/>
        </w:rPr>
        <w:t>规范》GB12719-2021和《工程岩石分级标准》，矿体主体属于中等风化带，矿体岩石较软，围岩岩石较硬，稳定性差，在暴雨等因素的诱发下可能引发生工程地质问题，矿床工程地质条件属中等类型。</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、工程地质岩</w:t>
      </w:r>
      <w:r>
        <w:rPr>
          <w:rFonts w:hint="eastAsia" w:ascii="宋体" w:hAnsi="宋体" w:eastAsia="宋体" w:cs="宋体"/>
          <w:b/>
          <w:bCs/>
          <w:color w:val="auto"/>
          <w:sz w:val="24"/>
          <w:szCs w:val="24"/>
          <w:lang w:val="en-US" w:eastAsia="zh-CN"/>
        </w:rPr>
        <w:t>组</w:t>
      </w:r>
      <w:r>
        <w:rPr>
          <w:rFonts w:hint="eastAsia" w:ascii="宋体" w:hAnsi="宋体" w:eastAsia="宋体" w:cs="宋体"/>
          <w:b/>
          <w:bCs/>
          <w:color w:val="auto"/>
          <w:sz w:val="24"/>
          <w:szCs w:val="24"/>
        </w:rPr>
        <w:t>预测评价</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根据矿区的地形地貌、矿体特征、水文地质及工程地质条件，确定矿体开拓方式为露天开采。边坡类型为岩石类边坡，剥离物类型为块状岩石。</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矿体及围岩稳固性评价</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矿石饱和状态下单轴抗压强度为17.56～37.49Mpa，平均值为27.87Mpa，天然状态下抗压强度为26.78～47.68Mpa，平均值为39.02Mpa。根据《矿区水文地质工程地质勘探规范》GB12719-91和《工程岩石分级标准》，属于较软岩石，稳定性较差。</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围岩岩石饱和状态下单轴抗压强度为40.95～53.42Mpa，平均值为49.06Mpa，天然状态下抗压强度为54.79～69.35Mpa，平均值为65.02Mpa。根据《矿区水文地质工程地质勘探规范》GB12719-91和《工程岩石分级标准》，属于较硬岩石，稳定性较差。</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影响矿体及围岩稳固性的地质及水文地质因素</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1)岩石性质</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岩石性质是影响矿体及围岩变形的内在因素。根据施工钻孔成果，矿区矿体RQD平均值为43.2%，岩石质量为差的，岩体完整性较破碎。</w:t>
      </w:r>
    </w:p>
    <w:p>
      <w:pPr>
        <w:spacing w:line="30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钻孔ZK001岩芯RQD值统计表</w:t>
      </w:r>
    </w:p>
    <w:tbl>
      <w:tblPr>
        <w:tblStyle w:val="54"/>
        <w:tblW w:w="79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231"/>
        <w:gridCol w:w="1422"/>
        <w:gridCol w:w="1143"/>
        <w:gridCol w:w="1024"/>
        <w:gridCol w:w="1241"/>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9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孔号</w:t>
            </w:r>
          </w:p>
        </w:tc>
        <w:tc>
          <w:tcPr>
            <w:tcW w:w="123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孔深(m)</w:t>
            </w:r>
          </w:p>
        </w:tc>
        <w:tc>
          <w:tcPr>
            <w:tcW w:w="142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岩石名称</w:t>
            </w:r>
          </w:p>
        </w:tc>
        <w:tc>
          <w:tcPr>
            <w:tcW w:w="114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RQD值（%）</w:t>
            </w:r>
          </w:p>
        </w:tc>
        <w:tc>
          <w:tcPr>
            <w:tcW w:w="102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岩石质量描述</w:t>
            </w:r>
          </w:p>
        </w:tc>
        <w:tc>
          <w:tcPr>
            <w:tcW w:w="124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岩石完整性评价</w:t>
            </w:r>
          </w:p>
        </w:tc>
        <w:tc>
          <w:tcPr>
            <w:tcW w:w="98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89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ZK001</w:t>
            </w:r>
          </w:p>
        </w:tc>
        <w:tc>
          <w:tcPr>
            <w:tcW w:w="123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0～50.23</w:t>
            </w:r>
          </w:p>
        </w:tc>
        <w:tc>
          <w:tcPr>
            <w:tcW w:w="142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粉砂质页岩</w:t>
            </w:r>
          </w:p>
        </w:tc>
        <w:tc>
          <w:tcPr>
            <w:tcW w:w="114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43.2</w:t>
            </w:r>
          </w:p>
        </w:tc>
        <w:tc>
          <w:tcPr>
            <w:tcW w:w="102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差</w:t>
            </w:r>
          </w:p>
        </w:tc>
        <w:tc>
          <w:tcPr>
            <w:tcW w:w="124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较破碎</w:t>
            </w:r>
          </w:p>
        </w:tc>
        <w:tc>
          <w:tcPr>
            <w:tcW w:w="98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r>
    </w:tbl>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2)地下水</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地下水位于矿体之下，地下水对矿体的侵蚀作用很小，对矿体及围岩稳固性影响很小。</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3)可能产生的工程地质问题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该矿开采方式为露采，可能产生的工程地质问题主要是边坡存在崩塌的可能性，应及时清除危岩，并防止地表水对边坡岩体的冲刷及渗入边坡软弱结构面中降低岩体强度。</w:t>
      </w:r>
    </w:p>
    <w:p>
      <w:pPr>
        <w:pageBreakBefore w:val="0"/>
        <w:widowControl/>
        <w:kinsoku/>
        <w:wordWrap/>
        <w:overflowPunct/>
        <w:topLinePunct w:val="0"/>
        <w:autoSpaceDE/>
        <w:autoSpaceDN/>
        <w:bidi w:val="0"/>
        <w:adjustRightInd/>
        <w:snapToGrid/>
        <w:spacing w:before="0" w:after="0" w:line="360" w:lineRule="auto"/>
        <w:ind w:left="0" w:lef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、岩石质量评价</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评级原则</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以地层岩性作为评价对象；各参数确定时，RQD(%)采用其平均值，有关的物理力学性质试验结果(均取饱和状态下的参数)采用算术平均值；通过计算所得的岩石质量系数、岩石质量指标，分别评价岩石质量等级和岩石质量。</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计算公式</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1)RQD(%)=L</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/L</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×100</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2)S=Rc/10</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3)M=Rc/30·RQD值</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4)Z=I·f·S</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式中：L</w:t>
      </w:r>
      <w:r>
        <w:rPr>
          <w:rFonts w:hint="eastAsia" w:ascii="宋体" w:hAnsi="宋体" w:eastAsia="宋体" w:cs="宋体"/>
          <w:color w:val="auto"/>
          <w:sz w:val="24"/>
          <w:szCs w:val="24"/>
          <w:vertAlign w:val="subscript"/>
        </w:rPr>
        <w:t>0</w:t>
      </w:r>
      <w:r>
        <w:rPr>
          <w:rFonts w:hint="eastAsia" w:ascii="宋体" w:hAnsi="宋体" w:eastAsia="宋体" w:cs="宋体"/>
          <w:color w:val="auto"/>
          <w:sz w:val="24"/>
          <w:szCs w:val="24"/>
        </w:rPr>
        <w:t>为某岩组大于10 厘米完整岩芯长度之和(米)；</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L</w:t>
      </w:r>
      <w:r>
        <w:rPr>
          <w:rFonts w:hint="eastAsia" w:ascii="宋体" w:hAnsi="宋体" w:eastAsia="宋体" w:cs="宋体"/>
          <w:color w:val="auto"/>
          <w:sz w:val="24"/>
          <w:szCs w:val="24"/>
          <w:vertAlign w:val="subscript"/>
        </w:rPr>
        <w:t>1</w:t>
      </w:r>
      <w:r>
        <w:rPr>
          <w:rFonts w:hint="eastAsia" w:ascii="宋体" w:hAnsi="宋体" w:eastAsia="宋体" w:cs="宋体"/>
          <w:color w:val="auto"/>
          <w:sz w:val="24"/>
          <w:szCs w:val="24"/>
        </w:rPr>
        <w:t>某岩组换层厚度(米)；</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Rc为单轴饱和抗压强度(MPa)；</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I为岩体完整系数(用RQD 值代替)；</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f为结构面摩擦系数，f=tanФ(式中Ф为内摩擦角，取饱和状态下的内摩擦角)；</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S为岩块的坚硬系数；</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Z为岩体质量系数；</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M为岩体质量指标。</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计算参数的确定</w:t>
      </w:r>
    </w:p>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通过钻孔ZK001工程地质编录和物理力学性质试验结果，确定矿体RQD(%)，由于本次普查工作仅施工1个钻孔，且钻孔内为揭露围岩（石英砂岩），故围岩RQD值参考经验值，见表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，单轴饱和抗压强度(Rc)如表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 xml:space="preserve">，岩体结构面摩擦系数(f)如表 </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。各矿体顶底板 RQD (%)、单轴饱和抗压强度(Rc)结构面摩擦系数(f)如表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w:t>
      </w:r>
    </w:p>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7</w:t>
      </w:r>
      <w:r>
        <w:rPr>
          <w:rFonts w:hint="eastAsia" w:ascii="宋体" w:hAnsi="宋体" w:eastAsia="宋体" w:cs="宋体"/>
          <w:b/>
          <w:bCs/>
          <w:color w:val="auto"/>
          <w:sz w:val="21"/>
          <w:szCs w:val="21"/>
        </w:rPr>
        <w:t xml:space="preserve">  地层岩性及矿体RQD(%)统计表</w:t>
      </w:r>
    </w:p>
    <w:tbl>
      <w:tblPr>
        <w:tblStyle w:val="54"/>
        <w:tblW w:w="76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710"/>
        <w:gridCol w:w="710"/>
        <w:gridCol w:w="711"/>
        <w:gridCol w:w="670"/>
        <w:gridCol w:w="1159"/>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地层岩性</w:t>
            </w:r>
          </w:p>
        </w:tc>
        <w:tc>
          <w:tcPr>
            <w:tcW w:w="2131" w:type="dxa"/>
            <w:gridSpan w:val="3"/>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RQD(%)</w:t>
            </w:r>
          </w:p>
        </w:tc>
        <w:tc>
          <w:tcPr>
            <w:tcW w:w="670"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岩石质量</w:t>
            </w:r>
          </w:p>
        </w:tc>
        <w:tc>
          <w:tcPr>
            <w:tcW w:w="1159"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岩石完整性</w:t>
            </w:r>
          </w:p>
        </w:tc>
        <w:tc>
          <w:tcPr>
            <w:tcW w:w="2328"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7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最大</w:t>
            </w:r>
          </w:p>
        </w:tc>
        <w:tc>
          <w:tcPr>
            <w:tcW w:w="7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最小</w:t>
            </w:r>
          </w:p>
        </w:tc>
        <w:tc>
          <w:tcPr>
            <w:tcW w:w="71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w:t>
            </w:r>
          </w:p>
        </w:tc>
        <w:tc>
          <w:tcPr>
            <w:tcW w:w="670"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1159"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2328"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7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93.3</w:t>
            </w:r>
          </w:p>
        </w:tc>
        <w:tc>
          <w:tcPr>
            <w:tcW w:w="7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71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43.2</w:t>
            </w:r>
          </w:p>
        </w:tc>
        <w:tc>
          <w:tcPr>
            <w:tcW w:w="67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差</w:t>
            </w:r>
          </w:p>
        </w:tc>
        <w:tc>
          <w:tcPr>
            <w:tcW w:w="1159"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较破碎</w:t>
            </w:r>
          </w:p>
        </w:tc>
        <w:tc>
          <w:tcPr>
            <w:tcW w:w="232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仅施工一个钻孔，取其RQD算术平均值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3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(石英砂岩)</w:t>
            </w:r>
          </w:p>
        </w:tc>
        <w:tc>
          <w:tcPr>
            <w:tcW w:w="7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1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67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较好</w:t>
            </w:r>
          </w:p>
        </w:tc>
        <w:tc>
          <w:tcPr>
            <w:tcW w:w="1159"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较完整</w:t>
            </w:r>
          </w:p>
        </w:tc>
        <w:tc>
          <w:tcPr>
            <w:tcW w:w="232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参考经验值</w:t>
            </w: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8</w:t>
      </w:r>
      <w:r>
        <w:rPr>
          <w:rFonts w:hint="eastAsia" w:ascii="宋体" w:hAnsi="宋体" w:eastAsia="宋体" w:cs="宋体"/>
          <w:b/>
          <w:bCs/>
          <w:color w:val="auto"/>
          <w:sz w:val="21"/>
          <w:szCs w:val="21"/>
        </w:rPr>
        <w:t xml:space="preserve">  地层岩性及矿体单轴饱和抗压强度(Rc)</w:t>
      </w:r>
    </w:p>
    <w:tbl>
      <w:tblPr>
        <w:tblStyle w:val="54"/>
        <w:tblW w:w="80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916"/>
        <w:gridCol w:w="810"/>
        <w:gridCol w:w="795"/>
        <w:gridCol w:w="4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地层岩性</w:t>
            </w:r>
          </w:p>
        </w:tc>
        <w:tc>
          <w:tcPr>
            <w:tcW w:w="2521" w:type="dxa"/>
            <w:gridSpan w:val="3"/>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Rc(MPa)</w:t>
            </w:r>
          </w:p>
        </w:tc>
        <w:tc>
          <w:tcPr>
            <w:tcW w:w="4504"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91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最大</w:t>
            </w:r>
          </w:p>
        </w:tc>
        <w:tc>
          <w:tcPr>
            <w:tcW w:w="8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最小</w:t>
            </w:r>
          </w:p>
        </w:tc>
        <w:tc>
          <w:tcPr>
            <w:tcW w:w="79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w:t>
            </w:r>
          </w:p>
        </w:tc>
        <w:tc>
          <w:tcPr>
            <w:tcW w:w="4504"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91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37.49</w:t>
            </w:r>
          </w:p>
        </w:tc>
        <w:tc>
          <w:tcPr>
            <w:tcW w:w="8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17.56</w:t>
            </w:r>
          </w:p>
        </w:tc>
        <w:tc>
          <w:tcPr>
            <w:tcW w:w="79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27.87</w:t>
            </w:r>
          </w:p>
        </w:tc>
        <w:tc>
          <w:tcPr>
            <w:tcW w:w="4504"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共取9组(每组2件，共计18件)岩石力学样，其中矿体矿石合计6组（计12件），围岩3组(计6件)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9"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tc>
        <w:tc>
          <w:tcPr>
            <w:tcW w:w="91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53.42</w:t>
            </w:r>
          </w:p>
        </w:tc>
        <w:tc>
          <w:tcPr>
            <w:tcW w:w="8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40.95</w:t>
            </w:r>
          </w:p>
        </w:tc>
        <w:tc>
          <w:tcPr>
            <w:tcW w:w="79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49.06</w:t>
            </w:r>
          </w:p>
        </w:tc>
        <w:tc>
          <w:tcPr>
            <w:tcW w:w="4504"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9</w:t>
      </w:r>
      <w:r>
        <w:rPr>
          <w:rFonts w:hint="eastAsia" w:ascii="宋体" w:hAnsi="宋体" w:eastAsia="宋体" w:cs="宋体"/>
          <w:b/>
          <w:bCs/>
          <w:color w:val="auto"/>
          <w:sz w:val="21"/>
          <w:szCs w:val="21"/>
        </w:rPr>
        <w:t xml:space="preserve">  地层岩性及矿体结构面摩擦系数(f)</w:t>
      </w:r>
    </w:p>
    <w:tbl>
      <w:tblPr>
        <w:tblStyle w:val="54"/>
        <w:tblW w:w="80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808"/>
        <w:gridCol w:w="857"/>
        <w:gridCol w:w="900"/>
        <w:gridCol w:w="4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0"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地层岩性</w:t>
            </w:r>
          </w:p>
        </w:tc>
        <w:tc>
          <w:tcPr>
            <w:tcW w:w="2565" w:type="dxa"/>
            <w:gridSpan w:val="3"/>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f</w:t>
            </w:r>
          </w:p>
        </w:tc>
        <w:tc>
          <w:tcPr>
            <w:tcW w:w="4453"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0"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80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最大</w:t>
            </w:r>
          </w:p>
        </w:tc>
        <w:tc>
          <w:tcPr>
            <w:tcW w:w="857"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最小</w:t>
            </w:r>
          </w:p>
        </w:tc>
        <w:tc>
          <w:tcPr>
            <w:tcW w:w="9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w:t>
            </w:r>
          </w:p>
        </w:tc>
        <w:tc>
          <w:tcPr>
            <w:tcW w:w="4453"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80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0.41</w:t>
            </w:r>
          </w:p>
        </w:tc>
        <w:tc>
          <w:tcPr>
            <w:tcW w:w="857"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0.33</w:t>
            </w:r>
          </w:p>
        </w:tc>
        <w:tc>
          <w:tcPr>
            <w:tcW w:w="9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0.37</w:t>
            </w:r>
          </w:p>
        </w:tc>
        <w:tc>
          <w:tcPr>
            <w:tcW w:w="4453" w:type="dxa"/>
            <w:vMerge w:val="restart"/>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共取9组(每组2件，共计18件)岩石力学样，其中矿体矿石合计6组（计12件），围岩3组(计6件)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2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tc>
        <w:tc>
          <w:tcPr>
            <w:tcW w:w="80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0.53</w:t>
            </w:r>
          </w:p>
        </w:tc>
        <w:tc>
          <w:tcPr>
            <w:tcW w:w="857"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0.37</w:t>
            </w:r>
          </w:p>
        </w:tc>
        <w:tc>
          <w:tcPr>
            <w:tcW w:w="9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0.47</w:t>
            </w:r>
          </w:p>
        </w:tc>
        <w:tc>
          <w:tcPr>
            <w:tcW w:w="4453" w:type="dxa"/>
            <w:vMerge w:val="continue"/>
            <w:vAlign w:val="center"/>
          </w:tcPr>
          <w:p>
            <w:pPr>
              <w:widowControl w:val="0"/>
              <w:spacing w:line="240" w:lineRule="auto"/>
              <w:ind w:firstLine="0" w:firstLineChars="0"/>
              <w:jc w:val="center"/>
              <w:rPr>
                <w:rFonts w:hint="eastAsia" w:ascii="宋体" w:hAnsi="宋体" w:eastAsia="宋体" w:cs="宋体"/>
                <w:color w:val="auto"/>
                <w:sz w:val="21"/>
                <w:szCs w:val="21"/>
              </w:rPr>
            </w:pP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10</w:t>
      </w:r>
      <w:r>
        <w:rPr>
          <w:rFonts w:hint="eastAsia" w:ascii="宋体" w:hAnsi="宋体" w:eastAsia="宋体" w:cs="宋体"/>
          <w:b/>
          <w:bCs/>
          <w:color w:val="auto"/>
          <w:sz w:val="21"/>
          <w:szCs w:val="21"/>
        </w:rPr>
        <w:t xml:space="preserve">  地层岩性及矿体RQD(%)、饱和抗压强度(Rc)、结构面摩擦系数(f)</w:t>
      </w:r>
    </w:p>
    <w:tbl>
      <w:tblPr>
        <w:tblStyle w:val="54"/>
        <w:tblW w:w="80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993"/>
        <w:gridCol w:w="992"/>
        <w:gridCol w:w="709"/>
        <w:gridCol w:w="4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地层岩性</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RQD(%)</w:t>
            </w:r>
          </w:p>
        </w:tc>
        <w:tc>
          <w:tcPr>
            <w:tcW w:w="99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Rc(MPa)</w:t>
            </w:r>
          </w:p>
        </w:tc>
        <w:tc>
          <w:tcPr>
            <w:tcW w:w="70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f</w:t>
            </w:r>
          </w:p>
        </w:tc>
        <w:tc>
          <w:tcPr>
            <w:tcW w:w="432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1" w:hRule="atLeast"/>
          <w:jc w:val="center"/>
        </w:trPr>
        <w:tc>
          <w:tcPr>
            <w:tcW w:w="107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43.2</w:t>
            </w:r>
          </w:p>
        </w:tc>
        <w:tc>
          <w:tcPr>
            <w:tcW w:w="99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27.87</w:t>
            </w:r>
          </w:p>
        </w:tc>
        <w:tc>
          <w:tcPr>
            <w:tcW w:w="70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0.37</w:t>
            </w:r>
          </w:p>
        </w:tc>
        <w:tc>
          <w:tcPr>
            <w:tcW w:w="4320" w:type="dxa"/>
            <w:vMerge w:val="restart"/>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共取9组(每组2件，共计18件)岩石力学样，其中矿体矿石合计6组（计12件），围岩3组(计6件)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99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49.06</w:t>
            </w:r>
          </w:p>
        </w:tc>
        <w:tc>
          <w:tcPr>
            <w:tcW w:w="70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0.47</w:t>
            </w:r>
          </w:p>
        </w:tc>
        <w:tc>
          <w:tcPr>
            <w:tcW w:w="4320" w:type="dxa"/>
            <w:vMerge w:val="continue"/>
            <w:vAlign w:val="center"/>
          </w:tcPr>
          <w:p>
            <w:pPr>
              <w:widowControl w:val="0"/>
              <w:spacing w:line="360" w:lineRule="exact"/>
              <w:ind w:firstLine="0" w:firstLineChars="0"/>
              <w:jc w:val="center"/>
              <w:rPr>
                <w:rFonts w:hint="eastAsia" w:ascii="宋体" w:hAnsi="宋体" w:eastAsia="宋体" w:cs="宋体"/>
                <w:color w:val="auto"/>
                <w:sz w:val="21"/>
                <w:szCs w:val="21"/>
              </w:rPr>
            </w:pPr>
          </w:p>
        </w:tc>
      </w:tr>
    </w:tbl>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4</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计算结果及质量评述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评价标准见表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 xml:space="preserve">、表 </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eastAsia="zh-CN"/>
        </w:rPr>
        <w:t>；通过上述公式(1)、(2)、(3)、(4)可计算岩块坚硬系数、岩体质量系数、岩体质量指标，计算结果见表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2</w:t>
      </w:r>
      <w:r>
        <w:rPr>
          <w:rFonts w:hint="eastAsia" w:ascii="宋体" w:hAnsi="宋体" w:eastAsia="宋体" w:cs="宋体"/>
          <w:color w:val="auto"/>
          <w:sz w:val="24"/>
          <w:szCs w:val="24"/>
          <w:lang w:eastAsia="zh-CN"/>
        </w:rPr>
        <w:t>；根据计算结果，并结合表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3</w:t>
      </w:r>
      <w:r>
        <w:rPr>
          <w:rFonts w:hint="eastAsia" w:ascii="宋体" w:hAnsi="宋体" w:eastAsia="宋体" w:cs="宋体"/>
          <w:color w:val="auto"/>
          <w:sz w:val="24"/>
          <w:szCs w:val="24"/>
          <w:lang w:eastAsia="zh-CN"/>
        </w:rPr>
        <w:t>、表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4</w:t>
      </w:r>
      <w:r>
        <w:rPr>
          <w:rFonts w:hint="eastAsia" w:ascii="宋体" w:hAnsi="宋体" w:eastAsia="宋体" w:cs="宋体"/>
          <w:color w:val="auto"/>
          <w:sz w:val="24"/>
          <w:szCs w:val="24"/>
          <w:lang w:eastAsia="zh-CN"/>
        </w:rPr>
        <w:t>，可对岩体质量进行评述；计算结果及质量评述见表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eastAsia="zh-CN"/>
        </w:rPr>
        <w:t>。</w:t>
      </w:r>
    </w:p>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11</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岩体质量指标（M）计算表</w:t>
      </w:r>
    </w:p>
    <w:tbl>
      <w:tblPr>
        <w:tblStyle w:val="54"/>
        <w:tblW w:w="79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1096"/>
        <w:gridCol w:w="1185"/>
        <w:gridCol w:w="2114"/>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岩体岩石组成</w:t>
            </w:r>
          </w:p>
        </w:tc>
        <w:tc>
          <w:tcPr>
            <w:tcW w:w="10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Rc(MPa)</w:t>
            </w:r>
          </w:p>
        </w:tc>
        <w:tc>
          <w:tcPr>
            <w:tcW w:w="1185"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RQD(%)</w:t>
            </w:r>
          </w:p>
        </w:tc>
        <w:tc>
          <w:tcPr>
            <w:tcW w:w="211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岩石质量指数(M)</w:t>
            </w:r>
          </w:p>
        </w:tc>
        <w:tc>
          <w:tcPr>
            <w:tcW w:w="184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岩石质量分级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10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27.87</w:t>
            </w:r>
          </w:p>
        </w:tc>
        <w:tc>
          <w:tcPr>
            <w:tcW w:w="1185"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43.2</w:t>
            </w:r>
          </w:p>
        </w:tc>
        <w:tc>
          <w:tcPr>
            <w:tcW w:w="211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0.40</w:t>
            </w:r>
          </w:p>
        </w:tc>
        <w:tc>
          <w:tcPr>
            <w:tcW w:w="184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tc>
        <w:tc>
          <w:tcPr>
            <w:tcW w:w="10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49.06</w:t>
            </w:r>
          </w:p>
        </w:tc>
        <w:tc>
          <w:tcPr>
            <w:tcW w:w="1185"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211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1.31</w:t>
            </w:r>
          </w:p>
        </w:tc>
        <w:tc>
          <w:tcPr>
            <w:tcW w:w="184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良</w:t>
            </w: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 xml:space="preserve">  岩体质量系数（Z）计算表</w:t>
      </w:r>
    </w:p>
    <w:tbl>
      <w:tblPr>
        <w:tblStyle w:val="54"/>
        <w:tblW w:w="8541" w:type="dxa"/>
        <w:tblInd w:w="3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020"/>
        <w:gridCol w:w="1067"/>
        <w:gridCol w:w="1843"/>
        <w:gridCol w:w="1276"/>
        <w:gridCol w:w="1210"/>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岩体岩石组成</w:t>
            </w:r>
          </w:p>
        </w:tc>
        <w:tc>
          <w:tcPr>
            <w:tcW w:w="102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RQD(%)</w:t>
            </w:r>
          </w:p>
        </w:tc>
        <w:tc>
          <w:tcPr>
            <w:tcW w:w="1067"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摩擦系数 </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f</w:t>
            </w:r>
          </w:p>
        </w:tc>
        <w:tc>
          <w:tcPr>
            <w:tcW w:w="184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单轴饱和抗压强度Rc(MPa)</w:t>
            </w:r>
          </w:p>
        </w:tc>
        <w:tc>
          <w:tcPr>
            <w:tcW w:w="127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坚硬系数</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S</w:t>
            </w:r>
          </w:p>
        </w:tc>
        <w:tc>
          <w:tcPr>
            <w:tcW w:w="12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岩石质量指数(Z)</w:t>
            </w:r>
          </w:p>
        </w:tc>
        <w:tc>
          <w:tcPr>
            <w:tcW w:w="10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岩石质量分级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102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43.2</w:t>
            </w:r>
          </w:p>
        </w:tc>
        <w:tc>
          <w:tcPr>
            <w:tcW w:w="1067"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0.37</w:t>
            </w:r>
          </w:p>
        </w:tc>
        <w:tc>
          <w:tcPr>
            <w:tcW w:w="184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27.87</w:t>
            </w:r>
          </w:p>
        </w:tc>
        <w:tc>
          <w:tcPr>
            <w:tcW w:w="127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2.787</w:t>
            </w:r>
          </w:p>
        </w:tc>
        <w:tc>
          <w:tcPr>
            <w:tcW w:w="12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0.45</w:t>
            </w:r>
          </w:p>
        </w:tc>
        <w:tc>
          <w:tcPr>
            <w:tcW w:w="10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tc>
        <w:tc>
          <w:tcPr>
            <w:tcW w:w="102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80</w:t>
            </w:r>
          </w:p>
        </w:tc>
        <w:tc>
          <w:tcPr>
            <w:tcW w:w="1067"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0.47</w:t>
            </w:r>
          </w:p>
        </w:tc>
        <w:tc>
          <w:tcPr>
            <w:tcW w:w="184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49.06</w:t>
            </w:r>
          </w:p>
        </w:tc>
        <w:tc>
          <w:tcPr>
            <w:tcW w:w="127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4.906</w:t>
            </w:r>
          </w:p>
        </w:tc>
        <w:tc>
          <w:tcPr>
            <w:tcW w:w="121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1.84</w:t>
            </w:r>
          </w:p>
        </w:tc>
        <w:tc>
          <w:tcPr>
            <w:tcW w:w="100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eastAsia="宋体" w:cs="宋体"/>
          <w:b/>
          <w:bCs/>
          <w:color w:val="auto"/>
          <w:sz w:val="21"/>
          <w:szCs w:val="21"/>
          <w:lang w:val="en-US" w:eastAsia="zh-CN"/>
        </w:rPr>
        <w:t>3</w:t>
      </w:r>
      <w:r>
        <w:rPr>
          <w:rFonts w:hint="eastAsia" w:ascii="宋体" w:hAnsi="宋体" w:eastAsia="宋体" w:cs="宋体"/>
          <w:b/>
          <w:bCs/>
          <w:color w:val="auto"/>
          <w:sz w:val="21"/>
          <w:szCs w:val="21"/>
        </w:rPr>
        <w:t xml:space="preserve">  岩体Z值范围及其质量分级表</w:t>
      </w:r>
    </w:p>
    <w:tbl>
      <w:tblPr>
        <w:tblStyle w:val="54"/>
        <w:tblW w:w="85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8"/>
        <w:gridCol w:w="1196"/>
        <w:gridCol w:w="1304"/>
        <w:gridCol w:w="1304"/>
        <w:gridCol w:w="1304"/>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岩体结构类型</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代号</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岩体质量系数Z值一般范围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整体结构</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w:t>
            </w:r>
            <w:r>
              <w:rPr>
                <w:rFonts w:hint="eastAsia" w:ascii="宋体" w:hAnsi="宋体" w:eastAsia="宋体" w:cs="宋体"/>
                <w:color w:val="auto"/>
                <w:sz w:val="21"/>
                <w:szCs w:val="21"/>
                <w:vertAlign w:val="subscript"/>
              </w:rPr>
              <w:t>1</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块状结构</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w:t>
            </w:r>
            <w:r>
              <w:rPr>
                <w:rFonts w:hint="eastAsia" w:ascii="宋体" w:hAnsi="宋体" w:eastAsia="宋体" w:cs="宋体"/>
                <w:color w:val="auto"/>
                <w:sz w:val="21"/>
                <w:szCs w:val="21"/>
                <w:vertAlign w:val="subscript"/>
              </w:rPr>
              <w:t>2</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层状结构</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II</w:t>
            </w:r>
            <w:r>
              <w:rPr>
                <w:rFonts w:hint="eastAsia" w:ascii="宋体" w:hAnsi="宋体" w:eastAsia="宋体" w:cs="宋体"/>
                <w:color w:val="auto"/>
                <w:sz w:val="21"/>
                <w:szCs w:val="21"/>
                <w:vertAlign w:val="subscript"/>
              </w:rPr>
              <w:t>1</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薄层状结构</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II</w:t>
            </w:r>
            <w:r>
              <w:rPr>
                <w:rFonts w:hint="eastAsia" w:ascii="宋体" w:hAnsi="宋体" w:eastAsia="宋体" w:cs="宋体"/>
                <w:color w:val="auto"/>
                <w:sz w:val="21"/>
                <w:szCs w:val="21"/>
                <w:vertAlign w:val="subscript"/>
              </w:rPr>
              <w:t>2</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镶嵌结构</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III</w:t>
            </w:r>
            <w:r>
              <w:rPr>
                <w:rFonts w:hint="eastAsia" w:ascii="宋体" w:hAnsi="宋体" w:eastAsia="宋体" w:cs="宋体"/>
                <w:color w:val="auto"/>
                <w:sz w:val="21"/>
                <w:szCs w:val="21"/>
                <w:vertAlign w:val="subscript"/>
              </w:rPr>
              <w:t>1</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碎裂结构</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III</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、III</w:t>
            </w:r>
            <w:r>
              <w:rPr>
                <w:rFonts w:hint="eastAsia" w:ascii="宋体" w:hAnsi="宋体" w:eastAsia="宋体" w:cs="宋体"/>
                <w:color w:val="auto"/>
                <w:sz w:val="21"/>
                <w:szCs w:val="21"/>
                <w:vertAlign w:val="subscript"/>
              </w:rPr>
              <w:t>3</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散体结构</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IV</w:t>
            </w:r>
          </w:p>
        </w:tc>
        <w:tc>
          <w:tcPr>
            <w:tcW w:w="5216" w:type="dxa"/>
            <w:gridSpan w:val="4"/>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岩石质量系数(Z)</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0.1～0.3</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0.3～2.5</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2.5～4.5</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岩体质量等级</w:t>
            </w:r>
          </w:p>
        </w:tc>
        <w:tc>
          <w:tcPr>
            <w:tcW w:w="1196"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极坏</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坏</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好</w:t>
            </w:r>
          </w:p>
        </w:tc>
        <w:tc>
          <w:tcPr>
            <w:tcW w:w="1304"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特好</w:t>
            </w: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 xml:space="preserve">  岩体质量分级表</w:t>
      </w:r>
    </w:p>
    <w:tbl>
      <w:tblPr>
        <w:tblStyle w:val="54"/>
        <w:tblW w:w="84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382"/>
        <w:gridCol w:w="1383"/>
        <w:gridCol w:w="1383"/>
        <w:gridCol w:w="1383"/>
        <w:gridCol w:w="1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岩体分类</w:t>
            </w:r>
          </w:p>
        </w:tc>
        <w:tc>
          <w:tcPr>
            <w:tcW w:w="138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II</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III</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IV</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岩体质量指标(M)</w:t>
            </w:r>
          </w:p>
        </w:tc>
        <w:tc>
          <w:tcPr>
            <w:tcW w:w="138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1.0～3.0</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0.12～1.0</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0.01～0.12</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9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岩体质量</w:t>
            </w:r>
          </w:p>
        </w:tc>
        <w:tc>
          <w:tcPr>
            <w:tcW w:w="1382"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优</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良</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差</w:t>
            </w:r>
          </w:p>
        </w:tc>
        <w:tc>
          <w:tcPr>
            <w:tcW w:w="1383"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坏</w:t>
            </w: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 xml:space="preserve">  岩地层岩性及矿体岩体质量评述表</w:t>
      </w:r>
    </w:p>
    <w:tbl>
      <w:tblPr>
        <w:tblStyle w:val="54"/>
        <w:tblW w:w="83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7"/>
        <w:gridCol w:w="1659"/>
        <w:gridCol w:w="1659"/>
        <w:gridCol w:w="1659"/>
        <w:gridCol w:w="1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Merge w:val="restart"/>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地层岩性</w:t>
            </w:r>
          </w:p>
        </w:tc>
        <w:tc>
          <w:tcPr>
            <w:tcW w:w="3318" w:type="dxa"/>
            <w:gridSpan w:val="2"/>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指标法</w:t>
            </w:r>
          </w:p>
        </w:tc>
        <w:tc>
          <w:tcPr>
            <w:tcW w:w="3319" w:type="dxa"/>
            <w:gridSpan w:val="2"/>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系数法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Merge w:val="continue"/>
            <w:vAlign w:val="center"/>
          </w:tcPr>
          <w:p>
            <w:pPr>
              <w:widowControl w:val="0"/>
              <w:spacing w:line="360" w:lineRule="exact"/>
              <w:ind w:firstLine="0" w:firstLineChars="0"/>
              <w:jc w:val="center"/>
              <w:rPr>
                <w:rFonts w:hint="eastAsia" w:ascii="宋体" w:hAnsi="宋体" w:eastAsia="宋体" w:cs="宋体"/>
                <w:color w:val="auto"/>
                <w:sz w:val="21"/>
                <w:szCs w:val="21"/>
              </w:rPr>
            </w:pP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指标(M)</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等级</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系数(Z)</w:t>
            </w:r>
          </w:p>
        </w:tc>
        <w:tc>
          <w:tcPr>
            <w:tcW w:w="16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0.40</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0.45</w:t>
            </w:r>
          </w:p>
        </w:tc>
        <w:tc>
          <w:tcPr>
            <w:tcW w:w="16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37"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围岩</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1.31</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良</w:t>
            </w:r>
          </w:p>
        </w:tc>
        <w:tc>
          <w:tcPr>
            <w:tcW w:w="1659"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1.84</w:t>
            </w:r>
          </w:p>
        </w:tc>
        <w:tc>
          <w:tcPr>
            <w:tcW w:w="16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w:t>
            </w:r>
          </w:p>
        </w:tc>
      </w:tr>
    </w:tbl>
    <w:p>
      <w:pPr>
        <w:pageBreakBefore w:val="0"/>
        <w:widowControl/>
        <w:kinsoku/>
        <w:wordWrap/>
        <w:overflowPunct/>
        <w:topLinePunct w:val="0"/>
        <w:autoSpaceDE/>
        <w:autoSpaceDN/>
        <w:bidi w:val="0"/>
        <w:adjustRightInd/>
        <w:snapToGrid/>
        <w:spacing w:line="360" w:lineRule="auto"/>
        <w:ind w:left="0" w:lef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综上所述，依据岩体质量指标法(M)评述，砖用页岩矿体质量为中等，岩体分类等级为III，围岩质量为良，岩体分类登记为II，依据岩体质量系数法(Z)评述，砖用页岩矿体岩体质量等级为一般，围岩岩体质量等级为一般。</w:t>
      </w:r>
    </w:p>
    <w:p>
      <w:pPr>
        <w:pageBreakBefore w:val="0"/>
        <w:kinsoku/>
        <w:wordWrap/>
        <w:overflowPunct/>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、露天开采边坡稳定性评价及露天开采预设边坡角的确定</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预测露天开采形成的边坡类型为层状岩类边坡，无显第四系松散岩类边坡。岩性为砖红色铁泥质粉砂质页岩、砂质泥页岩夹细砂质粉砂岩。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矿山开采预设标高高于</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内最低地形标高，故本矿采用山坡露天开采，开采方法采用自上而下水平分层、台阶式采矿法。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岩性基本为第四系松散岩组和薄-中层状较软岩岩组。其中薄-中层状较软岩岩组，在饱和状态下单轴抗压强度平均值为27.87Mpa，在天然状态下单轴抗压强度为39.09Mpa；同时类比以往砖用页岩矿山露天开采预设边坡角，综合确定本矿山露天开采基岩处预设最终边坡角为≤ 45°。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后期开采需严格按照设计要求开采，及时削减过大的边坡角，控制各台阶边坡高度不大于10m，同时定期加强对不稳定边坡的监测，在危险地段设置警示牌及铁丝围栏。</w:t>
      </w:r>
    </w:p>
    <w:p>
      <w:pPr>
        <w:pageBreakBefore w:val="0"/>
        <w:kinsoku/>
        <w:wordWrap/>
        <w:overflowPunct/>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、预测采矿诱发或加剧的工程地质问题及防治措施</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露天采场连续靠帮开挖边坡引起斜坡天然应力状态的重分布，尤其在形成比较高的临空面以后斜坡卸荷作用加剧，导致原有裂隙面卸荷松动，从而直接导致了边坡的变形。</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岩体内顺坡的节理裂隙发育，且倾角大于坡角，岩石在水的作用下易软化，其抗剪强度大幅降低，对边坡的稳定性影响较大，易发生崩塌综上所述，露天开采边坡变形失稳是在自然边坡人工开挖后，在临空卸荷、爆破震动(地震)、降雨等作用下而逐渐形成的。其中边坡开挖工程活动是形成边坡斜坡变形失稳的直接因素，而降雨、爆破震动(地震)是发生边坡斜坡变形失稳的诱发因素。</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预测未来露天开采过程中可能诱发或加剧边坡斜坡失稳，为确保采矿生产的安全，针对人工边坡斜坡体应采取以下预防措施及防治建议：</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预防措施</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1)严格按开发利用方案进行采矿，对于已经大于设计边坡角和台阶坡角的斜坡体进行削坡减载处理。</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2)在采矿场外围修筑截水沟，拦截采矿场外围坡面水进入采矿场中，在采矿场里面修筑排水沟，尽快将采矿场里的水排出采坑。</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3)对采矿过程中由于卸荷形成的坡面裂缝应及时进行回填，防止地表水的入渗。</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防治建议</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1)根据边坡斜坡岩体类型、工程特性，有针对性的采用锚杆(索)喷锚支护、抗滑桩、框架梁锚固、挡墙、注浆加固、锚固洞、防护网防护等边坡斜坡治理工程。</w:t>
      </w:r>
    </w:p>
    <w:p>
      <w:pPr>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2)建立边坡斜坡体水平、垂直位移监测网点，开展斜坡体变形位移长期监测工作。</w:t>
      </w:r>
    </w:p>
    <w:p>
      <w:pPr>
        <w:pageBreakBefore w:val="0"/>
        <w:kinsoku/>
        <w:wordWrap/>
        <w:overflowPunct/>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、工程地质勘查类型划分</w:t>
      </w:r>
    </w:p>
    <w:p>
      <w:pPr>
        <w:pStyle w:val="63"/>
        <w:pageBreakBefore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区地形地貌较复杂，构造不发育。矿体围岩岩性单一，多为粉砂质页岩，多属较软岩。依据岩体质量指标法(M)评述，岩体质量为中等，岩体分类等级为III；依据岩体质量系数法(Z)评述，岩体质量等级为一般。建议最终边坡角≤45°。露采主要问题是可能产生边坡失稳及崩塌等工程地质问题，要加强边坡管理，采取必要的防护措施。确定矿床属层状岩类，工程地质条件中等。</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（五）</w:t>
      </w:r>
      <w:bookmarkEnd w:id="73"/>
      <w:r>
        <w:rPr>
          <w:rFonts w:hint="eastAsia"/>
          <w:color w:val="auto"/>
          <w:sz w:val="28"/>
          <w:szCs w:val="28"/>
        </w:rPr>
        <w:t>环境地质</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、区域稳定性</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79" w:name="_Hlk173936787"/>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地震</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北部一带为地震多发地带，据统计，矿区及周边自有记录以来，地震频发，但震级一般较小，在2020年1月在伽师县先后发生里氏5.4级和里氏6.4级地震。地震统计情况见表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p>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新疆伽师县及周边地震情况统计表</w:t>
      </w:r>
    </w:p>
    <w:tbl>
      <w:tblPr>
        <w:tblStyle w:val="54"/>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60"/>
        <w:gridCol w:w="708"/>
        <w:gridCol w:w="851"/>
        <w:gridCol w:w="850"/>
        <w:gridCol w:w="993"/>
        <w:gridCol w:w="2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发震时间</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震级(M)</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纬度(°)</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经度(°)</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深度(km)</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2024-06-15</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3.2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39.90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77.33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18</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2023-12-16</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3.0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39.24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77.41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新疆喀什地区巴楚县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2023-11-23</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4.0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39.51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77.23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2023-08-09</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3.6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39.95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77.44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2023-08-05</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3.1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39.47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77.28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2022-04-04</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3.4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39.53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77.01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2021-12-13</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3.2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39.94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77.16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2021-06-24</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3.4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39.89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77.16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18</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2021-02-11</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3.1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39.63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77.35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2020-07-03</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3.6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39.95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77.13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2020-05-03</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3.4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39.96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77.36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22</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2020-04-21</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3.6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39.94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77.25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13</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2020-04-12</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3.2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39.91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77.15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2020-03-07</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3.3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39.95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77.19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2020-02-21</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5.1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39.87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77.47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2020-01-19</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6.4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39.83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77.21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16</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2020-01-18</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5.4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39.83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77.18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18</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2019-12-05</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3.6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39.97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77.45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19</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2019-10-08</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3.0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39.84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77.17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2019-09-16</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3.8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39.54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77.26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19</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2019-08-17</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3.3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39.61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77.10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21</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22</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2019-01-28</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3.0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39.43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77.12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14</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2018-09-04</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4.7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39.51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77.00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24</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2018-08-29</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3.0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39.95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77.50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38</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25</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2018-04-25</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3.2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39.97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77.03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57</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26</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2017-09-08</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3.2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39.92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77.40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2015-10-22</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39.34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77.25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6.8</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28</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2014-08-09</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3.2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39.46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77.31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9.8</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29</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2013-01-26</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4.2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40.00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77.30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2012-08-07</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4.3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39.40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77.38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31</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2012-07-12</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3.0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39.41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77.25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32</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2012-04-07</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3.4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39.44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77.41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33</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2012-02-29</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3.1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39.45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77.35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新疆喀什地区伽师县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6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34</w:t>
            </w:r>
          </w:p>
        </w:tc>
        <w:tc>
          <w:tcPr>
            <w:tcW w:w="156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2012-01-03</w:t>
            </w:r>
          </w:p>
        </w:tc>
        <w:tc>
          <w:tcPr>
            <w:tcW w:w="708"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 </w:t>
            </w:r>
          </w:p>
        </w:tc>
        <w:tc>
          <w:tcPr>
            <w:tcW w:w="851"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39.97 </w:t>
            </w:r>
          </w:p>
        </w:tc>
        <w:tc>
          <w:tcPr>
            <w:tcW w:w="850"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77.31 </w:t>
            </w:r>
          </w:p>
        </w:tc>
        <w:tc>
          <w:tcPr>
            <w:tcW w:w="993"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2772" w:type="dxa"/>
            <w:vAlign w:val="center"/>
          </w:tcPr>
          <w:p>
            <w:pPr>
              <w:widowControl w:val="0"/>
              <w:spacing w:line="36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新疆克孜勒苏州阿图什市</w:t>
            </w:r>
          </w:p>
        </w:tc>
      </w:tr>
    </w:tbl>
    <w:p>
      <w:pPr>
        <w:spacing w:line="240" w:lineRule="auto"/>
        <w:ind w:firstLine="0" w:firstLineChars="0"/>
        <w:rPr>
          <w:color w:val="auto"/>
        </w:rPr>
      </w:pPr>
    </w:p>
    <w:p>
      <w:pPr>
        <w:spacing w:line="240" w:lineRule="auto"/>
        <w:ind w:firstLine="0" w:firstLineChars="0"/>
        <w:jc w:val="center"/>
        <w:rPr>
          <w:b/>
          <w:bCs/>
          <w:color w:val="auto"/>
          <w:sz w:val="24"/>
          <w:szCs w:val="24"/>
        </w:rPr>
      </w:pPr>
    </w:p>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图</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地震动峰值加速度范围</w:t>
      </w:r>
    </w:p>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7</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地震动峰值加速度分区的峰值加速度范围</w:t>
      </w:r>
    </w:p>
    <w:tbl>
      <w:tblPr>
        <w:tblStyle w:val="54"/>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地震动峰值加速度a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分区值</w:t>
            </w:r>
          </w:p>
        </w:tc>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地震动峰值加速度a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0.05g</w:t>
            </w:r>
          </w:p>
        </w:tc>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0.04≤a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0.10g</w:t>
            </w:r>
          </w:p>
        </w:tc>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0.09≤a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0.15g</w:t>
            </w:r>
          </w:p>
        </w:tc>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0.14≤a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0.20g</w:t>
            </w:r>
          </w:p>
        </w:tc>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0.19≤a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0.30g</w:t>
            </w:r>
          </w:p>
        </w:tc>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0.28≤a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0.40g</w:t>
            </w:r>
          </w:p>
        </w:tc>
        <w:tc>
          <w:tcPr>
            <w:tcW w:w="4148"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0.38≤a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＜0.75</w:t>
            </w:r>
          </w:p>
        </w:tc>
      </w:tr>
    </w:tbl>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eastAsia="宋体" w:cs="宋体"/>
          <w:b/>
          <w:bCs/>
          <w:color w:val="auto"/>
          <w:sz w:val="21"/>
          <w:szCs w:val="21"/>
          <w:lang w:val="en-US" w:eastAsia="zh-CN"/>
        </w:rPr>
        <w:t>8</w:t>
      </w:r>
      <w:r>
        <w:rPr>
          <w:rFonts w:hint="eastAsia" w:ascii="宋体" w:hAnsi="宋体" w:eastAsia="宋体" w:cs="宋体"/>
          <w:b/>
          <w:bCs/>
          <w:color w:val="auto"/>
          <w:sz w:val="21"/>
          <w:szCs w:val="21"/>
        </w:rPr>
        <w:t xml:space="preserve">  地震动峰值加速度与地震基本烈度对照表</w:t>
      </w:r>
    </w:p>
    <w:tbl>
      <w:tblPr>
        <w:tblStyle w:val="54"/>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474"/>
        <w:gridCol w:w="1474"/>
        <w:gridCol w:w="1474"/>
        <w:gridCol w:w="1474"/>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地震动峰值加速度(g)</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0.04≤a</w:t>
            </w:r>
            <w:r>
              <w:rPr>
                <w:rFonts w:hint="eastAsia" w:ascii="宋体" w:hAnsi="宋体" w:eastAsia="宋体" w:cs="宋体"/>
                <w:color w:val="auto"/>
                <w:sz w:val="21"/>
                <w:szCs w:val="21"/>
                <w:vertAlign w:val="subscript"/>
              </w:rPr>
              <w:t>max</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＜0.09</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0.09≤a</w:t>
            </w:r>
            <w:r>
              <w:rPr>
                <w:rFonts w:hint="eastAsia" w:ascii="宋体" w:hAnsi="宋体" w:eastAsia="宋体" w:cs="宋体"/>
                <w:color w:val="auto"/>
                <w:sz w:val="21"/>
                <w:szCs w:val="21"/>
                <w:vertAlign w:val="subscript"/>
              </w:rPr>
              <w:t>max</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＜0.19</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0.19≤a</w:t>
            </w:r>
            <w:r>
              <w:rPr>
                <w:rFonts w:hint="eastAsia" w:ascii="宋体" w:hAnsi="宋体" w:eastAsia="宋体" w:cs="宋体"/>
                <w:color w:val="auto"/>
                <w:sz w:val="21"/>
                <w:szCs w:val="21"/>
                <w:vertAlign w:val="subscript"/>
              </w:rPr>
              <w:t>max</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＜0.38</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vertAlign w:val="subscript"/>
              </w:rPr>
            </w:pPr>
            <w:r>
              <w:rPr>
                <w:rFonts w:hint="eastAsia" w:ascii="宋体" w:hAnsi="宋体" w:eastAsia="宋体" w:cs="宋体"/>
                <w:color w:val="auto"/>
                <w:sz w:val="21"/>
                <w:szCs w:val="21"/>
              </w:rPr>
              <w:t>0.38≤a</w:t>
            </w:r>
            <w:r>
              <w:rPr>
                <w:rFonts w:hint="eastAsia" w:ascii="宋体" w:hAnsi="宋体" w:eastAsia="宋体" w:cs="宋体"/>
                <w:color w:val="auto"/>
                <w:sz w:val="21"/>
                <w:szCs w:val="21"/>
                <w:vertAlign w:val="subscript"/>
              </w:rPr>
              <w:t>max</w:t>
            </w:r>
          </w:p>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＜0.75</w:t>
            </w:r>
          </w:p>
        </w:tc>
        <w:tc>
          <w:tcPr>
            <w:tcW w:w="147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a</w:t>
            </w:r>
            <w:r>
              <w:rPr>
                <w:rFonts w:hint="eastAsia" w:ascii="宋体" w:hAnsi="宋体" w:eastAsia="宋体" w:cs="宋体"/>
                <w:color w:val="auto"/>
                <w:sz w:val="21"/>
                <w:szCs w:val="21"/>
                <w:vertAlign w:val="subscript"/>
              </w:rPr>
              <w:t>max</w:t>
            </w:r>
            <w:r>
              <w:rPr>
                <w:rFonts w:hint="eastAsia" w:ascii="宋体" w:hAnsi="宋体" w:eastAsia="宋体" w:cs="宋体"/>
                <w:color w:val="auto"/>
                <w:sz w:val="21"/>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76"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地震烈度</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VI</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VII</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VIII</w:t>
            </w:r>
          </w:p>
        </w:tc>
        <w:tc>
          <w:tcPr>
            <w:tcW w:w="1474"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IX</w:t>
            </w:r>
          </w:p>
        </w:tc>
        <w:tc>
          <w:tcPr>
            <w:tcW w:w="147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≥X</w:t>
            </w:r>
          </w:p>
        </w:tc>
      </w:tr>
    </w:tbl>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）地壳稳定性</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根据地壳结构、新生代地壳变形、现代构造应力场、地震震级、地震基本烈度、地震动峰值加速度等指标，并考虑地貌、地质灾害等条件进行地壳稳定性划分(表</w:t>
      </w:r>
      <w:r>
        <w:rPr>
          <w:rFonts w:hint="eastAsia" w:ascii="宋体" w:hAnsi="宋体" w:cs="宋体"/>
          <w:color w:val="auto"/>
          <w:sz w:val="24"/>
          <w:szCs w:val="24"/>
          <w:lang w:val="en-US" w:eastAsia="zh-CN"/>
        </w:rPr>
        <w:t>1</w:t>
      </w:r>
      <w:r>
        <w:rPr>
          <w:rFonts w:hint="eastAsia" w:ascii="宋体" w:hAnsi="宋体" w:eastAsia="宋体" w:cs="宋体"/>
          <w:color w:val="auto"/>
          <w:sz w:val="24"/>
          <w:szCs w:val="24"/>
          <w:lang w:eastAsia="zh-CN"/>
        </w:rPr>
        <w:t>-1</w:t>
      </w:r>
      <w:r>
        <w:rPr>
          <w:rFonts w:hint="eastAsia" w:ascii="宋体" w:hAnsi="宋体" w:cs="宋体"/>
          <w:color w:val="auto"/>
          <w:sz w:val="24"/>
          <w:szCs w:val="24"/>
          <w:lang w:val="en-US" w:eastAsia="zh-CN"/>
        </w:rPr>
        <w:t>9</w:t>
      </w:r>
      <w:r>
        <w:rPr>
          <w:rFonts w:hint="eastAsia" w:ascii="宋体" w:hAnsi="宋体" w:eastAsia="宋体" w:cs="宋体"/>
          <w:color w:val="auto"/>
          <w:sz w:val="24"/>
          <w:szCs w:val="24"/>
          <w:lang w:eastAsia="zh-CN"/>
        </w:rPr>
        <w:t>)。</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矿区及周边地震动峰值加速度0.3g，地震基本烈度值为VIII度。按表中划分标准，地壳稳定性划分为次不稳定区Ⅲ。根据《建筑抗震设计规范》(GB50011-2001)中的规定，抗震设防烈度为I度及以上地区的建筑物，必须进行抗震设防。</w:t>
      </w:r>
    </w:p>
    <w:p>
      <w:pPr>
        <w:ind w:firstLine="0" w:firstLineChars="0"/>
        <w:jc w:val="center"/>
        <w:rPr>
          <w:rFonts w:hint="eastAsia" w:ascii="宋体" w:hAnsi="宋体" w:eastAsia="宋体" w:cs="宋体"/>
          <w:b/>
          <w:bCs/>
          <w:color w:val="auto"/>
          <w:sz w:val="21"/>
          <w:szCs w:val="21"/>
        </w:rPr>
      </w:pPr>
    </w:p>
    <w:p>
      <w:pPr>
        <w:ind w:firstLine="0" w:firstLineChars="0"/>
        <w:jc w:val="center"/>
        <w:rPr>
          <w:rFonts w:hint="eastAsia" w:ascii="宋体" w:hAnsi="宋体" w:eastAsia="宋体" w:cs="宋体"/>
          <w:b/>
          <w:bCs/>
          <w:color w:val="auto"/>
          <w:sz w:val="21"/>
          <w:szCs w:val="21"/>
        </w:rPr>
      </w:pPr>
    </w:p>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-1</w:t>
      </w:r>
      <w:r>
        <w:rPr>
          <w:rFonts w:hint="eastAsia" w:ascii="宋体" w:hAnsi="宋体" w:eastAsia="宋体" w:cs="宋体"/>
          <w:b/>
          <w:bCs/>
          <w:color w:val="auto"/>
          <w:sz w:val="21"/>
          <w:szCs w:val="21"/>
          <w:lang w:val="en-US" w:eastAsia="zh-CN"/>
        </w:rPr>
        <w:t>9</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地壳稳定性等级和判别指标一览表</w:t>
      </w:r>
    </w:p>
    <w:tbl>
      <w:tblPr>
        <w:tblStyle w:val="54"/>
        <w:tblW w:w="97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45"/>
        <w:gridCol w:w="1984"/>
        <w:gridCol w:w="1134"/>
        <w:gridCol w:w="1163"/>
        <w:gridCol w:w="963"/>
        <w:gridCol w:w="851"/>
        <w:gridCol w:w="877"/>
        <w:gridCol w:w="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6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稳定性</w:t>
            </w:r>
          </w:p>
        </w:tc>
        <w:tc>
          <w:tcPr>
            <w:tcW w:w="1445"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地壳结构</w:t>
            </w:r>
          </w:p>
        </w:tc>
        <w:tc>
          <w:tcPr>
            <w:tcW w:w="1984"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新生代地壳变形、火山、地热</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迭加断裂角α</w:t>
            </w:r>
          </w:p>
        </w:tc>
        <w:tc>
          <w:tcPr>
            <w:tcW w:w="11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布格异常梯度Bs</w:t>
            </w:r>
          </w:p>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w:t>
            </w:r>
            <w:r>
              <w:rPr>
                <w:rFonts w:hint="eastAsia" w:ascii="宋体" w:hAnsi="宋体" w:eastAsia="宋体" w:cs="宋体"/>
                <w:color w:val="auto"/>
                <w:sz w:val="18"/>
                <w:szCs w:val="18"/>
                <w:vertAlign w:val="superscript"/>
              </w:rPr>
              <w:t>5</w:t>
            </w:r>
            <w:r>
              <w:rPr>
                <w:rFonts w:hint="eastAsia" w:ascii="宋体" w:hAnsi="宋体" w:eastAsia="宋体" w:cs="宋体"/>
                <w:color w:val="auto"/>
                <w:sz w:val="18"/>
                <w:szCs w:val="18"/>
              </w:rPr>
              <w:t>ms·</w:t>
            </w:r>
          </w:p>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km</w:t>
            </w:r>
            <w:r>
              <w:rPr>
                <w:rFonts w:hint="eastAsia" w:ascii="宋体" w:hAnsi="宋体" w:eastAsia="宋体" w:cs="宋体"/>
                <w:color w:val="auto"/>
                <w:sz w:val="18"/>
                <w:szCs w:val="18"/>
                <w:vertAlign w:val="superscript"/>
              </w:rPr>
              <w:t>2</w:t>
            </w:r>
            <w:r>
              <w:rPr>
                <w:rFonts w:hint="eastAsia" w:ascii="宋体" w:hAnsi="宋体" w:eastAsia="宋体" w:cs="宋体"/>
                <w:color w:val="auto"/>
                <w:sz w:val="18"/>
                <w:szCs w:val="18"/>
              </w:rPr>
              <w:t>)</w:t>
            </w:r>
          </w:p>
        </w:tc>
        <w:tc>
          <w:tcPr>
            <w:tcW w:w="9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最大震级</w:t>
            </w:r>
          </w:p>
        </w:tc>
        <w:tc>
          <w:tcPr>
            <w:tcW w:w="851"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基本烈度</w:t>
            </w:r>
          </w:p>
        </w:tc>
        <w:tc>
          <w:tcPr>
            <w:tcW w:w="8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地震动峰值加速度</w:t>
            </w:r>
          </w:p>
        </w:tc>
        <w:tc>
          <w:tcPr>
            <w:tcW w:w="68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工程建设条件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I稳定区</w:t>
            </w:r>
          </w:p>
        </w:tc>
        <w:tc>
          <w:tcPr>
            <w:tcW w:w="1445"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块状结构，缺乏深断裂或仅有基底断裂，地壳完整性好</w:t>
            </w:r>
          </w:p>
        </w:tc>
        <w:tc>
          <w:tcPr>
            <w:tcW w:w="1984"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缺乏第四系断裂，大面积上升，第四纪地壳沉降速率＜1mm/a，缺乏第四纪火山。</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0～10°</w:t>
            </w:r>
          </w:p>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70～90°</w:t>
            </w:r>
          </w:p>
        </w:tc>
        <w:tc>
          <w:tcPr>
            <w:tcW w:w="11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比较均匀变化，缺乏梯度带</w:t>
            </w:r>
          </w:p>
        </w:tc>
        <w:tc>
          <w:tcPr>
            <w:tcW w:w="9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M＜5.5</w:t>
            </w:r>
          </w:p>
        </w:tc>
        <w:tc>
          <w:tcPr>
            <w:tcW w:w="851"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I≤6°</w:t>
            </w:r>
          </w:p>
        </w:tc>
        <w:tc>
          <w:tcPr>
            <w:tcW w:w="8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0.05～0.1</w:t>
            </w:r>
          </w:p>
        </w:tc>
        <w:tc>
          <w:tcPr>
            <w:tcW w:w="68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II基本稳定区</w:t>
            </w:r>
          </w:p>
        </w:tc>
        <w:tc>
          <w:tcPr>
            <w:tcW w:w="1445"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镶嵌结构，深断裂连续分布，间距大，地壳较完整</w:t>
            </w:r>
          </w:p>
        </w:tc>
        <w:tc>
          <w:tcPr>
            <w:tcW w:w="1984"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存在第四纪断裂，长度不大，第四纪地壳沉降速率0.1～0.4mm/a，缺乏第四纪火山。</w:t>
            </w:r>
          </w:p>
        </w:tc>
        <w:tc>
          <w:tcPr>
            <w:tcW w:w="1134"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11～24°</w:t>
            </w:r>
          </w:p>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51～70°</w:t>
            </w:r>
          </w:p>
        </w:tc>
        <w:tc>
          <w:tcPr>
            <w:tcW w:w="11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地段性异常梯度带Bs=0.5-2.0</w:t>
            </w:r>
          </w:p>
        </w:tc>
        <w:tc>
          <w:tcPr>
            <w:tcW w:w="9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5.5≤M≤6.0</w:t>
            </w:r>
          </w:p>
        </w:tc>
        <w:tc>
          <w:tcPr>
            <w:tcW w:w="851"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I=7°</w:t>
            </w:r>
          </w:p>
        </w:tc>
        <w:tc>
          <w:tcPr>
            <w:tcW w:w="8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0.15</w:t>
            </w:r>
          </w:p>
        </w:tc>
        <w:tc>
          <w:tcPr>
            <w:tcW w:w="68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适宜但需抗震设计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III次不稳定区</w:t>
            </w:r>
          </w:p>
        </w:tc>
        <w:tc>
          <w:tcPr>
            <w:tcW w:w="1445" w:type="dxa"/>
            <w:vMerge w:val="restart"/>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块状结构，深断裂成带出现，长度已大于百公里，地块呈条形，菱形地壳破碎</w:t>
            </w:r>
          </w:p>
        </w:tc>
        <w:tc>
          <w:tcPr>
            <w:tcW w:w="1984" w:type="dxa"/>
            <w:vMerge w:val="restart"/>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发育晚更新世和全新世以来活动断裂，延伸长度大于百公里，存在近代活动断裂引起的M＞6级地震，第四纪地壳沉降速率大于0.4mm/a，存在第四纪火山，温泉带。</w:t>
            </w:r>
          </w:p>
        </w:tc>
        <w:tc>
          <w:tcPr>
            <w:tcW w:w="1134" w:type="dxa"/>
            <w:vMerge w:val="restart"/>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25～50°</w:t>
            </w:r>
          </w:p>
        </w:tc>
        <w:tc>
          <w:tcPr>
            <w:tcW w:w="11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区域性异常梯度带Bs=2.0-3.0</w:t>
            </w:r>
          </w:p>
        </w:tc>
        <w:tc>
          <w:tcPr>
            <w:tcW w:w="9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6.0≤M≤7.0</w:t>
            </w:r>
          </w:p>
        </w:tc>
        <w:tc>
          <w:tcPr>
            <w:tcW w:w="851"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I=8°～9°</w:t>
            </w:r>
          </w:p>
        </w:tc>
        <w:tc>
          <w:tcPr>
            <w:tcW w:w="8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0.20～0.4</w:t>
            </w:r>
          </w:p>
        </w:tc>
        <w:tc>
          <w:tcPr>
            <w:tcW w:w="68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中等适宜。需加强抗震和工程措施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3" w:hRule="atLeast"/>
          <w:jc w:val="center"/>
        </w:trPr>
        <w:tc>
          <w:tcPr>
            <w:tcW w:w="6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IV不稳定区</w:t>
            </w:r>
          </w:p>
        </w:tc>
        <w:tc>
          <w:tcPr>
            <w:tcW w:w="1445" w:type="dxa"/>
            <w:vMerge w:val="continue"/>
            <w:vAlign w:val="center"/>
          </w:tcPr>
          <w:p>
            <w:pPr>
              <w:widowControl w:val="0"/>
              <w:spacing w:line="240" w:lineRule="auto"/>
              <w:ind w:firstLine="0" w:firstLineChars="0"/>
              <w:jc w:val="center"/>
              <w:rPr>
                <w:rFonts w:hint="eastAsia" w:ascii="宋体" w:hAnsi="宋体" w:eastAsia="宋体" w:cs="宋体"/>
                <w:color w:val="auto"/>
                <w:sz w:val="18"/>
                <w:szCs w:val="18"/>
              </w:rPr>
            </w:pPr>
          </w:p>
        </w:tc>
        <w:tc>
          <w:tcPr>
            <w:tcW w:w="1984" w:type="dxa"/>
            <w:vMerge w:val="continue"/>
            <w:vAlign w:val="center"/>
          </w:tcPr>
          <w:p>
            <w:pPr>
              <w:widowControl w:val="0"/>
              <w:spacing w:line="240" w:lineRule="auto"/>
              <w:ind w:firstLine="0" w:firstLineChars="0"/>
              <w:jc w:val="center"/>
              <w:rPr>
                <w:rFonts w:hint="eastAsia" w:ascii="宋体" w:hAnsi="宋体" w:eastAsia="宋体" w:cs="宋体"/>
                <w:color w:val="auto"/>
                <w:sz w:val="18"/>
                <w:szCs w:val="18"/>
              </w:rPr>
            </w:pPr>
          </w:p>
        </w:tc>
        <w:tc>
          <w:tcPr>
            <w:tcW w:w="1134" w:type="dxa"/>
            <w:vMerge w:val="continue"/>
            <w:vAlign w:val="center"/>
          </w:tcPr>
          <w:p>
            <w:pPr>
              <w:widowControl w:val="0"/>
              <w:spacing w:line="240" w:lineRule="auto"/>
              <w:ind w:firstLine="0" w:firstLineChars="0"/>
              <w:jc w:val="center"/>
              <w:rPr>
                <w:rFonts w:hint="eastAsia" w:ascii="宋体" w:hAnsi="宋体" w:eastAsia="宋体" w:cs="宋体"/>
                <w:color w:val="auto"/>
                <w:sz w:val="18"/>
                <w:szCs w:val="18"/>
              </w:rPr>
            </w:pPr>
          </w:p>
        </w:tc>
        <w:tc>
          <w:tcPr>
            <w:tcW w:w="11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区域性异常梯度带Bs＞3.0</w:t>
            </w:r>
          </w:p>
        </w:tc>
        <w:tc>
          <w:tcPr>
            <w:tcW w:w="963"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M≥7.25</w:t>
            </w:r>
          </w:p>
        </w:tc>
        <w:tc>
          <w:tcPr>
            <w:tcW w:w="851"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I≥10°</w:t>
            </w:r>
          </w:p>
        </w:tc>
        <w:tc>
          <w:tcPr>
            <w:tcW w:w="87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≥0.4</w:t>
            </w:r>
          </w:p>
        </w:tc>
        <w:tc>
          <w:tcPr>
            <w:tcW w:w="687" w:type="dxa"/>
            <w:vAlign w:val="center"/>
          </w:tcPr>
          <w:p>
            <w:pPr>
              <w:widowControl w:val="0"/>
              <w:spacing w:line="240" w:lineRule="auto"/>
              <w:ind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不适宜</w:t>
            </w:r>
          </w:p>
        </w:tc>
      </w:tr>
    </w:tbl>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w:t>
      </w:r>
      <w:r>
        <w:rPr>
          <w:rFonts w:hint="eastAsia" w:ascii="宋体" w:hAnsi="宋体" w:eastAsia="宋体" w:cs="宋体"/>
          <w:b/>
          <w:bCs/>
          <w:color w:val="auto"/>
          <w:sz w:val="24"/>
          <w:szCs w:val="24"/>
          <w:lang w:eastAsia="zh-CN"/>
        </w:rPr>
        <w:t>矿区</w:t>
      </w:r>
      <w:r>
        <w:rPr>
          <w:rFonts w:hint="eastAsia" w:ascii="宋体" w:hAnsi="宋体" w:eastAsia="宋体" w:cs="宋体"/>
          <w:b/>
          <w:bCs/>
          <w:color w:val="auto"/>
          <w:sz w:val="24"/>
          <w:szCs w:val="24"/>
        </w:rPr>
        <w:t>环境现状</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社会环境</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面积小，位于中低山丘陵地区，基岩裸露，无明显人类工程活动。</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外南东东4km处外西克尔镇，以往人类工程经济活动主要为农业生产、房屋土建、电力通讯设施、水利设施、矿产开发、交通运输、防洪排导渠建设等，随着周边地震频发，西克尔镇居民已全部内迁，现状下西克尔镇仅剩少量人员经营餐饮活动，人类活动较弱。</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自然环境</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属中低山丘陵地貌。季节及昼夜温度变化大，气候干燥寒冷，降雨多集中于5-9月，夏季由于冰雪融化和降雨易爆发小型山洪</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内植被不发育，仅在部分沟谷中生长着低矮的草本植物，野生动物资源贫乏，有黄羊、野鸡等。</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内无永久性居民。开采将造成少量植被破坏及附近部分动物的迁徙，</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综上所述，</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自然环境比较脆弱。</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地质环境条件</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1)主要环境地质问题</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面积小，区内环境地质问题主要为小型洪流，在暴雨来临时可在冲沟内形成小型洪流。</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的地形地貌条件有利于区域地表水向主沟道内汇集形成洪流，洪流携带松散堆积物向下游运移，沿途不断有支沟向其补给水源和物源在主沟道内可能逐渐形成势能强大的水泥流(洪水)，最终水泥流固体物质堆积于出山口处。沟道两侧的滚石、局部凹型坡面的粉土以及沟道内的水泥流堆积物，为水泥流的形成提供了物源，</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具典型的陆性干旱半干旱气候特点，多年平均降水量为74.7毫米，降水多集中于 5-9 月，此期间常出现暴雨天气，多年平均最大日降水量达29.4毫米，且具有强度大、历时短等特点，为水泥流的形成提供了较强的水动力条件，是水泥流灾害形成的主导因素。</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2)现状地质灾害发育情况</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内地质灾害不发育，仅在区内存在1处小型崩塌灾害，崩塌类型为岩质崩塌，崩塌方量在2-3立方米，下方已出现崩塌堆积体，当前工区无人，将来崩塌体主要威胁下方施工人员。</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3)环境地质条件复杂程度</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内地形简单，地貌类型单一，地质构造不发育，岩性岩相稳定地质灾害主要为小型洪水，但上游流域面积小，物源少，峰值流量小，危害程度低，危险性小，初步确定</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地质环境复杂程度为简单。</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地表水环境质量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现状下，</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内无常年性流水的河流，在</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南侧2km处有一西克尔水库，PH为7.65，矿化度为1.351克/升。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根据地表水环境质量标准(GB3838-2002)可知，现状条件下地表水中的各常规组分和微量组分含量均小于Ⅲ类。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放射性检测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放射性样品采于ZK001中，共采集1件，其目的是了解在生产开采阶段矿石对人体的有害放射性元素，由核工业二一六大队检测研究院出具检测报告，检测结果见表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。该</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主要为砖用页岩，依据建筑材料放射性核素限量规范 GB6566-2010确定，建筑主体材料中天然放射性核元素镭-226、钍-232、钾-40的放射性比活度应同时满足I</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≤1.0和I</w:t>
      </w:r>
      <w:r>
        <w:rPr>
          <w:rFonts w:hint="eastAsia" w:ascii="宋体" w:hAnsi="宋体" w:eastAsia="宋体" w:cs="宋体"/>
          <w:color w:val="auto"/>
          <w:sz w:val="24"/>
          <w:szCs w:val="24"/>
          <w:vertAlign w:val="subscript"/>
        </w:rPr>
        <w:t>r</w:t>
      </w:r>
      <w:r>
        <w:rPr>
          <w:rFonts w:hint="eastAsia" w:ascii="宋体" w:hAnsi="宋体" w:eastAsia="宋体" w:cs="宋体"/>
          <w:color w:val="auto"/>
          <w:sz w:val="24"/>
          <w:szCs w:val="24"/>
        </w:rPr>
        <w:t>≤1.0；对空心率大于25%的建筑主体材料，其天然放射性核元素镭-226、钍-232、钾-40的放射性比活度应同时满足I</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≤1.0和I</w:t>
      </w:r>
      <w:r>
        <w:rPr>
          <w:rFonts w:hint="eastAsia" w:ascii="宋体" w:hAnsi="宋体" w:eastAsia="宋体" w:cs="宋体"/>
          <w:color w:val="auto"/>
          <w:sz w:val="24"/>
          <w:szCs w:val="24"/>
          <w:vertAlign w:val="subscript"/>
        </w:rPr>
        <w:t>r</w:t>
      </w:r>
      <w:r>
        <w:rPr>
          <w:rFonts w:hint="eastAsia" w:ascii="宋体" w:hAnsi="宋体" w:eastAsia="宋体" w:cs="宋体"/>
          <w:color w:val="auto"/>
          <w:sz w:val="24"/>
          <w:szCs w:val="24"/>
        </w:rPr>
        <w:t>≤1.3。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1)内照射指数I</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=C</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/200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I</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——内照射指数；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C</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——建筑材料中天然放射性核素镭-226的放射性比活度，单位为贝克每千克(Bq·kg</w:t>
      </w:r>
      <w:r>
        <w:rPr>
          <w:rFonts w:hint="eastAsia" w:ascii="宋体" w:hAnsi="宋体" w:eastAsia="宋体" w:cs="宋体"/>
          <w:color w:val="auto"/>
          <w:sz w:val="24"/>
          <w:szCs w:val="24"/>
          <w:vertAlign w:val="superscript"/>
        </w:rPr>
        <w:t>-1</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200——仅考虑内照射情况下，本标准规定的建筑材料中放射性核素镭-226的放射性比活度限量，单位为贝克每千克(Bq·kg</w:t>
      </w:r>
      <w:r>
        <w:rPr>
          <w:rFonts w:hint="eastAsia" w:ascii="宋体" w:hAnsi="宋体" w:eastAsia="宋体" w:cs="宋体"/>
          <w:color w:val="auto"/>
          <w:sz w:val="24"/>
          <w:szCs w:val="24"/>
          <w:vertAlign w:val="superscript"/>
        </w:rPr>
        <w:t>-1</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2)外照射指数I</w:t>
      </w:r>
      <w:r>
        <w:rPr>
          <w:rFonts w:hint="eastAsia" w:ascii="宋体" w:hAnsi="宋体" w:eastAsia="宋体" w:cs="宋体"/>
          <w:color w:val="auto"/>
          <w:sz w:val="24"/>
          <w:szCs w:val="24"/>
          <w:vertAlign w:val="subscript"/>
        </w:rPr>
        <w:t>γ</w:t>
      </w:r>
      <w:r>
        <w:rPr>
          <w:rFonts w:hint="eastAsia" w:ascii="宋体" w:hAnsi="宋体" w:eastAsia="宋体" w:cs="宋体"/>
          <w:color w:val="auto"/>
          <w:sz w:val="24"/>
          <w:szCs w:val="24"/>
        </w:rPr>
        <w:t>= C</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/370+ C</w:t>
      </w:r>
      <w:r>
        <w:rPr>
          <w:rFonts w:hint="eastAsia" w:ascii="宋体" w:hAnsi="宋体" w:eastAsia="宋体" w:cs="宋体"/>
          <w:color w:val="auto"/>
          <w:sz w:val="24"/>
          <w:szCs w:val="24"/>
          <w:vertAlign w:val="subscript"/>
        </w:rPr>
        <w:t>Th</w:t>
      </w:r>
      <w:r>
        <w:rPr>
          <w:rFonts w:hint="eastAsia" w:ascii="宋体" w:hAnsi="宋体" w:eastAsia="宋体" w:cs="宋体"/>
          <w:color w:val="auto"/>
          <w:sz w:val="24"/>
          <w:szCs w:val="24"/>
        </w:rPr>
        <w:t>/260+ C</w:t>
      </w:r>
      <w:r>
        <w:rPr>
          <w:rFonts w:hint="eastAsia" w:ascii="宋体" w:hAnsi="宋体" w:eastAsia="宋体" w:cs="宋体"/>
          <w:color w:val="auto"/>
          <w:sz w:val="24"/>
          <w:szCs w:val="24"/>
          <w:vertAlign w:val="subscript"/>
        </w:rPr>
        <w:t>K</w:t>
      </w:r>
      <w:r>
        <w:rPr>
          <w:rFonts w:hint="eastAsia" w:ascii="宋体" w:hAnsi="宋体" w:eastAsia="宋体" w:cs="宋体"/>
          <w:color w:val="auto"/>
          <w:sz w:val="24"/>
          <w:szCs w:val="24"/>
        </w:rPr>
        <w:t>/4200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式中：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I</w:t>
      </w:r>
      <w:r>
        <w:rPr>
          <w:rFonts w:hint="eastAsia" w:ascii="宋体" w:hAnsi="宋体" w:eastAsia="宋体" w:cs="宋体"/>
          <w:color w:val="auto"/>
          <w:sz w:val="24"/>
          <w:szCs w:val="24"/>
          <w:vertAlign w:val="subscript"/>
        </w:rPr>
        <w:t>γ</w:t>
      </w:r>
      <w:r>
        <w:rPr>
          <w:rFonts w:hint="eastAsia" w:ascii="宋体" w:hAnsi="宋体" w:eastAsia="宋体" w:cs="宋体"/>
          <w:color w:val="auto"/>
          <w:sz w:val="24"/>
          <w:szCs w:val="24"/>
        </w:rPr>
        <w:t>——外照射指数；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C</w:t>
      </w:r>
      <w:r>
        <w:rPr>
          <w:rFonts w:hint="eastAsia" w:ascii="宋体" w:hAnsi="宋体" w:eastAsia="宋体" w:cs="宋体"/>
          <w:color w:val="auto"/>
          <w:sz w:val="24"/>
          <w:szCs w:val="24"/>
          <w:vertAlign w:val="subscript"/>
        </w:rPr>
        <w:t>Ra</w:t>
      </w:r>
      <w:r>
        <w:rPr>
          <w:rFonts w:hint="eastAsia" w:ascii="宋体" w:hAnsi="宋体" w:eastAsia="宋体" w:cs="宋体"/>
          <w:color w:val="auto"/>
          <w:sz w:val="24"/>
          <w:szCs w:val="24"/>
        </w:rPr>
        <w:t>、C</w:t>
      </w:r>
      <w:r>
        <w:rPr>
          <w:rFonts w:hint="eastAsia" w:ascii="宋体" w:hAnsi="宋体" w:eastAsia="宋体" w:cs="宋体"/>
          <w:color w:val="auto"/>
          <w:sz w:val="24"/>
          <w:szCs w:val="24"/>
          <w:vertAlign w:val="subscript"/>
        </w:rPr>
        <w:t>Th</w:t>
      </w:r>
      <w:r>
        <w:rPr>
          <w:rFonts w:hint="eastAsia" w:ascii="宋体" w:hAnsi="宋体" w:eastAsia="宋体" w:cs="宋体"/>
          <w:color w:val="auto"/>
          <w:sz w:val="24"/>
          <w:szCs w:val="24"/>
        </w:rPr>
        <w:t>、C</w:t>
      </w:r>
      <w:r>
        <w:rPr>
          <w:rFonts w:hint="eastAsia" w:ascii="宋体" w:hAnsi="宋体" w:eastAsia="宋体" w:cs="宋体"/>
          <w:color w:val="auto"/>
          <w:sz w:val="24"/>
          <w:szCs w:val="24"/>
          <w:vertAlign w:val="subscript"/>
        </w:rPr>
        <w:t>K</w:t>
      </w:r>
      <w:r>
        <w:rPr>
          <w:rFonts w:hint="eastAsia" w:ascii="宋体" w:hAnsi="宋体" w:eastAsia="宋体" w:cs="宋体"/>
          <w:color w:val="auto"/>
          <w:sz w:val="24"/>
          <w:szCs w:val="24"/>
        </w:rPr>
        <w:t>——分别为建筑材料中天然放射性核素镭-226、钍-232和钾-40的放射性比活度，单位为贝克每千克(Bq·kg</w:t>
      </w:r>
      <w:r>
        <w:rPr>
          <w:rFonts w:hint="eastAsia" w:ascii="宋体" w:hAnsi="宋体" w:eastAsia="宋体" w:cs="宋体"/>
          <w:color w:val="auto"/>
          <w:sz w:val="24"/>
          <w:szCs w:val="24"/>
          <w:vertAlign w:val="superscript"/>
        </w:rPr>
        <w:t>-1</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color w:val="auto"/>
        </w:rPr>
      </w:pPr>
      <w:r>
        <w:rPr>
          <w:rFonts w:hint="eastAsia" w:ascii="宋体" w:hAnsi="宋体" w:eastAsia="宋体" w:cs="宋体"/>
          <w:color w:val="auto"/>
          <w:sz w:val="24"/>
          <w:szCs w:val="24"/>
        </w:rPr>
        <w:t>370、260、4200——分别为仅考虑外照射情况下，本标准规定的建筑材料中天然放射性核素镭-226、钍-232和钾-40在其各自单独存在时本标准规定的限量，单位为贝克每千克(Bq·kg</w:t>
      </w:r>
      <w:r>
        <w:rPr>
          <w:rFonts w:hint="eastAsia" w:ascii="宋体" w:hAnsi="宋体" w:eastAsia="宋体" w:cs="宋体"/>
          <w:color w:val="auto"/>
          <w:sz w:val="24"/>
          <w:szCs w:val="24"/>
          <w:vertAlign w:val="superscript"/>
        </w:rPr>
        <w:t>-1</w:t>
      </w:r>
      <w:r>
        <w:rPr>
          <w:rFonts w:hint="eastAsia" w:ascii="宋体" w:hAnsi="宋体" w:eastAsia="宋体" w:cs="宋体"/>
          <w:color w:val="auto"/>
          <w:sz w:val="24"/>
          <w:szCs w:val="24"/>
        </w:rPr>
        <w:t>)。</w:t>
      </w:r>
    </w:p>
    <w:p>
      <w:pPr>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20</w:t>
      </w:r>
      <w:r>
        <w:rPr>
          <w:rFonts w:hint="eastAsia" w:ascii="宋体" w:hAnsi="宋体" w:eastAsia="宋体" w:cs="宋体"/>
          <w:b/>
          <w:bCs/>
          <w:color w:val="auto"/>
          <w:sz w:val="21"/>
          <w:szCs w:val="21"/>
        </w:rPr>
        <w:t xml:space="preserve">  矿区放射性检测结果表</w:t>
      </w:r>
    </w:p>
    <w:tbl>
      <w:tblPr>
        <w:tblStyle w:val="54"/>
        <w:tblW w:w="82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1319"/>
        <w:gridCol w:w="2126"/>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2547"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样品编号</w:t>
            </w:r>
          </w:p>
        </w:tc>
        <w:tc>
          <w:tcPr>
            <w:tcW w:w="1319"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vertAlign w:val="superscript"/>
              </w:rPr>
              <w:t>226</w:t>
            </w:r>
            <w:r>
              <w:rPr>
                <w:rFonts w:hint="eastAsia" w:ascii="宋体" w:hAnsi="宋体" w:eastAsia="宋体" w:cs="宋体"/>
                <w:color w:val="auto"/>
                <w:sz w:val="21"/>
                <w:szCs w:val="21"/>
              </w:rPr>
              <w:t>Ra(Bq/kg)</w:t>
            </w:r>
          </w:p>
        </w:tc>
        <w:tc>
          <w:tcPr>
            <w:tcW w:w="2126"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vertAlign w:val="superscript"/>
              </w:rPr>
              <w:t>232</w:t>
            </w:r>
            <w:r>
              <w:rPr>
                <w:rFonts w:hint="eastAsia" w:ascii="宋体" w:hAnsi="宋体" w:eastAsia="宋体" w:cs="宋体"/>
                <w:color w:val="auto"/>
                <w:sz w:val="21"/>
                <w:szCs w:val="21"/>
              </w:rPr>
              <w:t>Th(Bq/kg)</w:t>
            </w:r>
          </w:p>
        </w:tc>
        <w:tc>
          <w:tcPr>
            <w:tcW w:w="2268"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vertAlign w:val="superscript"/>
              </w:rPr>
              <w:t>40</w:t>
            </w:r>
            <w:r>
              <w:rPr>
                <w:rFonts w:hint="eastAsia" w:ascii="宋体" w:hAnsi="宋体" w:eastAsia="宋体" w:cs="宋体"/>
                <w:color w:val="auto"/>
                <w:sz w:val="21"/>
                <w:szCs w:val="21"/>
              </w:rPr>
              <w:t>K(Bq/kg)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2" w:hRule="atLeast"/>
          <w:jc w:val="center"/>
        </w:trPr>
        <w:tc>
          <w:tcPr>
            <w:tcW w:w="2547"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FS01</w:t>
            </w:r>
          </w:p>
        </w:tc>
        <w:tc>
          <w:tcPr>
            <w:tcW w:w="1319"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51.2</w:t>
            </w:r>
          </w:p>
        </w:tc>
        <w:tc>
          <w:tcPr>
            <w:tcW w:w="2126"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40.0</w:t>
            </w:r>
          </w:p>
        </w:tc>
        <w:tc>
          <w:tcPr>
            <w:tcW w:w="2268" w:type="dxa"/>
            <w:vAlign w:val="center"/>
          </w:tcPr>
          <w:p>
            <w:pPr>
              <w:widowControl w:val="0"/>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907.0</w:t>
            </w:r>
          </w:p>
        </w:tc>
      </w:tr>
    </w:tbl>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依据测试结果及上式(1)(2)计算可知，本矿区矿石放射性指标符合建筑主体材料中天然放射性指标要求。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6</w:t>
      </w:r>
      <w:r>
        <w:rPr>
          <w:rFonts w:hint="eastAsia" w:ascii="宋体" w:hAnsi="宋体" w:cs="宋体"/>
          <w:color w:val="auto"/>
          <w:sz w:val="24"/>
          <w:szCs w:val="24"/>
          <w:lang w:eastAsia="zh-CN"/>
        </w:rPr>
        <w:t>）</w:t>
      </w:r>
      <w:r>
        <w:rPr>
          <w:rFonts w:hint="eastAsia" w:ascii="宋体" w:hAnsi="宋体" w:eastAsia="宋体" w:cs="宋体"/>
          <w:color w:val="auto"/>
          <w:sz w:val="24"/>
          <w:szCs w:val="24"/>
        </w:rPr>
        <w:t>其他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内无名胜古迹、自然保护区、地质遗迹、地质公园及风景旅游区等，矿山建设不存在对其影响。</w:t>
      </w:r>
    </w:p>
    <w:bookmarkEnd w:id="79"/>
    <w:p>
      <w:pPr>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、预测采矿诱发或加剧的环境地质问题及防治措施建议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矿区环境地质问题预测评价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1)产生粉尘、噪音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在采矿、放矿、铲矿、运输、破碎等一系列工序流程中，都会产生大量的废石及大量的粉尘；矿山开采、爆破、机械均产生不同程度的噪音；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2)诱发地质灾害的发生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在临空卸荷、爆破震动(地震)、降雨等作用下会诱发地质灾害的发生。露天开采和切坡工程，受开采过程多次振动作用后，已松动或开裂的岩体易失稳，矿区范围内有遭受崩塌地质灾害的可能，危害中等，预测评价此类地质灾害危险性中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3)加剧地形地貌景观的破坏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随着露天采矿活动的进行，会加剧地形地貌景观的破坏，最终损毁土地面积为 0.3729km</w:t>
      </w:r>
      <w:r>
        <w:rPr>
          <w:rFonts w:hint="eastAsia" w:ascii="宋体" w:hAnsi="宋体" w:eastAsia="宋体" w:cs="宋体"/>
          <w:color w:val="auto"/>
          <w:sz w:val="24"/>
          <w:szCs w:val="24"/>
          <w:vertAlign w:val="superscript"/>
        </w:rPr>
        <w:t>2</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4)污染地下水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随着矿区人类工程经济活动的增多，地下水环境将要受到个各种污染因素的影响，主要是居住区生活污水、垃圾，工业场地生产排出水，未经处理的污水在排放过程中以渗透方式污染区域地下水。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防治措施建议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1)对于粉尘、噪音，生产过程中须从源头上控制粉尘、噪音的产生，如定期酒水、降噪帷幕，从业人员须佩戴防尘口罩。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2)对于崩塌，及时进行监测记录。设立警示标志，提醒作业人员、车辆远离崩塌危险区。对目前直接威胁作业人员、车辆的崩塌危岩体，采用头部削方减重清除方法防治。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3)开采过程中严格控制台阶高度，严格按照预设的边坡角开采，对于坡度过大的边坡须削坡或支护治理。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4)对该区天气预报要及时掌握，雨季、春季融雪期间加强矿区沟谷的巡视监测，预防暴雨可能引发泥石流、崩塌等地质灾害的发生。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5)实行矿长负责制。矿区安全员负责监测，包括记录、汇总分析上报等。</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6)地面监测采取人工巡视检查的方式进行。</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7)发现有异常情况及时上报矿业主管领导及矿区主管矿长，以采取有效措施防止灾害发生。</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8)矿体是不可再生固体矿产，水是可循环资源，因此要最大限度利用天然资源，统筹规划，统一管理，做到合理开发矿石、水资源。</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9)对污水进行处理，减少污染，增加水资源的重复利用率；坚决杜绝将污水、废水未经处理就以渗坑、散流的形式任意排放。</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、环境地质类型划分</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综上所述，矿区属次不稳定区，现状发育崩塌地质灾害，采矿将产生地表变形、废石堆积和粉尘污染，对地质环境有一定破坏。无放射性危害。确定矿床地质环境质量中等。</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（六）矿体特征</w:t>
      </w:r>
    </w:p>
    <w:p>
      <w:pPr>
        <w:pageBreakBefore w:val="0"/>
        <w:widowControl/>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bookmarkStart w:id="80" w:name="_Toc178328968"/>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矿体形态、规模及产状</w:t>
      </w:r>
      <w:bookmarkEnd w:id="80"/>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矿</w:t>
      </w:r>
      <w:r>
        <w:rPr>
          <w:rFonts w:hint="eastAsia" w:ascii="宋体" w:hAnsi="宋体" w:eastAsia="宋体" w:cs="宋体"/>
          <w:color w:val="auto"/>
          <w:sz w:val="24"/>
          <w:szCs w:val="24"/>
        </w:rPr>
        <w:t>区范围内页岩共圈定三个矿体，编号为I-1号、I-2号和II号。矿体上界随地形的起伏变化而变化，从平面图上看矿体形态呈带状。</w:t>
      </w:r>
      <w:r>
        <w:rPr>
          <w:rFonts w:hint="eastAsia" w:ascii="宋体" w:hAnsi="宋体" w:eastAsia="宋体" w:cs="宋体"/>
          <w:color w:val="auto"/>
          <w:sz w:val="24"/>
          <w:szCs w:val="24"/>
          <w:lang w:eastAsia="zh-CN"/>
        </w:rPr>
        <w:t>矿区</w:t>
      </w:r>
      <w:r>
        <w:rPr>
          <w:rFonts w:hint="eastAsia" w:ascii="宋体" w:hAnsi="宋体" w:eastAsia="宋体" w:cs="宋体"/>
          <w:color w:val="auto"/>
          <w:sz w:val="24"/>
          <w:szCs w:val="24"/>
        </w:rPr>
        <w:t>内呈东西向展布，倾向北。普查施工的钻探工程揭露最低标高为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m，拟设准采标高为</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m至</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m（图</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w:t>
      </w:r>
    </w:p>
    <w:p>
      <w:pPr>
        <w:spacing w:line="240" w:lineRule="auto"/>
        <w:ind w:left="-304" w:leftChars="-152" w:firstLine="0" w:firstLineChars="0"/>
        <w:jc w:val="center"/>
        <w:rPr>
          <w:rFonts w:hint="eastAsia" w:eastAsia="宋体"/>
          <w:color w:val="auto"/>
          <w:lang w:eastAsia="zh-CN"/>
        </w:rPr>
      </w:pPr>
    </w:p>
    <w:p>
      <w:pPr>
        <w:spacing w:line="30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图</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eastAsia="zh-CN"/>
        </w:rPr>
        <w:t>矿区</w:t>
      </w:r>
      <w:r>
        <w:rPr>
          <w:rFonts w:hint="eastAsia" w:ascii="宋体" w:hAnsi="宋体" w:eastAsia="宋体" w:cs="宋体"/>
          <w:b/>
          <w:bCs/>
          <w:color w:val="auto"/>
          <w:sz w:val="21"/>
          <w:szCs w:val="21"/>
        </w:rPr>
        <w:t>工程分布图</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I-1号矿体：位于矿区北部，由ZK001和勘查线剖面控制。矿体地表出露长约970m，地表出露宽50m～260m，矿体厚71.0m～249.5m，平均厚170.3m，矿体变化系数0.44。矿体总体倾向约345°～0°，倾角65°～70°，平均倾角67°。矿体顶板矿区内未出露，底板为岩屑石英砂岩，区内未见第四系残坡积物覆盖。</w:t>
      </w:r>
    </w:p>
    <w:p>
      <w:pPr>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I-2号矿体：位于矿区中间，由ZK001和勘查线剖面控制。矿体地表出露长约830m，地表出露宽90m～170m，矿体厚80.1m～99.8m，平均厚92.1m，矿体变化系数0.09。矿体总体倾向约345°～0°，倾角40°～50°，平均倾角45°。矿体顶板为岩屑石英砂岩，底板为II号矿体，区内未见第四系残坡积物覆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II号矿体：位于矿区南部，由TC0、TC2和勘查线剖面控制。矿体地表出露长约670m，地表出露宽90m～1350m，矿体厚63.3m～91.1m，平均厚77.9m，矿体变化系数0.15。矿体总体倾向约345°～0°，倾角40°～50°，平均倾角45°。矿体顶板为I-2号矿体，底板矿区内未揭露，区内未见第四系残坡积物覆盖。</w:t>
      </w:r>
    </w:p>
    <w:p>
      <w:pPr>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bookmarkStart w:id="81" w:name="_Toc178328969"/>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矿石质量</w:t>
      </w:r>
      <w:bookmarkEnd w:id="81"/>
    </w:p>
    <w:p>
      <w:pPr>
        <w:keepNext w:val="0"/>
        <w:keepLines w:val="0"/>
        <w:pageBreakBefore w:val="0"/>
        <w:widowControl w:val="0"/>
        <w:kinsoku/>
        <w:wordWrap/>
        <w:overflowPunct/>
        <w:topLinePunct w:val="0"/>
        <w:autoSpaceDE/>
        <w:autoSpaceDN/>
        <w:bidi w:val="0"/>
        <w:adjustRightInd/>
        <w:snapToGrid/>
        <w:spacing w:before="0" w:after="0"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矿石的自然类型及矿物成分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矿石的自然类型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矿石的自然类型有2种：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其一为粉砂质页岩，泥状～粉砂状结构，页理构造。主要成分以长石、石英、岩屑和铁泥质组成；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其二为砂质泥页岩，砂状～泥状结构，页理构造。主要成分由长石、石英、岩屑和粘土矿物组成。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矿物成分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w:t>
      </w:r>
      <w:r>
        <w:rPr>
          <w:rFonts w:hint="eastAsia" w:ascii="宋体" w:hAnsi="宋体" w:eastAsia="宋体" w:cs="宋体"/>
          <w:color w:val="auto"/>
          <w:sz w:val="24"/>
          <w:szCs w:val="24"/>
        </w:rPr>
        <w:t>长石：次棱角状，0.02～0.20mm，具泥化，微定向，部分为细砂质。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②</w:t>
      </w:r>
      <w:r>
        <w:rPr>
          <w:rFonts w:hint="eastAsia" w:ascii="宋体" w:hAnsi="宋体" w:eastAsia="宋体" w:cs="宋体"/>
          <w:color w:val="auto"/>
          <w:sz w:val="24"/>
          <w:szCs w:val="24"/>
        </w:rPr>
        <w:t>石英：次棱角状，0.01～0.20mm，部分为细砂质，微定向分布。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③</w:t>
      </w:r>
      <w:r>
        <w:rPr>
          <w:rFonts w:hint="eastAsia" w:ascii="宋体" w:hAnsi="宋体" w:eastAsia="宋体" w:cs="宋体"/>
          <w:color w:val="auto"/>
          <w:sz w:val="24"/>
          <w:szCs w:val="24"/>
        </w:rPr>
        <w:t>岩屑：次棱角状，0.02～0.10mm，少量为细砂质，成分多为云母、长英质集合体，微定向分布。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④</w:t>
      </w:r>
      <w:r>
        <w:rPr>
          <w:rFonts w:hint="eastAsia" w:ascii="宋体" w:hAnsi="宋体" w:eastAsia="宋体" w:cs="宋体"/>
          <w:color w:val="auto"/>
          <w:sz w:val="24"/>
          <w:szCs w:val="24"/>
        </w:rPr>
        <w:t>填隙物：主要由铁泥质和粘土矿物组成，隐晶质，微定向分布。</w:t>
      </w:r>
    </w:p>
    <w:p>
      <w:pPr>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、矿石的化学组分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矿石多元素分析结果，普查工作在区内有代表性的选取了20件样品进行了多元素分析，从中了解矿石中的主要造岩元素及其氧化物的含量，分析项目为8项，为确定基本分析项目及计算页岩矿的主要元素提供依据。结果见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1。</w:t>
      </w:r>
    </w:p>
    <w:p>
      <w:pPr>
        <w:spacing w:line="300" w:lineRule="exact"/>
        <w:ind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 xml:space="preserve">1  </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t>矿区</w:t>
      </w:r>
      <w:r>
        <w:rPr>
          <w:rFonts w:hint="eastAsia" w:ascii="宋体" w:hAnsi="宋体" w:eastAsia="宋体" w:cs="宋体"/>
          <w:b/>
          <w:bCs/>
          <w:color w:val="auto"/>
          <w:sz w:val="21"/>
          <w:szCs w:val="21"/>
        </w:rPr>
        <w:t>矿石多元素分析结果表</w:t>
      </w:r>
    </w:p>
    <w:tbl>
      <w:tblPr>
        <w:tblStyle w:val="54"/>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555"/>
        <w:gridCol w:w="850"/>
        <w:gridCol w:w="992"/>
        <w:gridCol w:w="851"/>
        <w:gridCol w:w="850"/>
        <w:gridCol w:w="851"/>
        <w:gridCol w:w="709"/>
        <w:gridCol w:w="708"/>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09" w:type="dxa"/>
            <w:vMerge w:val="restart"/>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矿石类别</w:t>
            </w:r>
          </w:p>
        </w:tc>
        <w:tc>
          <w:tcPr>
            <w:tcW w:w="1555" w:type="dxa"/>
            <w:vMerge w:val="restart"/>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样品</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p>
        </w:tc>
        <w:tc>
          <w:tcPr>
            <w:tcW w:w="6520" w:type="dxa"/>
            <w:gridSpan w:val="8"/>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分析项目及结果(%)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SiO</w:t>
            </w:r>
            <w:r>
              <w:rPr>
                <w:rFonts w:hint="eastAsia" w:ascii="宋体" w:hAnsi="宋体" w:eastAsia="宋体" w:cs="宋体"/>
                <w:color w:val="auto"/>
                <w:sz w:val="21"/>
                <w:szCs w:val="21"/>
                <w:vertAlign w:val="subscript"/>
              </w:rPr>
              <w:t>2</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Al</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3</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Fe</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3</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CaO</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MgO</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K</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Na</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restart"/>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夹石</w:t>
            </w: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TC0-H8</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86.66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3.58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3.05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1.55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1.26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1.38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TC0-H10</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89.55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4.77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2.52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0.22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0.40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1.74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0.20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TC0-H28</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82.61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6.34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5.20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1.05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0.97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2.24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0.18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TC1-H21</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89.05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4.15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1.56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0.53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0.56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1.50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0.32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TC1-H30</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92.73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3.11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1.30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0.60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0.32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1.31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0.11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88.12</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4.39</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2.73</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0.79</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0.70</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1.63</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0.17</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restart"/>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矿体</w:t>
            </w: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TC0-H42</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65.34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8.99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3.41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2.08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1.98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2.69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0.46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TC1-H3</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54.00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20.23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12.84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2.42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1.59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3.68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1.53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TC0-H2</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56.67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10.11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7.24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2.09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1.43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2.98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1.32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TC2-H5</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54.90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11.42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7.31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8.59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2.71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2.62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2.26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TC2-H30</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46.37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11.30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5.34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10.58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2.91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2.38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1.52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TC2-H34</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49.55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10.05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4.84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11.06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3.56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2.69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1.49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TC2-H35</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45.29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11.81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4.84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13.11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3.10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2.81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1.99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TC2-H54</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55.39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9.36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4.05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10.11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2.17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2.11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1.91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TC2-H64</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56.69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10.35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6.81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2.46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1.88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2.96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1.63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ZK0001-H5</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61.41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10.48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4.07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4.23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2.23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2.65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1.23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ZK0001-H8</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63.71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12.22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4.90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3.85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2.76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3.19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1.35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ZK0001-H10</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62.81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11.59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4.48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4.56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2.49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2.51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1.46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ZK0001-H13</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62.90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13.91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6.19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1.71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3.10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3.44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1.40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ZK0001-H15</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60.01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14.94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6.44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2.00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3.53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3.84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1.43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ZK0001-H18</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66.55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10.39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4.05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2.70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2.35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2.95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1.13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Merge w:val="continue"/>
            <w:vAlign w:val="center"/>
          </w:tcPr>
          <w:p>
            <w:pPr>
              <w:widowControl w:val="0"/>
              <w:spacing w:line="300" w:lineRule="exact"/>
              <w:ind w:firstLine="0" w:firstLineChars="0"/>
              <w:jc w:val="center"/>
              <w:rPr>
                <w:rFonts w:hint="eastAsia" w:ascii="宋体" w:hAnsi="宋体" w:eastAsia="宋体" w:cs="宋体"/>
                <w:color w:val="auto"/>
                <w:sz w:val="21"/>
                <w:szCs w:val="21"/>
              </w:rPr>
            </w:pPr>
          </w:p>
        </w:tc>
        <w:tc>
          <w:tcPr>
            <w:tcW w:w="1555"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平均</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57.44 </w:t>
            </w:r>
          </w:p>
        </w:tc>
        <w:tc>
          <w:tcPr>
            <w:tcW w:w="99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11.81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5.79 </w:t>
            </w:r>
          </w:p>
        </w:tc>
        <w:tc>
          <w:tcPr>
            <w:tcW w:w="85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5.44 </w:t>
            </w:r>
          </w:p>
        </w:tc>
        <w:tc>
          <w:tcPr>
            <w:tcW w:w="85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2.52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2.90 </w:t>
            </w:r>
          </w:p>
        </w:tc>
        <w:tc>
          <w:tcPr>
            <w:tcW w:w="70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1.47 </w:t>
            </w:r>
          </w:p>
        </w:tc>
        <w:tc>
          <w:tcPr>
            <w:tcW w:w="70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0.11 </w:t>
            </w:r>
          </w:p>
        </w:tc>
      </w:tr>
    </w:tbl>
    <w:p>
      <w:pPr>
        <w:pStyle w:val="63"/>
        <w:rPr>
          <w:rFonts w:hint="eastAsia" w:ascii="宋体" w:hAnsi="宋体" w:eastAsia="宋体" w:cs="宋体"/>
          <w:color w:val="auto"/>
          <w:highlight w:val="yellow"/>
        </w:rPr>
      </w:pPr>
      <w:r>
        <w:rPr>
          <w:rFonts w:hint="eastAsia"/>
          <w:color w:val="auto"/>
        </w:rPr>
        <w:t>从分析结果看，</w:t>
      </w:r>
      <w:r>
        <w:rPr>
          <w:rFonts w:hint="eastAsia"/>
          <w:color w:val="auto"/>
          <w:lang w:eastAsia="zh-CN"/>
        </w:rPr>
        <w:t>矿区</w:t>
      </w:r>
      <w:r>
        <w:rPr>
          <w:rFonts w:hint="eastAsia"/>
          <w:color w:val="auto"/>
        </w:rPr>
        <w:t>内矿石主要化学组分均为Si</w:t>
      </w:r>
      <w:r>
        <w:rPr>
          <w:color w:val="auto"/>
        </w:rPr>
        <w:t>O</w:t>
      </w:r>
      <w:r>
        <w:rPr>
          <w:color w:val="auto"/>
          <w:vertAlign w:val="subscript"/>
        </w:rPr>
        <w:t>2</w:t>
      </w:r>
      <w:r>
        <w:rPr>
          <w:rFonts w:hint="eastAsia"/>
          <w:color w:val="auto"/>
        </w:rPr>
        <w:t>、Al</w:t>
      </w:r>
      <w:r>
        <w:rPr>
          <w:color w:val="auto"/>
          <w:vertAlign w:val="subscript"/>
        </w:rPr>
        <w:t>2</w:t>
      </w:r>
      <w:r>
        <w:rPr>
          <w:color w:val="auto"/>
        </w:rPr>
        <w:t>O</w:t>
      </w:r>
      <w:r>
        <w:rPr>
          <w:color w:val="auto"/>
          <w:vertAlign w:val="subscript"/>
        </w:rPr>
        <w:t>3</w:t>
      </w:r>
      <w:r>
        <w:rPr>
          <w:rFonts w:hint="eastAsia"/>
          <w:color w:val="auto"/>
        </w:rPr>
        <w:t>、F</w:t>
      </w:r>
      <w:r>
        <w:rPr>
          <w:color w:val="auto"/>
        </w:rPr>
        <w:t>e</w:t>
      </w:r>
      <w:r>
        <w:rPr>
          <w:color w:val="auto"/>
          <w:vertAlign w:val="subscript"/>
        </w:rPr>
        <w:t>2</w:t>
      </w:r>
      <w:r>
        <w:rPr>
          <w:color w:val="auto"/>
        </w:rPr>
        <w:t>O</w:t>
      </w:r>
      <w:r>
        <w:rPr>
          <w:color w:val="auto"/>
          <w:vertAlign w:val="subscript"/>
        </w:rPr>
        <w:t>3</w:t>
      </w:r>
      <w:r>
        <w:rPr>
          <w:rFonts w:hint="eastAsia"/>
          <w:color w:val="auto"/>
        </w:rPr>
        <w:t>、CaO、Mg</w:t>
      </w:r>
      <w:r>
        <w:rPr>
          <w:color w:val="auto"/>
        </w:rPr>
        <w:t>O</w:t>
      </w:r>
      <w:r>
        <w:rPr>
          <w:rFonts w:hint="eastAsia"/>
          <w:color w:val="auto"/>
        </w:rPr>
        <w:t>、K</w:t>
      </w:r>
      <w:r>
        <w:rPr>
          <w:color w:val="auto"/>
          <w:vertAlign w:val="subscript"/>
        </w:rPr>
        <w:t>2</w:t>
      </w:r>
      <w:r>
        <w:rPr>
          <w:color w:val="auto"/>
        </w:rPr>
        <w:t>O</w:t>
      </w:r>
      <w:r>
        <w:rPr>
          <w:rFonts w:hint="eastAsia"/>
          <w:color w:val="auto"/>
        </w:rPr>
        <w:t>、Na</w:t>
      </w:r>
      <w:r>
        <w:rPr>
          <w:color w:val="auto"/>
          <w:vertAlign w:val="subscript"/>
        </w:rPr>
        <w:t>2</w:t>
      </w:r>
      <w:r>
        <w:rPr>
          <w:color w:val="auto"/>
        </w:rPr>
        <w:t>O</w:t>
      </w:r>
      <w:r>
        <w:rPr>
          <w:rFonts w:hint="eastAsia"/>
          <w:color w:val="auto"/>
        </w:rPr>
        <w:t>、S</w:t>
      </w:r>
      <w:r>
        <w:rPr>
          <w:color w:val="auto"/>
        </w:rPr>
        <w:t>O</w:t>
      </w:r>
      <w:r>
        <w:rPr>
          <w:color w:val="auto"/>
          <w:vertAlign w:val="subscript"/>
        </w:rPr>
        <w:t>3</w:t>
      </w:r>
      <w:r>
        <w:rPr>
          <w:rFonts w:hint="eastAsia"/>
          <w:color w:val="auto"/>
        </w:rPr>
        <w:t>。对照砖瓦用粘土岩类一般工业指标：SiO</w:t>
      </w:r>
      <w:r>
        <w:rPr>
          <w:rFonts w:hint="eastAsia"/>
          <w:color w:val="auto"/>
          <w:vertAlign w:val="subscript"/>
        </w:rPr>
        <w:t>2</w:t>
      </w:r>
      <w:r>
        <w:rPr>
          <w:rFonts w:hint="eastAsia"/>
          <w:color w:val="auto"/>
        </w:rPr>
        <w:t>含量53～70%，Al</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含量10～20%，Fe</w:t>
      </w:r>
      <w:r>
        <w:rPr>
          <w:rFonts w:hint="eastAsia"/>
          <w:color w:val="auto"/>
          <w:vertAlign w:val="subscript"/>
        </w:rPr>
        <w:t>2</w:t>
      </w:r>
      <w:r>
        <w:rPr>
          <w:rFonts w:hint="eastAsia"/>
          <w:color w:val="auto"/>
        </w:rPr>
        <w:t>O</w:t>
      </w:r>
      <w:r>
        <w:rPr>
          <w:rFonts w:hint="eastAsia"/>
          <w:color w:val="auto"/>
          <w:vertAlign w:val="subscript"/>
        </w:rPr>
        <w:t>3</w:t>
      </w:r>
      <w:r>
        <w:rPr>
          <w:rFonts w:hint="eastAsia"/>
          <w:color w:val="auto"/>
        </w:rPr>
        <w:t>含量3～10%，CaO含量≤15%，MgO含量≤3%，S</w:t>
      </w:r>
      <w:r>
        <w:rPr>
          <w:color w:val="auto"/>
        </w:rPr>
        <w:t>O</w:t>
      </w:r>
      <w:r>
        <w:rPr>
          <w:color w:val="auto"/>
          <w:vertAlign w:val="subscript"/>
        </w:rPr>
        <w:t>3</w:t>
      </w:r>
      <w:r>
        <w:rPr>
          <w:rFonts w:hint="eastAsia"/>
          <w:color w:val="auto"/>
        </w:rPr>
        <w:t>含量≤3</w:t>
      </w:r>
      <w:r>
        <w:rPr>
          <w:color w:val="auto"/>
        </w:rPr>
        <w:t>%</w:t>
      </w:r>
      <w:r>
        <w:rPr>
          <w:rFonts w:hint="eastAsia"/>
          <w:color w:val="auto"/>
        </w:rPr>
        <w:t>，K</w:t>
      </w:r>
      <w:r>
        <w:rPr>
          <w:color w:val="auto"/>
          <w:vertAlign w:val="subscript"/>
        </w:rPr>
        <w:t>2</w:t>
      </w:r>
      <w:r>
        <w:rPr>
          <w:color w:val="auto"/>
        </w:rPr>
        <w:t>O</w:t>
      </w:r>
      <w:r>
        <w:rPr>
          <w:rFonts w:hint="eastAsia"/>
          <w:color w:val="auto"/>
        </w:rPr>
        <w:t>+Na</w:t>
      </w:r>
      <w:r>
        <w:rPr>
          <w:color w:val="auto"/>
          <w:vertAlign w:val="subscript"/>
        </w:rPr>
        <w:t>2</w:t>
      </w:r>
      <w:r>
        <w:rPr>
          <w:color w:val="auto"/>
        </w:rPr>
        <w:t>O</w:t>
      </w:r>
      <w:r>
        <w:rPr>
          <w:rFonts w:hint="eastAsia"/>
          <w:color w:val="auto"/>
        </w:rPr>
        <w:t>含量1～5</w:t>
      </w:r>
      <w:r>
        <w:rPr>
          <w:color w:val="auto"/>
        </w:rPr>
        <w:t>%</w:t>
      </w:r>
      <w:r>
        <w:rPr>
          <w:rFonts w:hint="eastAsia"/>
          <w:color w:val="auto"/>
        </w:rPr>
        <w:t>，各项均符合砖瓦用粘土岩工业指标要求，该矿石可作为砖瓦用原材料。</w:t>
      </w:r>
    </w:p>
    <w:p>
      <w:pPr>
        <w:pStyle w:val="63"/>
        <w:rPr>
          <w:rFonts w:hint="eastAsia"/>
          <w:b/>
          <w:bCs/>
          <w:color w:val="auto"/>
        </w:rPr>
      </w:pPr>
      <w:bookmarkStart w:id="82" w:name="_Toc178328970"/>
      <w:r>
        <w:rPr>
          <w:rFonts w:hint="eastAsia"/>
          <w:b/>
          <w:bCs/>
          <w:color w:val="auto"/>
          <w:lang w:val="en-US" w:eastAsia="zh-CN"/>
        </w:rPr>
        <w:t>3、</w:t>
      </w:r>
      <w:r>
        <w:rPr>
          <w:rFonts w:hint="eastAsia"/>
          <w:b/>
          <w:bCs/>
          <w:color w:val="auto"/>
        </w:rPr>
        <w:t>矿石风（氧）化特征</w:t>
      </w:r>
      <w:bookmarkEnd w:id="82"/>
    </w:p>
    <w:p>
      <w:pPr>
        <w:pStyle w:val="63"/>
        <w:rPr>
          <w:rFonts w:hint="eastAsia"/>
          <w:color w:val="auto"/>
        </w:rPr>
      </w:pPr>
      <w:r>
        <w:rPr>
          <w:rFonts w:hint="eastAsia"/>
          <w:color w:val="auto"/>
        </w:rPr>
        <w:t>本矿区开采范围内未见第四系腐殖土，地表风化页岩矿体，岩石呈块状，用手指可在岩石表面搓出泥团，岩石强度较弱，其下为微风化的页岩，岩石新鲜面呈砖红色、灰白色夹灰绿色，风化层岩石可作为砖瓦用页岩矿体。因此，根据砖瓦用页岩的相关指标参数，本矿区内，风化层可作砖瓦用矿体，本次普查工作风化层矿体作为矿体整体圈定，不单独圈出。</w:t>
      </w:r>
    </w:p>
    <w:p>
      <w:pPr>
        <w:pStyle w:val="63"/>
        <w:rPr>
          <w:rFonts w:hint="eastAsia"/>
          <w:b/>
          <w:bCs/>
          <w:color w:val="auto"/>
        </w:rPr>
      </w:pPr>
      <w:bookmarkStart w:id="83" w:name="_Toc178328971"/>
      <w:r>
        <w:rPr>
          <w:rFonts w:hint="eastAsia"/>
          <w:b/>
          <w:bCs/>
          <w:color w:val="auto"/>
          <w:lang w:val="en-US" w:eastAsia="zh-CN"/>
        </w:rPr>
        <w:t>4、</w:t>
      </w:r>
      <w:r>
        <w:rPr>
          <w:rFonts w:hint="eastAsia"/>
          <w:b/>
          <w:bCs/>
          <w:color w:val="auto"/>
        </w:rPr>
        <w:t>矿石围岩及夹层</w:t>
      </w:r>
      <w:bookmarkEnd w:id="83"/>
    </w:p>
    <w:p>
      <w:pPr>
        <w:pStyle w:val="63"/>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矿石围岩</w:t>
      </w:r>
    </w:p>
    <w:p>
      <w:pPr>
        <w:pStyle w:val="63"/>
        <w:rPr>
          <w:rFonts w:hint="eastAsia"/>
          <w:color w:val="auto"/>
        </w:rPr>
      </w:pPr>
      <w:r>
        <w:rPr>
          <w:rFonts w:hint="eastAsia"/>
          <w:color w:val="auto"/>
          <w:lang w:val="en-US" w:eastAsia="zh-CN"/>
        </w:rPr>
        <w:t>1）</w:t>
      </w:r>
      <w:r>
        <w:rPr>
          <w:rFonts w:hint="eastAsia"/>
          <w:color w:val="auto"/>
        </w:rPr>
        <w:t>顶板</w:t>
      </w:r>
    </w:p>
    <w:p>
      <w:pPr>
        <w:pStyle w:val="63"/>
        <w:rPr>
          <w:rFonts w:hint="eastAsia"/>
          <w:color w:val="auto"/>
        </w:rPr>
      </w:pPr>
      <w:r>
        <w:rPr>
          <w:rFonts w:hint="eastAsia"/>
          <w:color w:val="auto"/>
        </w:rPr>
        <w:t>I-1号矿体在普查区内顶板未出露；I-2号矿体顶板为浅灰色岩屑石英砂岩；II号矿体顶板为I-2号矿体。</w:t>
      </w:r>
    </w:p>
    <w:p>
      <w:pPr>
        <w:pStyle w:val="63"/>
        <w:rPr>
          <w:rFonts w:hint="eastAsia"/>
          <w:color w:val="auto"/>
        </w:rPr>
      </w:pPr>
      <w:r>
        <w:rPr>
          <w:rFonts w:hint="eastAsia"/>
          <w:color w:val="auto"/>
          <w:lang w:val="en-US" w:eastAsia="zh-CN"/>
        </w:rPr>
        <w:t>2）</w:t>
      </w:r>
      <w:r>
        <w:rPr>
          <w:rFonts w:hint="eastAsia"/>
          <w:color w:val="auto"/>
        </w:rPr>
        <w:t>底板</w:t>
      </w:r>
    </w:p>
    <w:p>
      <w:pPr>
        <w:pStyle w:val="63"/>
        <w:rPr>
          <w:rFonts w:hint="eastAsia"/>
          <w:color w:val="auto"/>
        </w:rPr>
      </w:pPr>
      <w:r>
        <w:rPr>
          <w:rFonts w:hint="eastAsia"/>
          <w:color w:val="auto"/>
        </w:rPr>
        <w:t>I-1号矿体底板为浅灰色岩屑石英砂岩；I-2号矿体底板为II号矿体，II号矿体底板在普查区范围内未出露。</w:t>
      </w:r>
    </w:p>
    <w:p>
      <w:pPr>
        <w:pStyle w:val="63"/>
        <w:rPr>
          <w:rFonts w:hint="eastAsia"/>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夹石</w:t>
      </w:r>
    </w:p>
    <w:p>
      <w:pPr>
        <w:pStyle w:val="63"/>
        <w:rPr>
          <w:rFonts w:hint="eastAsia"/>
          <w:color w:val="auto"/>
        </w:rPr>
      </w:pPr>
      <w:r>
        <w:rPr>
          <w:rFonts w:hint="eastAsia"/>
          <w:color w:val="auto"/>
          <w:lang w:val="en-US" w:eastAsia="zh-CN"/>
        </w:rPr>
        <w:t>矿</w:t>
      </w:r>
      <w:r>
        <w:rPr>
          <w:rFonts w:hint="eastAsia"/>
          <w:color w:val="auto"/>
        </w:rPr>
        <w:t>区内夹石主要为浅灰色岩屑石英砂岩。</w:t>
      </w:r>
    </w:p>
    <w:p>
      <w:pPr>
        <w:pStyle w:val="63"/>
        <w:rPr>
          <w:rFonts w:hint="eastAsia"/>
          <w:b/>
          <w:bCs/>
          <w:color w:val="auto"/>
          <w:lang w:val="en-US" w:eastAsia="zh-CN"/>
        </w:rPr>
      </w:pPr>
      <w:bookmarkStart w:id="84" w:name="_Toc178328972"/>
      <w:r>
        <w:rPr>
          <w:rFonts w:hint="eastAsia"/>
          <w:b/>
          <w:bCs/>
          <w:color w:val="auto"/>
          <w:lang w:val="en-US" w:eastAsia="zh-CN"/>
        </w:rPr>
        <w:t>5、矿床内共生矿产综合评价</w:t>
      </w:r>
      <w:bookmarkEnd w:id="84"/>
    </w:p>
    <w:p>
      <w:pPr>
        <w:pStyle w:val="63"/>
        <w:rPr>
          <w:rFonts w:hint="eastAsia"/>
          <w:color w:val="auto"/>
          <w:lang w:val="en-US" w:eastAsia="zh-CN"/>
        </w:rPr>
      </w:pPr>
      <w:r>
        <w:rPr>
          <w:rFonts w:hint="eastAsia"/>
          <w:color w:val="auto"/>
          <w:lang w:val="en-US" w:eastAsia="zh-CN"/>
        </w:rPr>
        <w:t>本矿区为砖瓦用页岩矿，矿区内暂未发现其他可利用的共伴生矿产。</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（七）开采技术条件小结</w:t>
      </w:r>
    </w:p>
    <w:p>
      <w:pPr>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、矿床水文地质类型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85" w:name="_Hlk178019881"/>
      <w:r>
        <w:rPr>
          <w:rFonts w:hint="eastAsia" w:ascii="宋体" w:hAnsi="宋体" w:eastAsia="宋体" w:cs="宋体"/>
          <w:color w:val="auto"/>
          <w:sz w:val="24"/>
          <w:szCs w:val="24"/>
        </w:rPr>
        <w:t>矿体位于当地侵蚀基准面和地下水位以上，矿区及附近地表水体不发育，区内无第四系覆盖。主要充水因素为大气降水。预测露天开采正常涌水量238.08立方米/天，最大涌水量10963.26立方米/天。确定矿床水文地质条件简单。</w:t>
      </w:r>
    </w:p>
    <w:bookmarkEnd w:id="85"/>
    <w:p>
      <w:pPr>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、矿床工程地质类型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86" w:name="_Hlk178019891"/>
      <w:r>
        <w:rPr>
          <w:rFonts w:hint="eastAsia" w:ascii="宋体" w:hAnsi="宋体" w:eastAsia="宋体" w:cs="宋体"/>
          <w:color w:val="auto"/>
          <w:sz w:val="24"/>
          <w:szCs w:val="24"/>
        </w:rPr>
        <w:t>矿区地形地貌较复杂，构造不发育。矿体围岩岩性单一，多为粉砂质页岩，多属较软岩。依据岩体质量指标法(M)评述，岩体质量为中等，岩体分类等级为III；依据岩体质量系数法(Z)评述，岩体质量等级为一般。建议最终边坡角≤45°。露采主要问题是可能产生边坡失稳及崩塌等工程地质问题，要加强边坡管理，采取必要的防护措施。确定矿床属层状岩类，工程地质条件中等。</w:t>
      </w:r>
    </w:p>
    <w:bookmarkEnd w:id="86"/>
    <w:p>
      <w:pPr>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、环境地质类型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bookmarkStart w:id="87" w:name="_Hlk178019904"/>
      <w:r>
        <w:rPr>
          <w:rFonts w:hint="eastAsia" w:ascii="宋体" w:hAnsi="宋体" w:eastAsia="宋体" w:cs="宋体"/>
          <w:color w:val="auto"/>
          <w:sz w:val="24"/>
          <w:szCs w:val="24"/>
        </w:rPr>
        <w:t>矿区属次不稳定区，现状发育崩塌地质灾害，采矿将产生地表变形、废石堆积和粉尘污染，对地质环境有一定破坏。无放射性危害。确定矿床地质环境质量中等</w:t>
      </w:r>
      <w:bookmarkEnd w:id="87"/>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、矿床开采技术条件类型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综上所述，普查区水文地质条件简单，工程地质条件中等，环境地质条件中等，依据固体矿产开采技术条件勘查类型划分及工作要求表，将普查区划分为以工程地质、环境地质问题为主开采技术条件中等(复合类型)的矿床，即Ⅱ-4 类勘查类型。</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bookmarkStart w:id="88" w:name="_Toc4842"/>
      <w:bookmarkStart w:id="89" w:name="_Toc532760439"/>
      <w:bookmarkStart w:id="90" w:name="_Toc16211"/>
      <w:bookmarkStart w:id="91" w:name="_Toc12930"/>
      <w:bookmarkStart w:id="92" w:name="_Toc28038"/>
      <w:r>
        <w:rPr>
          <w:rFonts w:hint="eastAsia"/>
          <w:color w:val="auto"/>
          <w:sz w:val="28"/>
          <w:szCs w:val="28"/>
          <w:lang w:eastAsia="zh-CN"/>
        </w:rPr>
        <w:t>（</w:t>
      </w:r>
      <w:r>
        <w:rPr>
          <w:rFonts w:hint="eastAsia"/>
          <w:color w:val="auto"/>
          <w:sz w:val="28"/>
          <w:szCs w:val="28"/>
          <w:lang w:val="en-US" w:eastAsia="zh-CN"/>
        </w:rPr>
        <w:t>八</w:t>
      </w:r>
      <w:r>
        <w:rPr>
          <w:rFonts w:hint="eastAsia"/>
          <w:color w:val="auto"/>
          <w:sz w:val="28"/>
          <w:szCs w:val="28"/>
          <w:lang w:eastAsia="zh-CN"/>
        </w:rPr>
        <w:t>）资源储量估算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根据《矿产资源工业要求手册》中砖瓦用粘土岩类矿床地质勘查一般参考工业指标的要求，结合本矿区的实际情况，确定西克尔镇4号砖用页岩矿的工业指标如下：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1、质量要求</w:t>
      </w:r>
    </w:p>
    <w:tbl>
      <w:tblPr>
        <w:tblStyle w:val="54"/>
        <w:tblW w:w="91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201"/>
        <w:gridCol w:w="1212"/>
        <w:gridCol w:w="1210"/>
        <w:gridCol w:w="1036"/>
        <w:gridCol w:w="1038"/>
        <w:gridCol w:w="103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成分</w:t>
            </w:r>
          </w:p>
        </w:tc>
        <w:tc>
          <w:tcPr>
            <w:tcW w:w="120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SiO</w:t>
            </w:r>
            <w:r>
              <w:rPr>
                <w:rFonts w:hint="eastAsia" w:ascii="宋体" w:hAnsi="宋体" w:eastAsia="宋体" w:cs="宋体"/>
                <w:color w:val="auto"/>
                <w:sz w:val="21"/>
                <w:szCs w:val="21"/>
                <w:vertAlign w:val="subscript"/>
              </w:rPr>
              <w:t>2</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21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Al</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3</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21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Fe</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r>
              <w:rPr>
                <w:rFonts w:hint="eastAsia" w:ascii="宋体" w:hAnsi="宋体" w:eastAsia="宋体" w:cs="宋体"/>
                <w:color w:val="auto"/>
                <w:sz w:val="21"/>
                <w:szCs w:val="21"/>
                <w:vertAlign w:val="subscript"/>
              </w:rPr>
              <w:t>3</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36"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CaO</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3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MgO</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037"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SO</w:t>
            </w:r>
            <w:r>
              <w:rPr>
                <w:rFonts w:hint="eastAsia" w:ascii="宋体" w:hAnsi="宋体" w:eastAsia="宋体" w:cs="宋体"/>
                <w:color w:val="auto"/>
                <w:sz w:val="21"/>
                <w:szCs w:val="21"/>
                <w:vertAlign w:val="subscript"/>
              </w:rPr>
              <w:t>3</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55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K</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O+Na</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O</w:t>
            </w:r>
          </w:p>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含量</w:t>
            </w:r>
          </w:p>
        </w:tc>
        <w:tc>
          <w:tcPr>
            <w:tcW w:w="1201"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53～70</w:t>
            </w:r>
          </w:p>
        </w:tc>
        <w:tc>
          <w:tcPr>
            <w:tcW w:w="1212"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10～20</w:t>
            </w:r>
          </w:p>
        </w:tc>
        <w:tc>
          <w:tcPr>
            <w:tcW w:w="1210"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3～10</w:t>
            </w:r>
          </w:p>
        </w:tc>
        <w:tc>
          <w:tcPr>
            <w:tcW w:w="1036"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103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037"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558" w:type="dxa"/>
            <w:vAlign w:val="center"/>
          </w:tcPr>
          <w:p>
            <w:pPr>
              <w:widowControl w:val="0"/>
              <w:spacing w:line="300" w:lineRule="exact"/>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2、开采技术条件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露天开采最小可采厚度：≥2m；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露天开采夹石剔除厚度：≥1m；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露天开采最终稳定边坡角：≤45°；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露天开采最终底盘最小宽度：≥40；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露天开采最低可采标高：不低于最低侵蚀基准面标高；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露天开采总剥采比：≯0.5:1（立方米/立方米）。</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宋体" w:hAnsi="宋体" w:cs="宋体"/>
          <w:b/>
          <w:bCs/>
          <w:color w:val="auto"/>
          <w:sz w:val="24"/>
          <w:szCs w:val="24"/>
          <w:lang w:val="en-US" w:eastAsia="zh-CN"/>
        </w:rPr>
      </w:pPr>
      <w:r>
        <w:rPr>
          <w:rFonts w:hint="eastAsia" w:ascii="宋体" w:hAnsi="宋体" w:cs="宋体"/>
          <w:b/>
          <w:bCs/>
          <w:color w:val="auto"/>
          <w:sz w:val="24"/>
          <w:szCs w:val="24"/>
          <w:lang w:val="en-US" w:eastAsia="zh-CN"/>
        </w:rPr>
        <w:t>3、估算方法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次普查区内的页岩矿体呈进东西走向单斜规则层状产出。经地质测量及地表探槽、钻探基本控制了矿体的形态、规模和产状。矿体平面形态呈带状，向两端呈不规则形状延伸至区外，向深部延伸稳定。产状345°-0°∠40-70°。各勘探线基本垂直于矿体走向布置，在00线上施工钻孔ZK001，对矿体深部的形态、规模、产状和矿石质量进行了必要的控制根据工程布置原则和工程控制程度，采用平行断面法估算普查区内页岩矿推断资源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（1）资源量估算公式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Q=V·d=S·L·d</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式中：Q：为块段矿石资源量(万吨)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V：为块段矿石体积（立方米）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S：为块段对应两断面的平均面积（m2）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L：为工程间距或外推间距（m）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d：为矿石的平均体重（t/立方米）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（2）资源储量估算参数的确定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块段断面积（SN）：在用MAPGIS软件编制的资源储量估算剖面图的数字文件上直接量取。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块段断平均面积（S）：根据块段形态不同，分别选择不同的公式进行计算。平均面积计算公式如下。</w:t>
      </w:r>
    </w:p>
    <w:tbl>
      <w:tblPr>
        <w:tblStyle w:val="54"/>
        <w:tblW w:w="82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3017"/>
        <w:gridCol w:w="2332"/>
        <w:gridCol w:w="1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1" w:type="dxa"/>
            <w:vAlign w:val="center"/>
          </w:tcPr>
          <w:p>
            <w:pPr>
              <w:widowControl w:val="0"/>
              <w:spacing w:line="240" w:lineRule="auto"/>
              <w:ind w:firstLine="0" w:firstLineChars="0"/>
              <w:jc w:val="center"/>
              <w:rPr>
                <w:color w:val="auto"/>
                <w:sz w:val="24"/>
                <w:szCs w:val="24"/>
              </w:rPr>
            </w:pPr>
            <w:r>
              <w:rPr>
                <w:rFonts w:hint="eastAsia"/>
                <w:color w:val="auto"/>
                <w:sz w:val="24"/>
                <w:szCs w:val="24"/>
              </w:rPr>
              <w:t>公式编号</w:t>
            </w:r>
          </w:p>
        </w:tc>
        <w:tc>
          <w:tcPr>
            <w:tcW w:w="3017" w:type="dxa"/>
            <w:vAlign w:val="center"/>
          </w:tcPr>
          <w:p>
            <w:pPr>
              <w:widowControl w:val="0"/>
              <w:spacing w:line="240" w:lineRule="auto"/>
              <w:ind w:firstLine="0" w:firstLineChars="0"/>
              <w:jc w:val="center"/>
              <w:rPr>
                <w:color w:val="auto"/>
                <w:sz w:val="24"/>
                <w:szCs w:val="24"/>
              </w:rPr>
            </w:pPr>
            <w:r>
              <w:rPr>
                <w:rFonts w:hint="eastAsia"/>
                <w:color w:val="auto"/>
                <w:sz w:val="24"/>
                <w:szCs w:val="24"/>
              </w:rPr>
              <w:t>计算公式</w:t>
            </w:r>
          </w:p>
        </w:tc>
        <w:tc>
          <w:tcPr>
            <w:tcW w:w="2332" w:type="dxa"/>
            <w:vAlign w:val="center"/>
          </w:tcPr>
          <w:p>
            <w:pPr>
              <w:widowControl w:val="0"/>
              <w:spacing w:line="240" w:lineRule="auto"/>
              <w:ind w:firstLine="0" w:firstLineChars="0"/>
              <w:jc w:val="center"/>
              <w:rPr>
                <w:color w:val="auto"/>
                <w:sz w:val="24"/>
                <w:szCs w:val="24"/>
              </w:rPr>
            </w:pPr>
            <w:r>
              <w:rPr>
                <w:rFonts w:hint="eastAsia"/>
                <w:color w:val="auto"/>
                <w:sz w:val="24"/>
                <w:szCs w:val="24"/>
              </w:rPr>
              <w:t>应用条件</w:t>
            </w:r>
          </w:p>
        </w:tc>
        <w:tc>
          <w:tcPr>
            <w:tcW w:w="1716" w:type="dxa"/>
            <w:vAlign w:val="center"/>
          </w:tcPr>
          <w:p>
            <w:pPr>
              <w:widowControl w:val="0"/>
              <w:spacing w:line="240" w:lineRule="auto"/>
              <w:ind w:firstLine="0" w:firstLineChars="0"/>
              <w:jc w:val="center"/>
              <w:rPr>
                <w:color w:val="auto"/>
                <w:sz w:val="24"/>
                <w:szCs w:val="24"/>
              </w:rPr>
            </w:pPr>
            <w:r>
              <w:rPr>
                <w:rFonts w:hint="eastAsia"/>
                <w:color w:val="auto"/>
                <w:sz w:val="24"/>
                <w:szCs w:val="24"/>
              </w:rPr>
              <w:t>应用范围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231" w:type="dxa"/>
            <w:vAlign w:val="center"/>
          </w:tcPr>
          <w:p>
            <w:pPr>
              <w:pStyle w:val="99"/>
              <w:numPr>
                <w:ilvl w:val="0"/>
                <w:numId w:val="2"/>
              </w:numPr>
              <w:spacing w:line="240" w:lineRule="auto"/>
              <w:ind w:firstLineChars="0"/>
              <w:jc w:val="center"/>
              <w:rPr>
                <w:color w:val="auto"/>
                <w:sz w:val="24"/>
                <w:szCs w:val="24"/>
              </w:rPr>
            </w:pPr>
          </w:p>
        </w:tc>
        <w:tc>
          <w:tcPr>
            <w:tcW w:w="3017" w:type="dxa"/>
            <w:vAlign w:val="center"/>
          </w:tcPr>
          <w:p>
            <w:pPr>
              <w:widowControl w:val="0"/>
              <w:spacing w:line="240" w:lineRule="auto"/>
              <w:ind w:firstLine="0" w:firstLineChars="0"/>
              <w:jc w:val="center"/>
              <w:rPr>
                <w:color w:val="auto"/>
                <w:sz w:val="24"/>
                <w:szCs w:val="24"/>
              </w:rPr>
            </w:pPr>
            <w:r>
              <w:rPr>
                <w:rFonts w:eastAsia="仿宋"/>
                <w:color w:val="auto"/>
                <w:sz w:val="24"/>
                <w:szCs w:val="24"/>
              </w:rPr>
              <w:t>S=</w:t>
            </w:r>
            <m:oMath>
              <m:f>
                <m:fPr>
                  <m:ctrlPr>
                    <w:rPr>
                      <w:rFonts w:ascii="Cambria Math" w:hAnsi="Cambria Math" w:eastAsia="仿宋"/>
                      <w:i/>
                      <w:color w:val="auto"/>
                      <w:sz w:val="24"/>
                      <w:szCs w:val="24"/>
                    </w:rPr>
                  </m:ctrlPr>
                </m:fPr>
                <m:num>
                  <m:r>
                    <w:rPr>
                      <w:rFonts w:ascii="Cambria Math" w:eastAsia="仿宋"/>
                      <w:color w:val="auto"/>
                      <w:sz w:val="24"/>
                      <w:szCs w:val="24"/>
                    </w:rPr>
                    <m:t>1</m:t>
                  </m:r>
                  <m:ctrlPr>
                    <w:rPr>
                      <w:rFonts w:ascii="Cambria Math" w:hAnsi="Cambria Math" w:eastAsia="仿宋"/>
                      <w:i/>
                      <w:color w:val="auto"/>
                      <w:sz w:val="24"/>
                      <w:szCs w:val="24"/>
                    </w:rPr>
                  </m:ctrlPr>
                </m:num>
                <m:den>
                  <m:r>
                    <w:rPr>
                      <w:rFonts w:ascii="Cambria Math" w:eastAsia="仿宋"/>
                      <w:color w:val="auto"/>
                      <w:sz w:val="24"/>
                      <w:szCs w:val="24"/>
                    </w:rPr>
                    <m:t>2</m:t>
                  </m:r>
                  <m:ctrlPr>
                    <w:rPr>
                      <w:rFonts w:ascii="Cambria Math" w:hAnsi="Cambria Math" w:eastAsia="仿宋"/>
                      <w:i/>
                      <w:color w:val="auto"/>
                      <w:sz w:val="24"/>
                      <w:szCs w:val="24"/>
                    </w:rPr>
                  </m:ctrlPr>
                </m:den>
              </m:f>
              <m:d>
                <m:dPr>
                  <m:ctrlPr>
                    <w:rPr>
                      <w:rFonts w:ascii="Cambria Math" w:hAnsi="Cambria Math" w:eastAsia="仿宋"/>
                      <w:i/>
                      <w:color w:val="auto"/>
                      <w:sz w:val="24"/>
                      <w:szCs w:val="24"/>
                    </w:rPr>
                  </m:ctrlPr>
                </m:dPr>
                <m:e>
                  <m:sSub>
                    <m:sSubPr>
                      <m:ctrlPr>
                        <w:rPr>
                          <w:rFonts w:ascii="Cambria Math" w:hAnsi="Cambria Math" w:eastAsia="仿宋"/>
                          <w:i/>
                          <w:color w:val="auto"/>
                          <w:sz w:val="24"/>
                          <w:szCs w:val="24"/>
                        </w:rPr>
                      </m:ctrlPr>
                    </m:sSubPr>
                    <m:e>
                      <m:r>
                        <w:rPr>
                          <w:rFonts w:ascii="Cambria Math" w:eastAsia="仿宋"/>
                          <w:color w:val="auto"/>
                          <w:sz w:val="24"/>
                          <w:szCs w:val="24"/>
                        </w:rPr>
                        <m:t>S</m:t>
                      </m:r>
                      <m:ctrlPr>
                        <w:rPr>
                          <w:rFonts w:ascii="Cambria Math" w:hAnsi="Cambria Math" w:eastAsia="仿宋"/>
                          <w:i/>
                          <w:color w:val="auto"/>
                          <w:sz w:val="24"/>
                          <w:szCs w:val="24"/>
                        </w:rPr>
                      </m:ctrlPr>
                    </m:e>
                    <m:sub>
                      <m:r>
                        <w:rPr>
                          <w:rFonts w:ascii="Cambria Math" w:eastAsia="仿宋"/>
                          <w:color w:val="auto"/>
                          <w:sz w:val="24"/>
                          <w:szCs w:val="24"/>
                        </w:rPr>
                        <m:t>1</m:t>
                      </m:r>
                      <m:ctrlPr>
                        <w:rPr>
                          <w:rFonts w:ascii="Cambria Math" w:hAnsi="Cambria Math" w:eastAsia="仿宋"/>
                          <w:i/>
                          <w:color w:val="auto"/>
                          <w:sz w:val="24"/>
                          <w:szCs w:val="24"/>
                        </w:rPr>
                      </m:ctrlPr>
                    </m:sub>
                  </m:sSub>
                  <m:r>
                    <w:rPr>
                      <w:rFonts w:ascii="Cambria Math" w:eastAsia="仿宋"/>
                      <w:color w:val="auto"/>
                      <w:sz w:val="24"/>
                      <w:szCs w:val="24"/>
                    </w:rPr>
                    <m:t>+</m:t>
                  </m:r>
                  <m:sSub>
                    <m:sSubPr>
                      <m:ctrlPr>
                        <w:rPr>
                          <w:rFonts w:ascii="Cambria Math" w:hAnsi="Cambria Math" w:eastAsia="仿宋"/>
                          <w:i/>
                          <w:color w:val="auto"/>
                          <w:sz w:val="24"/>
                          <w:szCs w:val="24"/>
                        </w:rPr>
                      </m:ctrlPr>
                    </m:sSubPr>
                    <m:e>
                      <m:r>
                        <w:rPr>
                          <w:rFonts w:ascii="Cambria Math" w:eastAsia="仿宋"/>
                          <w:color w:val="auto"/>
                          <w:sz w:val="24"/>
                          <w:szCs w:val="24"/>
                        </w:rPr>
                        <m:t>S</m:t>
                      </m:r>
                      <m:ctrlPr>
                        <w:rPr>
                          <w:rFonts w:ascii="Cambria Math" w:hAnsi="Cambria Math" w:eastAsia="仿宋"/>
                          <w:i/>
                          <w:color w:val="auto"/>
                          <w:sz w:val="24"/>
                          <w:szCs w:val="24"/>
                        </w:rPr>
                      </m:ctrlPr>
                    </m:e>
                    <m:sub>
                      <m:r>
                        <w:rPr>
                          <w:rFonts w:ascii="Cambria Math" w:eastAsia="仿宋"/>
                          <w:color w:val="auto"/>
                          <w:sz w:val="24"/>
                          <w:szCs w:val="24"/>
                        </w:rPr>
                        <m:t>2</m:t>
                      </m:r>
                      <m:ctrlPr>
                        <w:rPr>
                          <w:rFonts w:ascii="Cambria Math" w:hAnsi="Cambria Math" w:eastAsia="仿宋"/>
                          <w:i/>
                          <w:color w:val="auto"/>
                          <w:sz w:val="24"/>
                          <w:szCs w:val="24"/>
                        </w:rPr>
                      </m:ctrlPr>
                    </m:sub>
                  </m:sSub>
                  <m:ctrlPr>
                    <w:rPr>
                      <w:rFonts w:ascii="Cambria Math" w:hAnsi="Cambria Math" w:eastAsia="仿宋"/>
                      <w:i/>
                      <w:color w:val="auto"/>
                      <w:sz w:val="24"/>
                      <w:szCs w:val="24"/>
                    </w:rPr>
                  </m:ctrlPr>
                </m:e>
              </m:d>
            </m:oMath>
          </w:p>
        </w:tc>
        <w:tc>
          <w:tcPr>
            <w:tcW w:w="2332" w:type="dxa"/>
            <w:vAlign w:val="center"/>
          </w:tcPr>
          <w:p>
            <w:pPr>
              <w:widowControl w:val="0"/>
              <w:spacing w:line="240" w:lineRule="auto"/>
              <w:ind w:firstLine="0" w:firstLineChars="0"/>
              <w:jc w:val="center"/>
              <w:rPr>
                <w:color w:val="auto"/>
                <w:sz w:val="24"/>
                <w:szCs w:val="24"/>
              </w:rPr>
            </w:pPr>
            <w:r>
              <w:rPr>
                <w:rFonts w:hint="eastAsia"/>
                <w:color w:val="auto"/>
                <w:sz w:val="24"/>
                <w:szCs w:val="24"/>
              </w:rPr>
              <w:t>当相邻两断面相对面积差小于40％时</w:t>
            </w:r>
          </w:p>
        </w:tc>
        <w:tc>
          <w:tcPr>
            <w:tcW w:w="1716" w:type="dxa"/>
            <w:vAlign w:val="center"/>
          </w:tcPr>
          <w:p>
            <w:pPr>
              <w:widowControl w:val="0"/>
              <w:spacing w:line="240" w:lineRule="auto"/>
              <w:ind w:firstLine="0" w:firstLineChars="0"/>
              <w:jc w:val="center"/>
              <w:rPr>
                <w:color w:val="auto"/>
                <w:sz w:val="24"/>
                <w:szCs w:val="24"/>
              </w:rPr>
            </w:pPr>
            <w:r>
              <w:rPr>
                <w:rFonts w:hint="eastAsia"/>
                <w:color w:val="auto"/>
                <w:sz w:val="24"/>
                <w:szCs w:val="24"/>
              </w:rPr>
              <w:t>梯形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231" w:type="dxa"/>
            <w:vAlign w:val="center"/>
          </w:tcPr>
          <w:p>
            <w:pPr>
              <w:pStyle w:val="99"/>
              <w:numPr>
                <w:ilvl w:val="0"/>
                <w:numId w:val="2"/>
              </w:numPr>
              <w:spacing w:line="240" w:lineRule="auto"/>
              <w:ind w:firstLineChars="0"/>
              <w:jc w:val="center"/>
              <w:rPr>
                <w:color w:val="auto"/>
                <w:sz w:val="24"/>
                <w:szCs w:val="24"/>
              </w:rPr>
            </w:pPr>
          </w:p>
        </w:tc>
        <w:tc>
          <w:tcPr>
            <w:tcW w:w="3017" w:type="dxa"/>
            <w:vAlign w:val="center"/>
          </w:tcPr>
          <w:p>
            <w:pPr>
              <w:widowControl w:val="0"/>
              <w:spacing w:line="240" w:lineRule="auto"/>
              <w:ind w:firstLine="0" w:firstLineChars="0"/>
              <w:jc w:val="center"/>
              <w:rPr>
                <w:color w:val="auto"/>
                <w:sz w:val="24"/>
                <w:szCs w:val="24"/>
              </w:rPr>
            </w:pPr>
            <w:r>
              <w:rPr>
                <w:rFonts w:eastAsia="仿宋"/>
                <w:color w:val="auto"/>
                <w:sz w:val="24"/>
                <w:szCs w:val="24"/>
              </w:rPr>
              <w:t>S=</w:t>
            </w:r>
            <m:oMath>
              <m:f>
                <m:fPr>
                  <m:ctrlPr>
                    <w:rPr>
                      <w:rFonts w:ascii="Cambria Math" w:hAnsi="Cambria Math" w:eastAsia="仿宋"/>
                      <w:i/>
                      <w:color w:val="auto"/>
                      <w:sz w:val="24"/>
                      <w:szCs w:val="24"/>
                    </w:rPr>
                  </m:ctrlPr>
                </m:fPr>
                <m:num>
                  <m:r>
                    <w:rPr>
                      <w:rFonts w:ascii="Cambria Math" w:eastAsia="仿宋"/>
                      <w:color w:val="auto"/>
                      <w:sz w:val="24"/>
                      <w:szCs w:val="24"/>
                    </w:rPr>
                    <m:t>1</m:t>
                  </m:r>
                  <m:ctrlPr>
                    <w:rPr>
                      <w:rFonts w:ascii="Cambria Math" w:hAnsi="Cambria Math" w:eastAsia="仿宋"/>
                      <w:i/>
                      <w:color w:val="auto"/>
                      <w:sz w:val="24"/>
                      <w:szCs w:val="24"/>
                    </w:rPr>
                  </m:ctrlPr>
                </m:num>
                <m:den>
                  <m:r>
                    <w:rPr>
                      <w:rFonts w:ascii="Cambria Math" w:eastAsia="仿宋"/>
                      <w:color w:val="auto"/>
                      <w:sz w:val="24"/>
                      <w:szCs w:val="24"/>
                    </w:rPr>
                    <m:t>3</m:t>
                  </m:r>
                  <m:ctrlPr>
                    <w:rPr>
                      <w:rFonts w:ascii="Cambria Math" w:hAnsi="Cambria Math" w:eastAsia="仿宋"/>
                      <w:i/>
                      <w:color w:val="auto"/>
                      <w:sz w:val="24"/>
                      <w:szCs w:val="24"/>
                    </w:rPr>
                  </m:ctrlPr>
                </m:den>
              </m:f>
              <m:r>
                <w:rPr>
                  <w:rFonts w:ascii="Cambria Math" w:eastAsia="仿宋"/>
                  <w:color w:val="auto"/>
                  <w:sz w:val="24"/>
                  <w:szCs w:val="24"/>
                </w:rPr>
                <m:t>(</m:t>
              </m:r>
              <m:sSub>
                <m:sSubPr>
                  <m:ctrlPr>
                    <w:rPr>
                      <w:rFonts w:ascii="Cambria Math" w:hAnsi="Cambria Math" w:eastAsia="仿宋"/>
                      <w:i/>
                      <w:color w:val="auto"/>
                      <w:sz w:val="24"/>
                      <w:szCs w:val="24"/>
                    </w:rPr>
                  </m:ctrlPr>
                </m:sSubPr>
                <m:e>
                  <m:r>
                    <w:rPr>
                      <w:rFonts w:ascii="Cambria Math" w:eastAsia="仿宋"/>
                      <w:color w:val="auto"/>
                      <w:sz w:val="24"/>
                      <w:szCs w:val="24"/>
                    </w:rPr>
                    <m:t>S</m:t>
                  </m:r>
                  <m:ctrlPr>
                    <w:rPr>
                      <w:rFonts w:ascii="Cambria Math" w:hAnsi="Cambria Math" w:eastAsia="仿宋"/>
                      <w:i/>
                      <w:color w:val="auto"/>
                      <w:sz w:val="24"/>
                      <w:szCs w:val="24"/>
                    </w:rPr>
                  </m:ctrlPr>
                </m:e>
                <m:sub>
                  <m:r>
                    <w:rPr>
                      <w:rFonts w:ascii="Cambria Math" w:eastAsia="仿宋"/>
                      <w:color w:val="auto"/>
                      <w:sz w:val="24"/>
                      <w:szCs w:val="24"/>
                    </w:rPr>
                    <m:t>1</m:t>
                  </m:r>
                  <m:ctrlPr>
                    <w:rPr>
                      <w:rFonts w:ascii="Cambria Math" w:hAnsi="Cambria Math" w:eastAsia="仿宋"/>
                      <w:i/>
                      <w:color w:val="auto"/>
                      <w:sz w:val="24"/>
                      <w:szCs w:val="24"/>
                    </w:rPr>
                  </m:ctrlPr>
                </m:sub>
              </m:sSub>
              <m:r>
                <w:rPr>
                  <w:rFonts w:ascii="Cambria Math" w:eastAsia="仿宋"/>
                  <w:color w:val="auto"/>
                  <w:sz w:val="24"/>
                  <w:szCs w:val="24"/>
                </w:rPr>
                <m:t>+</m:t>
              </m:r>
              <m:rad>
                <m:radPr>
                  <m:degHide m:val="1"/>
                  <m:ctrlPr>
                    <w:rPr>
                      <w:rFonts w:ascii="Cambria Math" w:hAnsi="Cambria Math" w:eastAsia="仿宋"/>
                      <w:i/>
                      <w:color w:val="auto"/>
                      <w:sz w:val="24"/>
                      <w:szCs w:val="24"/>
                    </w:rPr>
                  </m:ctrlPr>
                </m:radPr>
                <m:deg>
                  <m:ctrlPr>
                    <w:rPr>
                      <w:rFonts w:ascii="Cambria Math" w:hAnsi="Cambria Math" w:eastAsia="仿宋"/>
                      <w:i/>
                      <w:color w:val="auto"/>
                      <w:sz w:val="24"/>
                      <w:szCs w:val="24"/>
                    </w:rPr>
                  </m:ctrlPr>
                </m:deg>
                <m:e>
                  <m:sSub>
                    <m:sSubPr>
                      <m:ctrlPr>
                        <w:rPr>
                          <w:rFonts w:ascii="Cambria Math" w:hAnsi="Cambria Math" w:eastAsia="仿宋"/>
                          <w:i/>
                          <w:color w:val="auto"/>
                          <w:sz w:val="24"/>
                          <w:szCs w:val="24"/>
                        </w:rPr>
                      </m:ctrlPr>
                    </m:sSubPr>
                    <m:e>
                      <m:r>
                        <w:rPr>
                          <w:rFonts w:ascii="Cambria Math" w:eastAsia="仿宋"/>
                          <w:color w:val="auto"/>
                          <w:sz w:val="24"/>
                          <w:szCs w:val="24"/>
                        </w:rPr>
                        <m:t>S</m:t>
                      </m:r>
                      <m:ctrlPr>
                        <w:rPr>
                          <w:rFonts w:ascii="Cambria Math" w:hAnsi="Cambria Math" w:eastAsia="仿宋"/>
                          <w:i/>
                          <w:color w:val="auto"/>
                          <w:sz w:val="24"/>
                          <w:szCs w:val="24"/>
                        </w:rPr>
                      </m:ctrlPr>
                    </m:e>
                    <m:sub>
                      <m:r>
                        <w:rPr>
                          <w:rFonts w:ascii="Cambria Math" w:eastAsia="仿宋"/>
                          <w:color w:val="auto"/>
                          <w:sz w:val="24"/>
                          <w:szCs w:val="24"/>
                        </w:rPr>
                        <m:t>1</m:t>
                      </m:r>
                      <m:ctrlPr>
                        <w:rPr>
                          <w:rFonts w:ascii="Cambria Math" w:hAnsi="Cambria Math" w:eastAsia="仿宋"/>
                          <w:i/>
                          <w:color w:val="auto"/>
                          <w:sz w:val="24"/>
                          <w:szCs w:val="24"/>
                        </w:rPr>
                      </m:ctrlPr>
                    </m:sub>
                  </m:sSub>
                  <m:r>
                    <w:rPr>
                      <w:rFonts w:ascii="Cambria Math" w:eastAsia="仿宋"/>
                      <w:color w:val="auto"/>
                      <w:sz w:val="24"/>
                      <w:szCs w:val="24"/>
                    </w:rPr>
                    <m:t>×</m:t>
                  </m:r>
                  <m:sSub>
                    <m:sSubPr>
                      <m:ctrlPr>
                        <w:rPr>
                          <w:rFonts w:ascii="Cambria Math" w:hAnsi="Cambria Math" w:eastAsia="仿宋"/>
                          <w:i/>
                          <w:color w:val="auto"/>
                          <w:sz w:val="24"/>
                          <w:szCs w:val="24"/>
                        </w:rPr>
                      </m:ctrlPr>
                    </m:sSubPr>
                    <m:e>
                      <m:r>
                        <w:rPr>
                          <w:rFonts w:ascii="Cambria Math" w:eastAsia="仿宋"/>
                          <w:color w:val="auto"/>
                          <w:sz w:val="24"/>
                          <w:szCs w:val="24"/>
                        </w:rPr>
                        <m:t>S</m:t>
                      </m:r>
                      <m:ctrlPr>
                        <w:rPr>
                          <w:rFonts w:ascii="Cambria Math" w:hAnsi="Cambria Math" w:eastAsia="仿宋"/>
                          <w:i/>
                          <w:color w:val="auto"/>
                          <w:sz w:val="24"/>
                          <w:szCs w:val="24"/>
                        </w:rPr>
                      </m:ctrlPr>
                    </m:e>
                    <m:sub>
                      <m:r>
                        <w:rPr>
                          <w:rFonts w:ascii="Cambria Math" w:eastAsia="仿宋"/>
                          <w:color w:val="auto"/>
                          <w:sz w:val="24"/>
                          <w:szCs w:val="24"/>
                        </w:rPr>
                        <m:t>2</m:t>
                      </m:r>
                      <m:ctrlPr>
                        <w:rPr>
                          <w:rFonts w:ascii="Cambria Math" w:hAnsi="Cambria Math" w:eastAsia="仿宋"/>
                          <w:i/>
                          <w:color w:val="auto"/>
                          <w:sz w:val="24"/>
                          <w:szCs w:val="24"/>
                        </w:rPr>
                      </m:ctrlPr>
                    </m:sub>
                  </m:sSub>
                  <m:ctrlPr>
                    <w:rPr>
                      <w:rFonts w:ascii="Cambria Math" w:hAnsi="Cambria Math" w:eastAsia="仿宋"/>
                      <w:i/>
                      <w:color w:val="auto"/>
                      <w:sz w:val="24"/>
                      <w:szCs w:val="24"/>
                    </w:rPr>
                  </m:ctrlPr>
                </m:e>
              </m:rad>
              <m:r>
                <w:rPr>
                  <w:rFonts w:ascii="Cambria Math" w:eastAsia="仿宋"/>
                  <w:color w:val="auto"/>
                  <w:sz w:val="24"/>
                  <w:szCs w:val="24"/>
                </w:rPr>
                <m:t>+</m:t>
              </m:r>
              <m:sSub>
                <m:sSubPr>
                  <m:ctrlPr>
                    <w:rPr>
                      <w:rFonts w:ascii="Cambria Math" w:hAnsi="Cambria Math" w:eastAsia="仿宋"/>
                      <w:i/>
                      <w:color w:val="auto"/>
                      <w:sz w:val="24"/>
                      <w:szCs w:val="24"/>
                    </w:rPr>
                  </m:ctrlPr>
                </m:sSubPr>
                <m:e>
                  <m:r>
                    <w:rPr>
                      <w:rFonts w:ascii="Cambria Math" w:eastAsia="仿宋"/>
                      <w:color w:val="auto"/>
                      <w:sz w:val="24"/>
                      <w:szCs w:val="24"/>
                    </w:rPr>
                    <m:t>S</m:t>
                  </m:r>
                  <m:ctrlPr>
                    <w:rPr>
                      <w:rFonts w:ascii="Cambria Math" w:hAnsi="Cambria Math" w:eastAsia="仿宋"/>
                      <w:i/>
                      <w:color w:val="auto"/>
                      <w:sz w:val="24"/>
                      <w:szCs w:val="24"/>
                    </w:rPr>
                  </m:ctrlPr>
                </m:e>
                <m:sub>
                  <m:r>
                    <w:rPr>
                      <w:rFonts w:ascii="Cambria Math" w:eastAsia="仿宋"/>
                      <w:color w:val="auto"/>
                      <w:sz w:val="24"/>
                      <w:szCs w:val="24"/>
                    </w:rPr>
                    <m:t>2</m:t>
                  </m:r>
                  <m:ctrlPr>
                    <w:rPr>
                      <w:rFonts w:ascii="Cambria Math" w:hAnsi="Cambria Math" w:eastAsia="仿宋"/>
                      <w:i/>
                      <w:color w:val="auto"/>
                      <w:sz w:val="24"/>
                      <w:szCs w:val="24"/>
                    </w:rPr>
                  </m:ctrlPr>
                </m:sub>
              </m:sSub>
              <m:r>
                <w:rPr>
                  <w:rFonts w:ascii="Cambria Math" w:eastAsia="仿宋"/>
                  <w:color w:val="auto"/>
                  <w:sz w:val="24"/>
                  <w:szCs w:val="24"/>
                </w:rPr>
                <m:t>)</m:t>
              </m:r>
            </m:oMath>
          </w:p>
        </w:tc>
        <w:tc>
          <w:tcPr>
            <w:tcW w:w="2332" w:type="dxa"/>
            <w:vAlign w:val="center"/>
          </w:tcPr>
          <w:p>
            <w:pPr>
              <w:widowControl w:val="0"/>
              <w:spacing w:line="240" w:lineRule="auto"/>
              <w:ind w:firstLine="0" w:firstLineChars="0"/>
              <w:jc w:val="center"/>
              <w:rPr>
                <w:color w:val="auto"/>
                <w:sz w:val="24"/>
                <w:szCs w:val="24"/>
              </w:rPr>
            </w:pPr>
            <w:r>
              <w:rPr>
                <w:rFonts w:hint="eastAsia"/>
                <w:color w:val="auto"/>
                <w:sz w:val="24"/>
                <w:szCs w:val="24"/>
              </w:rPr>
              <w:t>当相邻两断面相对面积差大于40％时</w:t>
            </w:r>
          </w:p>
        </w:tc>
        <w:tc>
          <w:tcPr>
            <w:tcW w:w="1716" w:type="dxa"/>
            <w:vAlign w:val="center"/>
          </w:tcPr>
          <w:p>
            <w:pPr>
              <w:widowControl w:val="0"/>
              <w:spacing w:line="240" w:lineRule="auto"/>
              <w:ind w:firstLine="0" w:firstLineChars="0"/>
              <w:jc w:val="center"/>
              <w:rPr>
                <w:color w:val="auto"/>
                <w:sz w:val="24"/>
                <w:szCs w:val="24"/>
              </w:rPr>
            </w:pPr>
            <w:r>
              <w:rPr>
                <w:rFonts w:hint="eastAsia"/>
                <w:color w:val="auto"/>
                <w:sz w:val="24"/>
                <w:szCs w:val="24"/>
              </w:rPr>
              <w:t>截锥形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231" w:type="dxa"/>
            <w:vAlign w:val="center"/>
          </w:tcPr>
          <w:p>
            <w:pPr>
              <w:pStyle w:val="99"/>
              <w:numPr>
                <w:ilvl w:val="0"/>
                <w:numId w:val="2"/>
              </w:numPr>
              <w:spacing w:line="240" w:lineRule="auto"/>
              <w:ind w:firstLineChars="0"/>
              <w:jc w:val="center"/>
              <w:rPr>
                <w:color w:val="auto"/>
                <w:sz w:val="24"/>
                <w:szCs w:val="24"/>
              </w:rPr>
            </w:pPr>
          </w:p>
        </w:tc>
        <w:tc>
          <w:tcPr>
            <w:tcW w:w="3017" w:type="dxa"/>
            <w:vAlign w:val="center"/>
          </w:tcPr>
          <w:p>
            <w:pPr>
              <w:widowControl w:val="0"/>
              <w:spacing w:line="240" w:lineRule="auto"/>
              <w:ind w:firstLine="0" w:firstLineChars="0"/>
              <w:jc w:val="center"/>
              <w:rPr>
                <w:color w:val="auto"/>
                <w:sz w:val="24"/>
                <w:szCs w:val="24"/>
              </w:rPr>
            </w:pPr>
            <w:r>
              <w:rPr>
                <w:rFonts w:eastAsia="仿宋"/>
                <w:color w:val="auto"/>
                <w:sz w:val="24"/>
                <w:szCs w:val="24"/>
              </w:rPr>
              <w:t>S=</w:t>
            </w:r>
            <m:oMath>
              <m:f>
                <m:fPr>
                  <m:ctrlPr>
                    <w:rPr>
                      <w:rFonts w:ascii="Cambria Math" w:hAnsi="Cambria Math" w:eastAsia="仿宋"/>
                      <w:i/>
                      <w:color w:val="auto"/>
                      <w:sz w:val="24"/>
                      <w:szCs w:val="24"/>
                    </w:rPr>
                  </m:ctrlPr>
                </m:fPr>
                <m:num>
                  <m:r>
                    <w:rPr>
                      <w:rFonts w:ascii="Cambria Math" w:eastAsia="仿宋"/>
                      <w:color w:val="auto"/>
                      <w:sz w:val="24"/>
                      <w:szCs w:val="24"/>
                    </w:rPr>
                    <m:t>1</m:t>
                  </m:r>
                  <m:ctrlPr>
                    <w:rPr>
                      <w:rFonts w:ascii="Cambria Math" w:hAnsi="Cambria Math" w:eastAsia="仿宋"/>
                      <w:i/>
                      <w:color w:val="auto"/>
                      <w:sz w:val="24"/>
                      <w:szCs w:val="24"/>
                    </w:rPr>
                  </m:ctrlPr>
                </m:num>
                <m:den>
                  <m:r>
                    <w:rPr>
                      <w:rFonts w:ascii="Cambria Math" w:eastAsia="仿宋"/>
                      <w:color w:val="auto"/>
                      <w:sz w:val="24"/>
                      <w:szCs w:val="24"/>
                    </w:rPr>
                    <m:t>3</m:t>
                  </m:r>
                  <m:ctrlPr>
                    <w:rPr>
                      <w:rFonts w:ascii="Cambria Math" w:hAnsi="Cambria Math" w:eastAsia="仿宋"/>
                      <w:i/>
                      <w:color w:val="auto"/>
                      <w:sz w:val="24"/>
                      <w:szCs w:val="24"/>
                    </w:rPr>
                  </m:ctrlPr>
                </m:den>
              </m:f>
              <m:r>
                <w:rPr>
                  <w:rFonts w:ascii="Cambria Math" w:eastAsia="仿宋"/>
                  <w:color w:val="auto"/>
                  <w:sz w:val="24"/>
                  <w:szCs w:val="24"/>
                </w:rPr>
                <m:t>S</m:t>
              </m:r>
            </m:oMath>
            <w:r>
              <w:rPr>
                <w:rFonts w:hint="eastAsia" w:eastAsia="仿宋"/>
                <w:color w:val="auto"/>
                <w:sz w:val="24"/>
                <w:szCs w:val="24"/>
                <w:vertAlign w:val="subscript"/>
              </w:rPr>
              <w:t>1</w:t>
            </w:r>
          </w:p>
        </w:tc>
        <w:tc>
          <w:tcPr>
            <w:tcW w:w="2332" w:type="dxa"/>
            <w:vMerge w:val="restart"/>
            <w:vAlign w:val="center"/>
          </w:tcPr>
          <w:p>
            <w:pPr>
              <w:widowControl w:val="0"/>
              <w:spacing w:line="240" w:lineRule="auto"/>
              <w:ind w:firstLine="0" w:firstLineChars="0"/>
              <w:jc w:val="center"/>
              <w:rPr>
                <w:color w:val="auto"/>
                <w:sz w:val="24"/>
                <w:szCs w:val="24"/>
              </w:rPr>
            </w:pPr>
            <w:r>
              <w:rPr>
                <w:rFonts w:hint="eastAsia"/>
                <w:color w:val="auto"/>
                <w:sz w:val="24"/>
                <w:szCs w:val="24"/>
              </w:rPr>
              <w:t>单剖面控制的块段，当矿体因矿界限制呈点尖灭时或呈线尖灭时</w:t>
            </w:r>
          </w:p>
        </w:tc>
        <w:tc>
          <w:tcPr>
            <w:tcW w:w="1716" w:type="dxa"/>
            <w:vAlign w:val="center"/>
          </w:tcPr>
          <w:p>
            <w:pPr>
              <w:widowControl w:val="0"/>
              <w:spacing w:line="240" w:lineRule="auto"/>
              <w:ind w:firstLine="0" w:firstLineChars="0"/>
              <w:jc w:val="center"/>
              <w:rPr>
                <w:color w:val="auto"/>
                <w:sz w:val="24"/>
                <w:szCs w:val="24"/>
              </w:rPr>
            </w:pPr>
            <w:r>
              <w:rPr>
                <w:rFonts w:hint="eastAsia"/>
                <w:color w:val="auto"/>
                <w:sz w:val="24"/>
                <w:szCs w:val="24"/>
              </w:rPr>
              <w:t>锥形尖灭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jc w:val="center"/>
        </w:trPr>
        <w:tc>
          <w:tcPr>
            <w:tcW w:w="1231" w:type="dxa"/>
            <w:vAlign w:val="center"/>
          </w:tcPr>
          <w:p>
            <w:pPr>
              <w:pStyle w:val="99"/>
              <w:numPr>
                <w:ilvl w:val="0"/>
                <w:numId w:val="2"/>
              </w:numPr>
              <w:spacing w:line="240" w:lineRule="auto"/>
              <w:ind w:firstLineChars="0"/>
              <w:jc w:val="center"/>
              <w:rPr>
                <w:color w:val="auto"/>
                <w:sz w:val="24"/>
                <w:szCs w:val="24"/>
              </w:rPr>
            </w:pPr>
          </w:p>
        </w:tc>
        <w:tc>
          <w:tcPr>
            <w:tcW w:w="3017" w:type="dxa"/>
            <w:vAlign w:val="center"/>
          </w:tcPr>
          <w:p>
            <w:pPr>
              <w:widowControl w:val="0"/>
              <w:spacing w:line="240" w:lineRule="auto"/>
              <w:ind w:firstLine="0" w:firstLineChars="0"/>
              <w:jc w:val="center"/>
              <w:rPr>
                <w:color w:val="auto"/>
                <w:sz w:val="24"/>
                <w:szCs w:val="24"/>
                <w:vertAlign w:val="subscript"/>
              </w:rPr>
            </w:pPr>
            <w:r>
              <w:rPr>
                <w:rFonts w:eastAsia="仿宋"/>
                <w:color w:val="auto"/>
                <w:sz w:val="24"/>
                <w:szCs w:val="24"/>
              </w:rPr>
              <w:t>S=</w:t>
            </w:r>
            <m:oMath>
              <m:f>
                <m:fPr>
                  <m:ctrlPr>
                    <w:rPr>
                      <w:rFonts w:ascii="Cambria Math" w:hAnsi="Cambria Math" w:eastAsia="仿宋"/>
                      <w:i/>
                      <w:color w:val="auto"/>
                      <w:sz w:val="24"/>
                      <w:szCs w:val="24"/>
                    </w:rPr>
                  </m:ctrlPr>
                </m:fPr>
                <m:num>
                  <m:r>
                    <w:rPr>
                      <w:rFonts w:ascii="Cambria Math" w:eastAsia="仿宋"/>
                      <w:color w:val="auto"/>
                      <w:sz w:val="24"/>
                      <w:szCs w:val="24"/>
                    </w:rPr>
                    <m:t>1</m:t>
                  </m:r>
                  <m:ctrlPr>
                    <w:rPr>
                      <w:rFonts w:ascii="Cambria Math" w:hAnsi="Cambria Math" w:eastAsia="仿宋"/>
                      <w:i/>
                      <w:color w:val="auto"/>
                      <w:sz w:val="24"/>
                      <w:szCs w:val="24"/>
                    </w:rPr>
                  </m:ctrlPr>
                </m:num>
                <m:den>
                  <m:r>
                    <w:rPr>
                      <w:rFonts w:ascii="Cambria Math" w:eastAsia="仿宋"/>
                      <w:color w:val="auto"/>
                      <w:sz w:val="24"/>
                      <w:szCs w:val="24"/>
                    </w:rPr>
                    <m:t>2</m:t>
                  </m:r>
                  <m:ctrlPr>
                    <w:rPr>
                      <w:rFonts w:ascii="Cambria Math" w:hAnsi="Cambria Math" w:eastAsia="仿宋"/>
                      <w:i/>
                      <w:color w:val="auto"/>
                      <w:sz w:val="24"/>
                      <w:szCs w:val="24"/>
                    </w:rPr>
                  </m:ctrlPr>
                </m:den>
              </m:f>
              <m:r>
                <w:rPr>
                  <w:rFonts w:ascii="Cambria Math" w:eastAsia="仿宋"/>
                  <w:color w:val="auto"/>
                  <w:sz w:val="24"/>
                  <w:szCs w:val="24"/>
                </w:rPr>
                <m:t>S</m:t>
              </m:r>
            </m:oMath>
            <w:r>
              <w:rPr>
                <w:rFonts w:hint="eastAsia" w:eastAsia="仿宋"/>
                <w:color w:val="auto"/>
                <w:sz w:val="24"/>
                <w:szCs w:val="24"/>
                <w:vertAlign w:val="subscript"/>
              </w:rPr>
              <w:t>1</w:t>
            </w:r>
          </w:p>
        </w:tc>
        <w:tc>
          <w:tcPr>
            <w:tcW w:w="2332" w:type="dxa"/>
            <w:vMerge w:val="continue"/>
            <w:vAlign w:val="center"/>
          </w:tcPr>
          <w:p>
            <w:pPr>
              <w:widowControl w:val="0"/>
              <w:spacing w:line="240" w:lineRule="auto"/>
              <w:ind w:firstLine="0" w:firstLineChars="0"/>
              <w:jc w:val="center"/>
              <w:rPr>
                <w:color w:val="auto"/>
                <w:sz w:val="24"/>
                <w:szCs w:val="24"/>
              </w:rPr>
            </w:pPr>
          </w:p>
        </w:tc>
        <w:tc>
          <w:tcPr>
            <w:tcW w:w="1716" w:type="dxa"/>
            <w:vAlign w:val="center"/>
          </w:tcPr>
          <w:p>
            <w:pPr>
              <w:widowControl w:val="0"/>
              <w:spacing w:line="240" w:lineRule="auto"/>
              <w:ind w:firstLine="0" w:firstLineChars="0"/>
              <w:jc w:val="center"/>
              <w:rPr>
                <w:color w:val="auto"/>
                <w:sz w:val="24"/>
                <w:szCs w:val="24"/>
              </w:rPr>
            </w:pPr>
            <w:r>
              <w:rPr>
                <w:rFonts w:hint="eastAsia"/>
                <w:color w:val="auto"/>
                <w:sz w:val="24"/>
                <w:szCs w:val="24"/>
              </w:rPr>
              <w:t>楔形尖灭</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工程间距或外推间距（L）：工程间距为相邻两勘查线间的距离；外推间距为工程间距的一半或至矿体自然边界，在资源储量估算平面图上通过MAPGIS软件直接量取。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矿石的平均体重（d）：本次工作对普查区内页岩矿采取小体重样30件，取其平均值t/立方米，作为资源储量估算的参数。</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outlineLvl w:val="9"/>
        <w:rPr>
          <w:rFonts w:hint="default" w:ascii="宋体" w:hAnsi="宋体" w:eastAsia="宋体" w:cs="宋体"/>
          <w:b/>
          <w:bCs/>
          <w:color w:val="auto"/>
          <w:sz w:val="24"/>
          <w:szCs w:val="24"/>
          <w:lang w:val="en-US" w:eastAsia="zh-CN"/>
        </w:rPr>
      </w:pPr>
      <w:r>
        <w:rPr>
          <w:rFonts w:hint="eastAsia" w:ascii="宋体" w:hAnsi="宋体" w:cs="宋体"/>
          <w:b/>
          <w:bCs/>
          <w:color w:val="auto"/>
          <w:sz w:val="24"/>
          <w:szCs w:val="24"/>
          <w:lang w:val="en-US" w:eastAsia="zh-CN"/>
        </w:rPr>
        <w:t>4、估算结果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本次普查工作截止至2024年6月30日，在普查区范围内共求得砖用页岩矿保有资源量</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万立方米(</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万吨)，其中推断资源量</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万立方米(</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万吨)。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矿区内无第四系剥离层，但区内存在夹石，根据资源量估算方法，普查区内共划分4个剥离区块（剥离1、剥离2、剥离3和剥离4），估算普查区内夹石量</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万立方米，故普查区内总剥采比为</w:t>
      </w:r>
      <w:r>
        <w:rPr>
          <w:rFonts w:hint="eastAsia" w:ascii="宋体" w:hAnsi="宋体" w:eastAsia="宋体" w:cs="宋体"/>
          <w:color w:val="auto"/>
          <w:sz w:val="24"/>
          <w:szCs w:val="24"/>
          <w:lang w:eastAsia="zh-CN"/>
        </w:rPr>
        <w:t xml:space="preserve">0.10:1 </w:t>
      </w:r>
      <w:r>
        <w:rPr>
          <w:rFonts w:hint="eastAsia" w:ascii="宋体" w:hAnsi="宋体" w:eastAsia="宋体" w:cs="宋体"/>
          <w:color w:val="auto"/>
          <w:sz w:val="24"/>
          <w:szCs w:val="24"/>
        </w:rPr>
        <w:t>立方米/立方米</w:t>
      </w:r>
      <w:r>
        <w:rPr>
          <w:rFonts w:hint="eastAsia" w:ascii="宋体" w:hAnsi="宋体" w:cs="宋体"/>
          <w:color w:val="auto"/>
          <w:sz w:val="24"/>
          <w:szCs w:val="24"/>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四、</w:t>
      </w:r>
      <w:bookmarkEnd w:id="88"/>
      <w:bookmarkEnd w:id="89"/>
      <w:bookmarkEnd w:id="90"/>
      <w:bookmarkEnd w:id="91"/>
      <w:bookmarkStart w:id="93" w:name="_Toc23606"/>
      <w:r>
        <w:rPr>
          <w:rFonts w:hint="eastAsia" w:ascii="宋体" w:hAnsi="宋体" w:eastAsia="宋体" w:cs="宋体"/>
          <w:b/>
          <w:color w:val="auto"/>
          <w:sz w:val="30"/>
          <w:szCs w:val="30"/>
          <w:highlight w:val="none"/>
        </w:rPr>
        <w:t>矿区土地利用现状</w:t>
      </w:r>
      <w:bookmarkEnd w:id="92"/>
    </w:p>
    <w:bookmarkEnd w:id="93"/>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（一）土地利用现状</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根据</w:t>
      </w:r>
      <w:r>
        <w:rPr>
          <w:rFonts w:hint="eastAsia" w:ascii="宋体" w:hAnsi="宋体" w:cs="宋体"/>
          <w:color w:val="auto"/>
          <w:spacing w:val="-2"/>
          <w:sz w:val="24"/>
          <w:szCs w:val="24"/>
          <w:lang w:val="en-US" w:eastAsia="zh-CN"/>
        </w:rPr>
        <w:t>伽师县</w:t>
      </w:r>
      <w:r>
        <w:rPr>
          <w:rFonts w:hint="eastAsia" w:ascii="宋体" w:hAnsi="宋体" w:eastAsia="宋体" w:cs="宋体"/>
          <w:color w:val="auto"/>
          <w:spacing w:val="-2"/>
          <w:sz w:val="24"/>
          <w:szCs w:val="24"/>
        </w:rPr>
        <w:t>自然资源局针对矿区范围的查询结果出具的证明文件《关于查询矿区土地权属和土地类型证明的函》，</w:t>
      </w:r>
      <w:r>
        <w:rPr>
          <w:rFonts w:hint="eastAsia" w:ascii="宋体" w:hAnsi="宋体" w:eastAsia="宋体" w:cs="宋体"/>
          <w:color w:val="auto"/>
          <w:spacing w:val="-2"/>
          <w:sz w:val="24"/>
          <w:szCs w:val="24"/>
          <w:lang w:eastAsia="zh-CN"/>
        </w:rPr>
        <w:t>新疆伽师县西克尔镇4号砖瓦用页岩矿</w:t>
      </w:r>
      <w:r>
        <w:rPr>
          <w:rFonts w:hint="eastAsia" w:ascii="宋体" w:hAnsi="宋体" w:eastAsia="宋体" w:cs="宋体"/>
          <w:color w:val="auto"/>
          <w:spacing w:val="-2"/>
          <w:sz w:val="24"/>
          <w:szCs w:val="24"/>
        </w:rPr>
        <w:t>矿山土地类型为</w:t>
      </w:r>
      <w:r>
        <w:rPr>
          <w:rFonts w:hint="eastAsia" w:ascii="宋体" w:hAnsi="宋体" w:cs="宋体"/>
          <w:color w:val="auto"/>
          <w:spacing w:val="-2"/>
          <w:sz w:val="24"/>
          <w:szCs w:val="24"/>
          <w:lang w:val="en-US" w:eastAsia="zh-CN"/>
        </w:rPr>
        <w:t>未利用地（裸土地）</w:t>
      </w:r>
      <w:r>
        <w:rPr>
          <w:rFonts w:hint="eastAsia" w:ascii="宋体" w:hAnsi="宋体" w:eastAsia="宋体" w:cs="宋体"/>
          <w:color w:val="auto"/>
          <w:spacing w:val="-2"/>
          <w:sz w:val="24"/>
          <w:szCs w:val="24"/>
        </w:rPr>
        <w:t>，土地性质为国有土地，土地权属清晰，无争议。</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矿区范围内地类简单，矿区矿权无交叉、重叠和争议。未涉及各类功能区、保护区，无任何矿业权设置，不涉及基本农田</w:t>
      </w:r>
      <w:r>
        <w:rPr>
          <w:rFonts w:hint="eastAsia" w:ascii="宋体" w:hAnsi="宋体" w:cs="宋体"/>
          <w:color w:val="auto"/>
          <w:spacing w:val="-2"/>
          <w:sz w:val="24"/>
          <w:szCs w:val="24"/>
          <w:lang w:eastAsia="zh-CN"/>
        </w:rPr>
        <w:t>（</w:t>
      </w:r>
      <w:r>
        <w:rPr>
          <w:rFonts w:hint="eastAsia" w:ascii="宋体" w:hAnsi="宋体" w:cs="宋体"/>
          <w:color w:val="auto"/>
          <w:spacing w:val="-2"/>
          <w:sz w:val="24"/>
          <w:szCs w:val="24"/>
          <w:lang w:val="en-US" w:eastAsia="zh-CN"/>
        </w:rPr>
        <w:t>表1-22</w:t>
      </w:r>
      <w:r>
        <w:rPr>
          <w:rFonts w:hint="eastAsia" w:ascii="宋体" w:hAnsi="宋体" w:cs="宋体"/>
          <w:color w:val="auto"/>
          <w:spacing w:val="-2"/>
          <w:sz w:val="24"/>
          <w:szCs w:val="24"/>
          <w:lang w:eastAsia="zh-CN"/>
        </w:rPr>
        <w:t>）</w:t>
      </w:r>
      <w:r>
        <w:rPr>
          <w:rFonts w:hint="eastAsia" w:ascii="宋体" w:hAnsi="宋体" w:eastAsia="宋体" w:cs="宋体"/>
          <w:color w:val="auto"/>
          <w:spacing w:val="-2"/>
          <w:sz w:val="24"/>
          <w:szCs w:val="24"/>
        </w:rPr>
        <w:t>。</w:t>
      </w:r>
    </w:p>
    <w:p>
      <w:pPr>
        <w:pStyle w:val="460"/>
        <w:spacing w:line="240" w:lineRule="auto"/>
        <w:ind w:firstLine="0" w:firstLineChars="0"/>
        <w:rPr>
          <w:rFonts w:hint="eastAsia" w:ascii="宋体" w:hAnsi="宋体" w:eastAsia="宋体" w:cs="宋体"/>
          <w:color w:val="auto"/>
          <w:sz w:val="22"/>
          <w:szCs w:val="21"/>
          <w:highlight w:val="none"/>
        </w:rPr>
      </w:pPr>
      <w:r>
        <w:rPr>
          <w:rFonts w:hint="eastAsia" w:ascii="宋体" w:hAnsi="宋体" w:eastAsia="宋体" w:cs="宋体"/>
          <w:color w:val="auto"/>
          <w:sz w:val="22"/>
          <w:szCs w:val="21"/>
          <w:highlight w:val="none"/>
        </w:rPr>
        <w:t>表1-</w:t>
      </w:r>
      <w:r>
        <w:rPr>
          <w:rFonts w:hint="eastAsia" w:ascii="宋体" w:hAnsi="宋体" w:cs="宋体"/>
          <w:color w:val="auto"/>
          <w:sz w:val="22"/>
          <w:szCs w:val="21"/>
          <w:highlight w:val="none"/>
          <w:lang w:val="en-US" w:eastAsia="zh-CN"/>
        </w:rPr>
        <w:t>22</w:t>
      </w:r>
      <w:r>
        <w:rPr>
          <w:rFonts w:hint="eastAsia" w:ascii="宋体" w:hAnsi="宋体" w:eastAsia="宋体" w:cs="宋体"/>
          <w:color w:val="auto"/>
          <w:sz w:val="22"/>
          <w:szCs w:val="21"/>
          <w:highlight w:val="none"/>
        </w:rPr>
        <w:t xml:space="preserve">   矿区及外围矿建设施土地利用现状表</w:t>
      </w:r>
    </w:p>
    <w:tbl>
      <w:tblPr>
        <w:tblStyle w:val="53"/>
        <w:tblW w:w="80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907"/>
        <w:gridCol w:w="768"/>
        <w:gridCol w:w="1129"/>
        <w:gridCol w:w="1336"/>
        <w:gridCol w:w="1339"/>
        <w:gridCol w:w="763"/>
        <w:gridCol w:w="1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jc w:val="center"/>
        </w:trPr>
        <w:tc>
          <w:tcPr>
            <w:tcW w:w="1570" w:type="dxa"/>
            <w:gridSpan w:val="2"/>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一级地类</w:t>
            </w:r>
          </w:p>
        </w:tc>
        <w:tc>
          <w:tcPr>
            <w:tcW w:w="1897" w:type="dxa"/>
            <w:gridSpan w:val="2"/>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二级地类</w:t>
            </w:r>
          </w:p>
        </w:tc>
        <w:tc>
          <w:tcPr>
            <w:tcW w:w="1336" w:type="dxa"/>
            <w:vMerge w:val="restart"/>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矿区内</w:t>
            </w:r>
          </w:p>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面积(公顷)</w:t>
            </w:r>
          </w:p>
        </w:tc>
        <w:tc>
          <w:tcPr>
            <w:tcW w:w="1339" w:type="dxa"/>
            <w:vMerge w:val="restart"/>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矿区外</w:t>
            </w:r>
          </w:p>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面积(公顷)</w:t>
            </w:r>
          </w:p>
        </w:tc>
        <w:tc>
          <w:tcPr>
            <w:tcW w:w="763" w:type="dxa"/>
            <w:vMerge w:val="restart"/>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权属</w:t>
            </w:r>
          </w:p>
        </w:tc>
        <w:tc>
          <w:tcPr>
            <w:tcW w:w="1123" w:type="dxa"/>
            <w:vMerge w:val="restart"/>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663"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p>
        </w:tc>
        <w:tc>
          <w:tcPr>
            <w:tcW w:w="907"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768"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编号</w:t>
            </w:r>
          </w:p>
        </w:tc>
        <w:tc>
          <w:tcPr>
            <w:tcW w:w="1129"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1336" w:type="dxa"/>
            <w:vMerge w:val="continue"/>
            <w:vAlign w:val="center"/>
          </w:tcPr>
          <w:p>
            <w:pPr>
              <w:pStyle w:val="467"/>
              <w:spacing w:line="240" w:lineRule="auto"/>
              <w:jc w:val="center"/>
              <w:rPr>
                <w:rFonts w:hint="eastAsia" w:ascii="宋体" w:hAnsi="宋体" w:eastAsia="宋体" w:cs="宋体"/>
                <w:color w:val="auto"/>
                <w:sz w:val="21"/>
                <w:szCs w:val="21"/>
              </w:rPr>
            </w:pPr>
          </w:p>
        </w:tc>
        <w:tc>
          <w:tcPr>
            <w:tcW w:w="1339" w:type="dxa"/>
            <w:vMerge w:val="continue"/>
            <w:vAlign w:val="center"/>
          </w:tcPr>
          <w:p>
            <w:pPr>
              <w:pStyle w:val="467"/>
              <w:spacing w:line="240" w:lineRule="auto"/>
              <w:jc w:val="center"/>
              <w:rPr>
                <w:rFonts w:hint="eastAsia" w:ascii="宋体" w:hAnsi="宋体" w:eastAsia="宋体" w:cs="宋体"/>
                <w:color w:val="auto"/>
                <w:sz w:val="21"/>
                <w:szCs w:val="21"/>
              </w:rPr>
            </w:pPr>
          </w:p>
        </w:tc>
        <w:tc>
          <w:tcPr>
            <w:tcW w:w="763" w:type="dxa"/>
            <w:vMerge w:val="continue"/>
            <w:vAlign w:val="center"/>
          </w:tcPr>
          <w:p>
            <w:pPr>
              <w:pStyle w:val="467"/>
              <w:spacing w:line="240" w:lineRule="auto"/>
              <w:jc w:val="center"/>
              <w:rPr>
                <w:rFonts w:hint="eastAsia" w:ascii="宋体" w:hAnsi="宋体" w:eastAsia="宋体" w:cs="宋体"/>
                <w:color w:val="auto"/>
                <w:sz w:val="21"/>
                <w:szCs w:val="21"/>
              </w:rPr>
            </w:pPr>
          </w:p>
        </w:tc>
        <w:tc>
          <w:tcPr>
            <w:tcW w:w="1123" w:type="dxa"/>
            <w:vMerge w:val="continue"/>
            <w:vAlign w:val="center"/>
          </w:tcPr>
          <w:p>
            <w:pPr>
              <w:pStyle w:val="467"/>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jc w:val="center"/>
        </w:trPr>
        <w:tc>
          <w:tcPr>
            <w:tcW w:w="663"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907" w:type="dxa"/>
            <w:vAlign w:val="center"/>
          </w:tcPr>
          <w:p>
            <w:pPr>
              <w:pStyle w:val="467"/>
              <w:spacing w:line="240" w:lineRule="auto"/>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未利用地</w:t>
            </w:r>
          </w:p>
        </w:tc>
        <w:tc>
          <w:tcPr>
            <w:tcW w:w="768"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1206</w:t>
            </w:r>
          </w:p>
        </w:tc>
        <w:tc>
          <w:tcPr>
            <w:tcW w:w="1129"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1336" w:type="dxa"/>
            <w:vAlign w:val="center"/>
          </w:tcPr>
          <w:p>
            <w:pPr>
              <w:pStyle w:val="467"/>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4"/>
                <w:szCs w:val="24"/>
                <w:lang w:val="en-US" w:eastAsia="zh-CN"/>
              </w:rPr>
              <w:t>****</w:t>
            </w:r>
          </w:p>
        </w:tc>
        <w:tc>
          <w:tcPr>
            <w:tcW w:w="1339"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bCs/>
                <w:color w:val="auto"/>
                <w:kern w:val="0"/>
                <w:sz w:val="21"/>
                <w:szCs w:val="21"/>
              </w:rPr>
              <w:t>0</w:t>
            </w:r>
          </w:p>
        </w:tc>
        <w:tc>
          <w:tcPr>
            <w:tcW w:w="763" w:type="dxa"/>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国有</w:t>
            </w:r>
          </w:p>
        </w:tc>
        <w:tc>
          <w:tcPr>
            <w:tcW w:w="1123" w:type="dxa"/>
            <w:vAlign w:val="center"/>
          </w:tcPr>
          <w:p>
            <w:pPr>
              <w:pStyle w:val="467"/>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5" w:hRule="atLeast"/>
          <w:jc w:val="center"/>
        </w:trPr>
        <w:tc>
          <w:tcPr>
            <w:tcW w:w="3467" w:type="dxa"/>
            <w:gridSpan w:val="4"/>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2675" w:type="dxa"/>
            <w:gridSpan w:val="2"/>
            <w:vAlign w:val="center"/>
          </w:tcPr>
          <w:p>
            <w:pPr>
              <w:pStyle w:val="467"/>
              <w:spacing w:line="240" w:lineRule="auto"/>
              <w:jc w:val="center"/>
              <w:rPr>
                <w:rFonts w:hint="eastAsia" w:ascii="宋体" w:hAnsi="宋体" w:eastAsia="宋体" w:cs="宋体"/>
                <w:color w:val="auto"/>
                <w:sz w:val="21"/>
                <w:szCs w:val="21"/>
              </w:rPr>
            </w:pPr>
            <w:r>
              <w:rPr>
                <w:rFonts w:hint="eastAsia" w:ascii="宋体" w:hAnsi="宋体" w:cs="宋体"/>
                <w:color w:val="auto"/>
                <w:sz w:val="24"/>
                <w:szCs w:val="24"/>
                <w:lang w:val="en-US" w:eastAsia="zh-CN"/>
              </w:rPr>
              <w:t>****</w:t>
            </w:r>
          </w:p>
        </w:tc>
        <w:tc>
          <w:tcPr>
            <w:tcW w:w="763" w:type="dxa"/>
            <w:vAlign w:val="center"/>
          </w:tcPr>
          <w:p>
            <w:pPr>
              <w:pStyle w:val="467"/>
              <w:spacing w:line="240" w:lineRule="auto"/>
              <w:jc w:val="center"/>
              <w:rPr>
                <w:rFonts w:hint="eastAsia" w:ascii="宋体" w:hAnsi="宋体" w:eastAsia="宋体" w:cs="宋体"/>
                <w:color w:val="auto"/>
                <w:sz w:val="21"/>
                <w:szCs w:val="21"/>
              </w:rPr>
            </w:pPr>
          </w:p>
        </w:tc>
        <w:tc>
          <w:tcPr>
            <w:tcW w:w="1123" w:type="dxa"/>
            <w:vAlign w:val="center"/>
          </w:tcPr>
          <w:p>
            <w:pPr>
              <w:pStyle w:val="467"/>
              <w:spacing w:line="240" w:lineRule="auto"/>
              <w:jc w:val="center"/>
              <w:rPr>
                <w:rFonts w:hint="eastAsia" w:ascii="宋体" w:hAnsi="宋体" w:eastAsia="宋体" w:cs="宋体"/>
                <w:color w:val="auto"/>
                <w:sz w:val="21"/>
                <w:szCs w:val="21"/>
              </w:rPr>
            </w:pP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（二）土地权属状况</w:t>
      </w:r>
    </w:p>
    <w:p>
      <w:pPr>
        <w:keepNext w:val="0"/>
        <w:keepLines w:val="0"/>
        <w:pageBreakBefore w:val="0"/>
        <w:widowControl/>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根据</w:t>
      </w:r>
      <w:r>
        <w:rPr>
          <w:rFonts w:hint="eastAsia" w:ascii="宋体" w:hAnsi="宋体" w:cs="宋体"/>
          <w:color w:val="auto"/>
          <w:spacing w:val="-2"/>
          <w:sz w:val="24"/>
          <w:szCs w:val="24"/>
          <w:lang w:val="en-US" w:eastAsia="zh-CN"/>
        </w:rPr>
        <w:t>伽师县</w:t>
      </w:r>
      <w:r>
        <w:rPr>
          <w:rFonts w:hint="eastAsia" w:ascii="宋体" w:hAnsi="宋体" w:eastAsia="宋体" w:cs="宋体"/>
          <w:color w:val="auto"/>
          <w:spacing w:val="-2"/>
          <w:sz w:val="24"/>
          <w:szCs w:val="24"/>
        </w:rPr>
        <w:t>自然资源局针对矿区范围的查询结果出具的证明文件《关于查询矿区土地权属和土地类型证明的函》，</w:t>
      </w:r>
      <w:r>
        <w:rPr>
          <w:rFonts w:hint="eastAsia" w:ascii="宋体" w:hAnsi="宋体" w:eastAsia="宋体" w:cs="宋体"/>
          <w:color w:val="auto"/>
          <w:spacing w:val="-2"/>
          <w:sz w:val="24"/>
          <w:szCs w:val="24"/>
          <w:lang w:eastAsia="zh-CN"/>
        </w:rPr>
        <w:t>新疆伽师县西克尔镇4号砖瓦用页岩矿</w:t>
      </w:r>
      <w:r>
        <w:rPr>
          <w:rFonts w:hint="eastAsia" w:ascii="宋体" w:hAnsi="宋体" w:eastAsia="宋体" w:cs="宋体"/>
          <w:color w:val="auto"/>
          <w:spacing w:val="-2"/>
          <w:sz w:val="24"/>
          <w:szCs w:val="24"/>
        </w:rPr>
        <w:t>矿山土地类型为</w:t>
      </w:r>
      <w:r>
        <w:rPr>
          <w:rFonts w:hint="eastAsia" w:ascii="宋体" w:hAnsi="宋体" w:cs="宋体"/>
          <w:color w:val="auto"/>
          <w:spacing w:val="-2"/>
          <w:sz w:val="24"/>
          <w:szCs w:val="24"/>
          <w:lang w:val="en-US" w:eastAsia="zh-CN"/>
        </w:rPr>
        <w:t>未利用地</w:t>
      </w:r>
      <w:r>
        <w:rPr>
          <w:rFonts w:hint="eastAsia" w:ascii="宋体" w:hAnsi="宋体" w:eastAsia="宋体" w:cs="宋体"/>
          <w:color w:val="auto"/>
          <w:spacing w:val="-2"/>
          <w:sz w:val="24"/>
          <w:szCs w:val="24"/>
        </w:rPr>
        <w:t>，土地性质为国有土地，土地权属清晰，无争议。</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bookmarkStart w:id="94" w:name="_Toc27774"/>
      <w:r>
        <w:rPr>
          <w:rFonts w:hint="eastAsia" w:ascii="宋体" w:hAnsi="宋体" w:eastAsia="宋体" w:cs="宋体"/>
          <w:b/>
          <w:color w:val="auto"/>
          <w:sz w:val="30"/>
          <w:szCs w:val="30"/>
          <w:highlight w:val="none"/>
        </w:rPr>
        <w:t>五、社会经济概况</w:t>
      </w:r>
      <w:bookmarkEnd w:id="94"/>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（一）社会经济概况</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rPr>
      </w:pPr>
      <w:bookmarkStart w:id="95" w:name="_Toc32659"/>
      <w:bookmarkStart w:id="96" w:name="_Hlk76197070"/>
      <w:r>
        <w:rPr>
          <w:rFonts w:hint="eastAsia" w:ascii="宋体" w:hAnsi="宋体" w:eastAsia="宋体" w:cs="宋体"/>
          <w:color w:val="auto"/>
          <w:spacing w:val="-2"/>
          <w:sz w:val="24"/>
          <w:szCs w:val="24"/>
        </w:rPr>
        <w:t>伽师县位于新疆维吾尔自治区西南部，喀什噶尔冲积平原中下游，天山南麓、</w:t>
      </w:r>
      <w:r>
        <w:rPr>
          <w:rFonts w:hint="eastAsia" w:ascii="宋体" w:hAnsi="宋体" w:eastAsia="宋体" w:cs="宋体"/>
          <w:color w:val="auto"/>
          <w:spacing w:val="-2"/>
          <w:sz w:val="24"/>
          <w:szCs w:val="24"/>
        </w:rPr>
        <w:fldChar w:fldCharType="begin"/>
      </w:r>
      <w:r>
        <w:rPr>
          <w:rFonts w:hint="eastAsia" w:ascii="宋体" w:hAnsi="宋体" w:eastAsia="宋体" w:cs="宋体"/>
          <w:color w:val="auto"/>
          <w:spacing w:val="-2"/>
          <w:sz w:val="24"/>
          <w:szCs w:val="24"/>
        </w:rPr>
        <w:instrText xml:space="preserve"> HYPERLINK "https://baike.so.com/doc/5585268-5797862.html" \t "https://baike.so.com/doc/_blank" </w:instrText>
      </w:r>
      <w:r>
        <w:rPr>
          <w:rFonts w:hint="eastAsia" w:ascii="宋体" w:hAnsi="宋体" w:eastAsia="宋体" w:cs="宋体"/>
          <w:color w:val="auto"/>
          <w:spacing w:val="-2"/>
          <w:sz w:val="24"/>
          <w:szCs w:val="24"/>
        </w:rPr>
        <w:fldChar w:fldCharType="separate"/>
      </w:r>
      <w:r>
        <w:rPr>
          <w:rFonts w:hint="eastAsia" w:ascii="宋体" w:hAnsi="宋体" w:eastAsia="宋体" w:cs="宋体"/>
          <w:color w:val="auto"/>
          <w:spacing w:val="-2"/>
          <w:sz w:val="24"/>
          <w:szCs w:val="24"/>
        </w:rPr>
        <w:t>塔里木盆地</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2"/>
          <w:sz w:val="24"/>
          <w:szCs w:val="24"/>
        </w:rPr>
        <w:t>西缘。东邻</w:t>
      </w:r>
      <w:r>
        <w:rPr>
          <w:rFonts w:hint="eastAsia" w:ascii="宋体" w:hAnsi="宋体" w:eastAsia="宋体" w:cs="宋体"/>
          <w:color w:val="auto"/>
          <w:spacing w:val="-2"/>
          <w:sz w:val="24"/>
          <w:szCs w:val="24"/>
        </w:rPr>
        <w:fldChar w:fldCharType="begin"/>
      </w:r>
      <w:r>
        <w:rPr>
          <w:rFonts w:hint="eastAsia" w:ascii="宋体" w:hAnsi="宋体" w:eastAsia="宋体" w:cs="宋体"/>
          <w:color w:val="auto"/>
          <w:spacing w:val="-2"/>
          <w:sz w:val="24"/>
          <w:szCs w:val="24"/>
        </w:rPr>
        <w:instrText xml:space="preserve"> HYPERLINK "https://baike.so.com/doc/5380053-5616307.html" \t "https://baike.so.com/doc/_blank" </w:instrText>
      </w:r>
      <w:r>
        <w:rPr>
          <w:rFonts w:hint="eastAsia" w:ascii="宋体" w:hAnsi="宋体" w:eastAsia="宋体" w:cs="宋体"/>
          <w:color w:val="auto"/>
          <w:spacing w:val="-2"/>
          <w:sz w:val="24"/>
          <w:szCs w:val="24"/>
        </w:rPr>
        <w:fldChar w:fldCharType="separate"/>
      </w:r>
      <w:r>
        <w:rPr>
          <w:rFonts w:hint="eastAsia" w:ascii="宋体" w:hAnsi="宋体" w:eastAsia="宋体" w:cs="宋体"/>
          <w:color w:val="auto"/>
          <w:spacing w:val="-2"/>
          <w:sz w:val="24"/>
          <w:szCs w:val="24"/>
        </w:rPr>
        <w:t>巴楚县</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2"/>
          <w:sz w:val="24"/>
          <w:szCs w:val="24"/>
        </w:rPr>
        <w:t>，西接</w:t>
      </w:r>
      <w:r>
        <w:rPr>
          <w:rFonts w:hint="eastAsia" w:ascii="宋体" w:hAnsi="宋体" w:eastAsia="宋体" w:cs="宋体"/>
          <w:color w:val="auto"/>
          <w:spacing w:val="-2"/>
          <w:sz w:val="24"/>
          <w:szCs w:val="24"/>
        </w:rPr>
        <w:fldChar w:fldCharType="begin"/>
      </w:r>
      <w:r>
        <w:rPr>
          <w:rFonts w:hint="eastAsia" w:ascii="宋体" w:hAnsi="宋体" w:eastAsia="宋体" w:cs="宋体"/>
          <w:color w:val="auto"/>
          <w:spacing w:val="-2"/>
          <w:sz w:val="24"/>
          <w:szCs w:val="24"/>
        </w:rPr>
        <w:instrText xml:space="preserve"> HYPERLINK "https://baike.so.com/doc/5816322-6029135.html" \t "https://baike.so.com/doc/_blank" </w:instrText>
      </w:r>
      <w:r>
        <w:rPr>
          <w:rFonts w:hint="eastAsia" w:ascii="宋体" w:hAnsi="宋体" w:eastAsia="宋体" w:cs="宋体"/>
          <w:color w:val="auto"/>
          <w:spacing w:val="-2"/>
          <w:sz w:val="24"/>
          <w:szCs w:val="24"/>
        </w:rPr>
        <w:fldChar w:fldCharType="separate"/>
      </w:r>
      <w:r>
        <w:rPr>
          <w:rFonts w:hint="eastAsia" w:ascii="宋体" w:hAnsi="宋体" w:eastAsia="宋体" w:cs="宋体"/>
          <w:color w:val="auto"/>
          <w:spacing w:val="-2"/>
          <w:sz w:val="24"/>
          <w:szCs w:val="24"/>
        </w:rPr>
        <w:t>疏勒县</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2"/>
          <w:sz w:val="24"/>
          <w:szCs w:val="24"/>
        </w:rPr>
        <w:t>，南连</w:t>
      </w:r>
      <w:r>
        <w:rPr>
          <w:rFonts w:hint="eastAsia" w:ascii="宋体" w:hAnsi="宋体" w:eastAsia="宋体" w:cs="宋体"/>
          <w:color w:val="auto"/>
          <w:spacing w:val="-2"/>
          <w:sz w:val="24"/>
          <w:szCs w:val="24"/>
        </w:rPr>
        <w:fldChar w:fldCharType="begin"/>
      </w:r>
      <w:r>
        <w:rPr>
          <w:rFonts w:hint="eastAsia" w:ascii="宋体" w:hAnsi="宋体" w:eastAsia="宋体" w:cs="宋体"/>
          <w:color w:val="auto"/>
          <w:spacing w:val="-2"/>
          <w:sz w:val="24"/>
          <w:szCs w:val="24"/>
        </w:rPr>
        <w:instrText xml:space="preserve"> HYPERLINK "https://baike.so.com/doc/6335854-6549466.html" \t "https://baike.so.com/doc/_blank" </w:instrText>
      </w:r>
      <w:r>
        <w:rPr>
          <w:rFonts w:hint="eastAsia" w:ascii="宋体" w:hAnsi="宋体" w:eastAsia="宋体" w:cs="宋体"/>
          <w:color w:val="auto"/>
          <w:spacing w:val="-2"/>
          <w:sz w:val="24"/>
          <w:szCs w:val="24"/>
        </w:rPr>
        <w:fldChar w:fldCharType="separate"/>
      </w:r>
      <w:r>
        <w:rPr>
          <w:rFonts w:hint="eastAsia" w:ascii="宋体" w:hAnsi="宋体" w:eastAsia="宋体" w:cs="宋体"/>
          <w:color w:val="auto"/>
          <w:spacing w:val="-2"/>
          <w:sz w:val="24"/>
          <w:szCs w:val="24"/>
        </w:rPr>
        <w:t>岳普湖县</w:t>
      </w:r>
      <w:r>
        <w:rPr>
          <w:rFonts w:hint="eastAsia" w:ascii="宋体" w:hAnsi="宋体" w:eastAsia="宋体" w:cs="宋体"/>
          <w:color w:val="auto"/>
          <w:spacing w:val="-2"/>
          <w:sz w:val="24"/>
          <w:szCs w:val="24"/>
        </w:rPr>
        <w:fldChar w:fldCharType="end"/>
      </w:r>
      <w:r>
        <w:rPr>
          <w:rFonts w:hint="eastAsia" w:ascii="宋体" w:hAnsi="宋体" w:eastAsia="宋体" w:cs="宋体"/>
          <w:color w:val="auto"/>
          <w:spacing w:val="-2"/>
          <w:sz w:val="24"/>
          <w:szCs w:val="24"/>
        </w:rPr>
        <w:t>，西北与阿图什市毗邻。地处北纬39°16′-40°00′，东经76°20′-78°00′之间，东西最长140千米，南北最宽80千米，全县总面积6600.68平方千米。</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伽师县矿产资源丰富，主要分布在西克尔镇以北</w:t>
      </w:r>
      <w:r>
        <w:rPr>
          <w:rFonts w:hint="eastAsia" w:ascii="宋体" w:hAnsi="宋体" w:eastAsia="宋体" w:cs="宋体"/>
          <w:color w:val="auto"/>
          <w:spacing w:val="-2"/>
          <w:sz w:val="24"/>
          <w:szCs w:val="24"/>
          <w:lang w:val="en-US" w:eastAsia="zh-CN"/>
        </w:rPr>
        <w:fldChar w:fldCharType="begin"/>
      </w:r>
      <w:r>
        <w:rPr>
          <w:rFonts w:hint="eastAsia" w:ascii="宋体" w:hAnsi="宋体" w:eastAsia="宋体" w:cs="宋体"/>
          <w:color w:val="auto"/>
          <w:spacing w:val="-2"/>
          <w:sz w:val="24"/>
          <w:szCs w:val="24"/>
          <w:lang w:val="en-US" w:eastAsia="zh-CN"/>
        </w:rPr>
        <w:instrText xml:space="preserve"> HYPERLINK "https://baike.baidu.com/item/%E5%96%80%E4%BB%80/33862?fromModule=lemma_inlink" \t "https://baike.baidu.com/item/%E4%BC%BD%E5%B8%88%E5%8E%BF/_blank" </w:instrText>
      </w:r>
      <w:r>
        <w:rPr>
          <w:rFonts w:hint="eastAsia" w:ascii="宋体" w:hAnsi="宋体" w:eastAsia="宋体" w:cs="宋体"/>
          <w:color w:val="auto"/>
          <w:spacing w:val="-2"/>
          <w:sz w:val="24"/>
          <w:szCs w:val="24"/>
          <w:lang w:val="en-US" w:eastAsia="zh-CN"/>
        </w:rPr>
        <w:fldChar w:fldCharType="separate"/>
      </w:r>
      <w:r>
        <w:rPr>
          <w:rFonts w:hint="eastAsia" w:ascii="宋体" w:hAnsi="宋体" w:eastAsia="宋体" w:cs="宋体"/>
          <w:color w:val="auto"/>
          <w:spacing w:val="-2"/>
          <w:sz w:val="24"/>
          <w:szCs w:val="24"/>
          <w:lang w:val="en-US" w:eastAsia="zh-CN"/>
        </w:rPr>
        <w:t>喀什</w:t>
      </w:r>
      <w:r>
        <w:rPr>
          <w:rFonts w:hint="eastAsia" w:ascii="宋体" w:hAnsi="宋体" w:eastAsia="宋体" w:cs="宋体"/>
          <w:color w:val="auto"/>
          <w:spacing w:val="-2"/>
          <w:sz w:val="24"/>
          <w:szCs w:val="24"/>
          <w:lang w:val="en-US" w:eastAsia="zh-CN"/>
        </w:rPr>
        <w:fldChar w:fldCharType="end"/>
      </w:r>
      <w:r>
        <w:rPr>
          <w:rFonts w:hint="eastAsia" w:ascii="宋体" w:hAnsi="宋体" w:eastAsia="宋体" w:cs="宋体"/>
          <w:color w:val="auto"/>
          <w:spacing w:val="-2"/>
          <w:sz w:val="24"/>
          <w:szCs w:val="24"/>
          <w:lang w:val="en-US" w:eastAsia="zh-CN"/>
        </w:rPr>
        <w:t>噶尔套山南坡地区。共探明矿藏有铜、铅、锰、锌、铁、镍、铂、铝、石灰石、方解石、冰洲石、萤石、石膏、天青石、重晶石、硫磺、钻井粘土、石棉、石油、天然气等24种金属及非金属矿藏，其中冰洲石、石膏储量可观，铜储量10万吨以上，平均品位3—8%，其余矿品位均在中等程度以上，分布集中，易开采。</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2022年，伽师县实现地区生产总值（GDP）90.38亿元，比上年增长4.2%。其中，第一产业增加值37.28亿元，增长8.1%；第二产业增加值16.49亿元，增长2.7%；第三产业增加值36.61亿元，增长1.5%。第一产业增加值占地区生产总值的比重为41.25%，第二产业增加值占地区生产总值的比重为18.25%，第三产业增加值占地区生产总值的比重为40.5%。全年实现城镇新增就业11278人。</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2023年，伽师县地区生产总值（GDP）101.32亿元，同比增长8.3%。其中：第一产业增加值44.85亿元，同比增长8.6%；第二产业增加值18.66亿元，同比增长16.9%；第三产业增加值37.82亿元，同比增长4.7%，规上工业增加值2.91亿元，按可比价计算，同比增长16.0%。</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西克尔镇始建于1985年8月，全镇辖三个居委会，共有居民193户，769人，流动人口300人左右，是典型的马路式经济类型。属大陆性干旱气候。西克尔具有独特的区位优势。西克尔镇地处交通要塞，集铁路、公路交通枢纽为一体，是南疆铁路、314国道的必经之地，是伽师县的重要门户之一，是伽师县直接面向市场、对外贸易的窗口，也是伽师县唯一通火车的建制镇，具备了发展饮食、商业、旅游观光等第三产业的基础条件。</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lang w:val="en-US" w:eastAsia="zh-CN"/>
        </w:rPr>
        <w:t>矿</w:t>
      </w:r>
      <w:r>
        <w:rPr>
          <w:rFonts w:hint="eastAsia" w:ascii="宋体" w:hAnsi="宋体" w:eastAsia="宋体" w:cs="宋体"/>
          <w:color w:val="auto"/>
          <w:spacing w:val="-2"/>
          <w:sz w:val="24"/>
          <w:szCs w:val="24"/>
        </w:rPr>
        <w:t>区为中低山丘陵地貌，总体地势北高南低，矿区内页岩矿均凸露于地表，工作区总体上基岩裸露良好，无植被覆盖。工作区及周边气候较干燥，降雨极少，工作区附近水系不发育，工作区内无常年流水，暂时性流水主要有上游春末冰雪融水或夏秋降雨形成。矿山的生产、生活用水需从附近的西克尔镇及伽师县拉运。生产生活物资供应从附近的西克尔镇及伽师县采购，比较方便。</w:t>
      </w:r>
    </w:p>
    <w:bookmarkEnd w:id="95"/>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（二）矿区及周边经济概况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1、社会效益分析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矿山生产规模20万m³/年，项目的建设符合高产、高效、高技术含量的大规模现代化生产的产业政策要求。页岩矿床埋藏浅、矿石类型简单、易采，交通方便，该矿床的开发必将为推动伽师县的经济发展做出一定贡献。矿山生产过程中可解决部分就业问题，提高当地局域性工业生产程度和改善产业结构，社会效益较为显著；页岩矿石加工技术简单，开采过程中无任何污染物产生，符合国家环保政策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2、项目建设对就业的影响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矿山投入运行后可直接提供约多个劳动岗位，同时也能带动当地第三产业发展，间接的提供就业机会，这对改善当地的就业状况、促进社会稳定有积极意义。尽可能围绕页岩矿生产，引导并为当地农民创造就业条件，补偿提高受影响农民的收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3、项目建设对促进当地经济发展的意义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矿山达产后年销售收入700万元（含税），这对带动地方经济发展具有重要意义。项目建设也将使当地的建筑材料行业、医疗卫生条件和文化教育设施得到不同程度的改善，同时区内交通条件的发展也会使本区同外界的沟通联系更为广泛、及时，这将间接地促进当地经济、建材产业集约化发展的同时，能够提高当地居民收入。此外矿山建成后，可以促进相关附属行业的供电、供水、供热和交通基础设施，以及工程余水、余热、余渣，进行区域性经济开发，改善当地居民的生活质量，对当地居民致富具有重要意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bidi="ar-SA"/>
        </w:rPr>
        <w:t>4、</w:t>
      </w:r>
      <w:r>
        <w:rPr>
          <w:rFonts w:hint="eastAsia" w:ascii="宋体" w:hAnsi="宋体" w:eastAsia="宋体" w:cs="宋体"/>
          <w:b/>
          <w:bCs/>
          <w:color w:val="auto"/>
          <w:spacing w:val="-2"/>
          <w:sz w:val="24"/>
          <w:szCs w:val="24"/>
          <w:highlight w:val="none"/>
          <w:lang w:val="en-US" w:eastAsia="zh-CN"/>
        </w:rPr>
        <w:t>矿产品需求现状及市场预测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1）矿产品市场需求</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五”时期是新疆巩固社会稳定成果、推动高质量发展、迈向长治久安的关键时期，经济社会发展对矿产资源的需求仍在增长，矿业发展的优势与挑战并存。在加快丝绸之路经济带核心区建设、推进西部大开发新格局、喀什市作为特殊经济开发区发展机遇前所未有，加大推进交通、能源、水利、城镇基础设施等重大项目建设中所需建筑用砂，水泥所需配料等将会大幅增长。大量的建筑用料的缺口给相关企业带来了前所未有的机遇，矿区位于伽师县55°方位约63km处，矿区周边有314国道，交通便利，通行方便、开采成本低，所以该矿山开展前景乐观，产品需求和市场供应现状良好，经济效益较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2）近、远期的需求量及主要销向预测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砖瓦用页岩是保障重点工程建设、民生工程建设、乡村振兴等项目的重要原料。今后，随着国家基础建设的持续、快速、稳步、健康的发展和人民生活水平的提高，伽师县及周边村镇住房的快速发展，砖瓦用页岩矿需求量日益增加，供求量呈现明显上升趋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3）目标市场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该矿的销售地域主要是伽师县及乡镇周边区域砖瓦制造加工厂，运距40-80公里不等，预测将来产品的销售方向仍然以内销为主。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4）矿产品价格现状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矿区内矿石的自然类型有2种：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其一为粉砂质页岩，泥状～粉砂状结构，页理构造。主要成分以长石、石英、岩屑和铁泥质组成；其二为砂质泥页岩，砂状～泥状结构，页理构造。主要成分由长石、石英、岩屑和粘土矿物组成。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根据矿石多元素分析结果，矿区内矿石主要化学组分均为SiO</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、Al</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w:t>
      </w:r>
      <w:r>
        <w:rPr>
          <w:rFonts w:hint="eastAsia" w:ascii="宋体" w:hAnsi="宋体" w:eastAsia="宋体" w:cs="宋体"/>
          <w:color w:val="auto"/>
          <w:spacing w:val="-2"/>
          <w:sz w:val="24"/>
          <w:szCs w:val="24"/>
          <w:highlight w:val="none"/>
          <w:vertAlign w:val="subscript"/>
          <w:lang w:val="en-US" w:eastAsia="zh-CN"/>
        </w:rPr>
        <w:t>3</w:t>
      </w:r>
      <w:r>
        <w:rPr>
          <w:rFonts w:hint="eastAsia" w:ascii="宋体" w:hAnsi="宋体" w:eastAsia="宋体" w:cs="宋体"/>
          <w:color w:val="auto"/>
          <w:spacing w:val="-2"/>
          <w:sz w:val="24"/>
          <w:szCs w:val="24"/>
          <w:highlight w:val="none"/>
          <w:lang w:val="en-US" w:eastAsia="zh-CN"/>
        </w:rPr>
        <w:t>、Fe</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w:t>
      </w:r>
      <w:r>
        <w:rPr>
          <w:rFonts w:hint="eastAsia" w:ascii="宋体" w:hAnsi="宋体" w:eastAsia="宋体" w:cs="宋体"/>
          <w:color w:val="auto"/>
          <w:spacing w:val="-2"/>
          <w:sz w:val="24"/>
          <w:szCs w:val="24"/>
          <w:highlight w:val="none"/>
          <w:vertAlign w:val="subscript"/>
          <w:lang w:val="en-US" w:eastAsia="zh-CN"/>
        </w:rPr>
        <w:t>3</w:t>
      </w:r>
      <w:r>
        <w:rPr>
          <w:rFonts w:hint="eastAsia" w:ascii="宋体" w:hAnsi="宋体" w:eastAsia="宋体" w:cs="宋体"/>
          <w:color w:val="auto"/>
          <w:spacing w:val="-2"/>
          <w:sz w:val="24"/>
          <w:szCs w:val="24"/>
          <w:highlight w:val="none"/>
          <w:lang w:val="en-US" w:eastAsia="zh-CN"/>
        </w:rPr>
        <w:t>、CaO、MgO、K</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O、Na</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O、SO</w:t>
      </w:r>
      <w:r>
        <w:rPr>
          <w:rFonts w:hint="eastAsia" w:ascii="宋体" w:hAnsi="宋体" w:eastAsia="宋体" w:cs="宋体"/>
          <w:color w:val="auto"/>
          <w:spacing w:val="-2"/>
          <w:sz w:val="24"/>
          <w:szCs w:val="24"/>
          <w:highlight w:val="none"/>
          <w:vertAlign w:val="subscript"/>
          <w:lang w:val="en-US" w:eastAsia="zh-CN"/>
        </w:rPr>
        <w:t>3</w:t>
      </w:r>
      <w:r>
        <w:rPr>
          <w:rFonts w:hint="eastAsia" w:ascii="宋体" w:hAnsi="宋体" w:eastAsia="宋体" w:cs="宋体"/>
          <w:color w:val="auto"/>
          <w:spacing w:val="-2"/>
          <w:sz w:val="24"/>
          <w:szCs w:val="24"/>
          <w:highlight w:val="none"/>
          <w:lang w:val="en-US" w:eastAsia="zh-CN"/>
        </w:rPr>
        <w:t>。对照砖瓦用粘土岩类一般工业指标：SiO</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含量53～70%，Al</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w:t>
      </w:r>
      <w:r>
        <w:rPr>
          <w:rFonts w:hint="eastAsia" w:ascii="宋体" w:hAnsi="宋体" w:eastAsia="宋体" w:cs="宋体"/>
          <w:color w:val="auto"/>
          <w:spacing w:val="-2"/>
          <w:sz w:val="24"/>
          <w:szCs w:val="24"/>
          <w:highlight w:val="none"/>
          <w:vertAlign w:val="subscript"/>
          <w:lang w:val="en-US" w:eastAsia="zh-CN"/>
        </w:rPr>
        <w:t>3</w:t>
      </w:r>
      <w:r>
        <w:rPr>
          <w:rFonts w:hint="eastAsia" w:ascii="宋体" w:hAnsi="宋体" w:eastAsia="宋体" w:cs="宋体"/>
          <w:color w:val="auto"/>
          <w:spacing w:val="-2"/>
          <w:sz w:val="24"/>
          <w:szCs w:val="24"/>
          <w:highlight w:val="none"/>
          <w:lang w:val="en-US" w:eastAsia="zh-CN"/>
        </w:rPr>
        <w:t>含量10～20%，Fe</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w:t>
      </w:r>
      <w:r>
        <w:rPr>
          <w:rFonts w:hint="eastAsia" w:ascii="宋体" w:hAnsi="宋体" w:eastAsia="宋体" w:cs="宋体"/>
          <w:color w:val="auto"/>
          <w:spacing w:val="-2"/>
          <w:sz w:val="24"/>
          <w:szCs w:val="24"/>
          <w:highlight w:val="none"/>
          <w:vertAlign w:val="subscript"/>
          <w:lang w:val="en-US" w:eastAsia="zh-CN"/>
        </w:rPr>
        <w:t>3</w:t>
      </w:r>
      <w:r>
        <w:rPr>
          <w:rFonts w:hint="eastAsia" w:ascii="宋体" w:hAnsi="宋体" w:eastAsia="宋体" w:cs="宋体"/>
          <w:color w:val="auto"/>
          <w:spacing w:val="-2"/>
          <w:sz w:val="24"/>
          <w:szCs w:val="24"/>
          <w:highlight w:val="none"/>
          <w:lang w:val="en-US" w:eastAsia="zh-CN"/>
        </w:rPr>
        <w:t>含量3～10%，CaO含量≤15%，MgO含量≤3%，SO</w:t>
      </w:r>
      <w:r>
        <w:rPr>
          <w:rFonts w:hint="eastAsia" w:ascii="宋体" w:hAnsi="宋体" w:eastAsia="宋体" w:cs="宋体"/>
          <w:color w:val="auto"/>
          <w:spacing w:val="-2"/>
          <w:sz w:val="24"/>
          <w:szCs w:val="24"/>
          <w:highlight w:val="none"/>
          <w:vertAlign w:val="subscript"/>
          <w:lang w:val="en-US" w:eastAsia="zh-CN"/>
        </w:rPr>
        <w:t>3</w:t>
      </w:r>
      <w:r>
        <w:rPr>
          <w:rFonts w:hint="eastAsia" w:ascii="宋体" w:hAnsi="宋体" w:eastAsia="宋体" w:cs="宋体"/>
          <w:color w:val="auto"/>
          <w:spacing w:val="-2"/>
          <w:sz w:val="24"/>
          <w:szCs w:val="24"/>
          <w:highlight w:val="none"/>
          <w:lang w:val="en-US" w:eastAsia="zh-CN"/>
        </w:rPr>
        <w:t>含量≤3%，K</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O+Na</w:t>
      </w:r>
      <w:r>
        <w:rPr>
          <w:rFonts w:hint="eastAsia" w:ascii="宋体" w:hAnsi="宋体" w:eastAsia="宋体" w:cs="宋体"/>
          <w:color w:val="auto"/>
          <w:spacing w:val="-2"/>
          <w:sz w:val="24"/>
          <w:szCs w:val="24"/>
          <w:highlight w:val="none"/>
          <w:vertAlign w:val="subscript"/>
          <w:lang w:val="en-US" w:eastAsia="zh-CN"/>
        </w:rPr>
        <w:t>2</w:t>
      </w:r>
      <w:r>
        <w:rPr>
          <w:rFonts w:hint="eastAsia" w:ascii="宋体" w:hAnsi="宋体" w:eastAsia="宋体" w:cs="宋体"/>
          <w:color w:val="auto"/>
          <w:spacing w:val="-2"/>
          <w:sz w:val="24"/>
          <w:szCs w:val="24"/>
          <w:highlight w:val="none"/>
          <w:lang w:val="en-US" w:eastAsia="zh-CN"/>
        </w:rPr>
        <w:t>O含量1～5%，各项均符合砖瓦用粘土岩工业指标要求，该矿石可作为砖瓦用原材料。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default" w:ascii="宋体" w:hAnsi="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通过收集矿山所在区域近几年砖瓦用页岩原矿价格情况，2022年伽师县砖瓦用页岩原矿价格34元/m³（含税价）；2023年伽师县砖瓦用页岩原矿价格35元/m³（含税价）；2024年伽师县砖瓦用页岩原矿价格36元/m³（含税价），近三年砖瓦用页岩原矿价格整体平稳有升，具体见表1-23。</w:t>
      </w:r>
    </w:p>
    <w:p>
      <w:pPr>
        <w:pStyle w:val="460"/>
        <w:spacing w:line="240" w:lineRule="auto"/>
        <w:ind w:firstLine="0" w:firstLineChars="0"/>
        <w:rPr>
          <w:rFonts w:hint="eastAsia" w:ascii="宋体" w:hAnsi="宋体" w:eastAsia="宋体" w:cs="宋体"/>
          <w:color w:val="auto"/>
          <w:sz w:val="22"/>
          <w:szCs w:val="21"/>
          <w:highlight w:val="none"/>
          <w:lang w:val="en-US" w:eastAsia="zh-CN"/>
        </w:rPr>
      </w:pPr>
      <w:r>
        <w:rPr>
          <w:rFonts w:hint="eastAsia" w:ascii="宋体" w:hAnsi="宋体" w:eastAsia="宋体" w:cs="宋体"/>
          <w:color w:val="auto"/>
          <w:sz w:val="22"/>
          <w:szCs w:val="21"/>
          <w:highlight w:val="none"/>
          <w:lang w:val="en-US" w:eastAsia="zh-CN"/>
        </w:rPr>
        <w:t>表1-23   伽师县砖瓦用页岩原矿近三年价格信息（含税）</w:t>
      </w:r>
    </w:p>
    <w:tbl>
      <w:tblPr>
        <w:tblStyle w:val="54"/>
        <w:tblW w:w="85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476"/>
        <w:gridCol w:w="1605"/>
        <w:gridCol w:w="1696"/>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829"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年份（年）</w:t>
            </w:r>
          </w:p>
        </w:tc>
        <w:tc>
          <w:tcPr>
            <w:tcW w:w="1476"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2022</w:t>
            </w:r>
          </w:p>
        </w:tc>
        <w:tc>
          <w:tcPr>
            <w:tcW w:w="1605"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2023</w:t>
            </w:r>
          </w:p>
        </w:tc>
        <w:tc>
          <w:tcPr>
            <w:tcW w:w="1696"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2024</w:t>
            </w:r>
          </w:p>
        </w:tc>
        <w:tc>
          <w:tcPr>
            <w:tcW w:w="1919"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1829"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价格（元/m³）</w:t>
            </w:r>
          </w:p>
        </w:tc>
        <w:tc>
          <w:tcPr>
            <w:tcW w:w="1476"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1605"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c>
          <w:tcPr>
            <w:tcW w:w="1696"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1919" w:type="dxa"/>
            <w:vAlign w:val="center"/>
          </w:tcPr>
          <w:p>
            <w:pPr>
              <w:widowControl w:val="0"/>
              <w:bidi w:val="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r>
    </w:tbl>
    <w:p>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通过矿山所在区域近三年砖瓦用页岩原矿价格情况，最终确定35元/m³（含税、矿山交货价）作为基准价格计算销售收入。</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color w:val="auto"/>
        </w:rPr>
      </w:pPr>
      <w:r>
        <w:rPr>
          <w:rFonts w:hint="eastAsia" w:ascii="宋体" w:hAnsi="宋体" w:eastAsia="宋体" w:cs="宋体"/>
          <w:color w:val="auto"/>
          <w:spacing w:val="-2"/>
          <w:sz w:val="24"/>
          <w:szCs w:val="24"/>
          <w:highlight w:val="none"/>
          <w:lang w:val="en-US" w:eastAsia="zh-CN"/>
        </w:rPr>
        <w:t>矿区产品销售方向主要为伽师县及其周边砖瓦加工制造厂，销售距离40-80Km不等。</w:t>
      </w:r>
    </w:p>
    <w:bookmarkEnd w:id="96"/>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pacing w:val="-2"/>
          <w:sz w:val="24"/>
          <w:szCs w:val="24"/>
        </w:rPr>
        <w:sectPr>
          <w:footerReference r:id="rId4" w:type="default"/>
          <w:pgSz w:w="11910" w:h="16840"/>
          <w:pgMar w:top="1440" w:right="1400" w:bottom="1440" w:left="1559" w:header="0" w:footer="1117" w:gutter="0"/>
          <w:pgBorders>
            <w:top w:val="none" w:sz="0" w:space="0"/>
            <w:left w:val="none" w:sz="0" w:space="0"/>
            <w:bottom w:val="none" w:sz="0" w:space="0"/>
            <w:right w:val="none" w:sz="0" w:space="0"/>
          </w:pgBorders>
          <w:pgNumType w:start="1"/>
          <w:cols w:space="0" w:num="1"/>
        </w:sectPr>
      </w:pPr>
    </w:p>
    <w:p>
      <w:pPr>
        <w:pStyle w:val="2"/>
        <w:spacing w:before="360" w:beforeLines="150" w:after="240" w:afterLines="100" w:afterAutospacing="0" w:line="360" w:lineRule="auto"/>
        <w:jc w:val="center"/>
        <w:rPr>
          <w:rFonts w:hint="eastAsia" w:ascii="宋体" w:hAnsi="宋体" w:eastAsia="宋体" w:cs="宋体"/>
          <w:b/>
          <w:bCs w:val="0"/>
          <w:color w:val="auto"/>
          <w:highlight w:val="none"/>
        </w:rPr>
      </w:pPr>
      <w:bookmarkStart w:id="97" w:name="_Toc9804"/>
      <w:bookmarkStart w:id="98" w:name="_Toc9899"/>
      <w:bookmarkStart w:id="99" w:name="_Toc26663"/>
      <w:bookmarkStart w:id="100" w:name="_Toc9956"/>
      <w:bookmarkStart w:id="101" w:name="_Toc31902"/>
      <w:bookmarkStart w:id="102" w:name="_Toc21644"/>
      <w:bookmarkStart w:id="103" w:name="_Toc21622"/>
      <w:bookmarkStart w:id="104" w:name="_Toc25448"/>
      <w:bookmarkStart w:id="105" w:name="_Toc24432"/>
      <w:bookmarkStart w:id="106" w:name="_Toc29942"/>
      <w:bookmarkStart w:id="107" w:name="_Toc532760448"/>
      <w:r>
        <w:rPr>
          <w:rFonts w:hint="eastAsia" w:ascii="宋体" w:hAnsi="宋体" w:eastAsia="宋体" w:cs="宋体"/>
          <w:b/>
          <w:bCs w:val="0"/>
          <w:color w:val="auto"/>
          <w:highlight w:val="none"/>
        </w:rPr>
        <w:t xml:space="preserve">第二章  </w:t>
      </w:r>
      <w:bookmarkEnd w:id="97"/>
      <w:bookmarkEnd w:id="98"/>
      <w:bookmarkEnd w:id="99"/>
      <w:bookmarkEnd w:id="100"/>
      <w:r>
        <w:rPr>
          <w:rFonts w:hint="eastAsia" w:ascii="宋体" w:hAnsi="宋体" w:eastAsia="宋体" w:cs="宋体"/>
          <w:b/>
          <w:bCs w:val="0"/>
          <w:color w:val="auto"/>
          <w:highlight w:val="none"/>
        </w:rPr>
        <w:t>矿产资源开发利用</w:t>
      </w:r>
      <w:bookmarkEnd w:id="101"/>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bookmarkStart w:id="108" w:name="_Toc542"/>
      <w:bookmarkStart w:id="109" w:name="_Toc532760441"/>
      <w:bookmarkStart w:id="110" w:name="_Toc14146"/>
      <w:bookmarkStart w:id="111" w:name="_Toc18826"/>
      <w:bookmarkStart w:id="112" w:name="_Toc1193"/>
      <w:bookmarkStart w:id="113" w:name="_Toc1627"/>
      <w:bookmarkStart w:id="114" w:name="_Toc21745"/>
      <w:bookmarkStart w:id="115" w:name="_Toc28453"/>
      <w:r>
        <w:rPr>
          <w:rFonts w:hint="eastAsia" w:ascii="宋体" w:hAnsi="宋体" w:eastAsia="宋体" w:cs="宋体"/>
          <w:b/>
          <w:color w:val="auto"/>
          <w:sz w:val="30"/>
          <w:szCs w:val="30"/>
          <w:highlight w:val="none"/>
        </w:rPr>
        <w:t>一、</w:t>
      </w:r>
      <w:bookmarkEnd w:id="108"/>
      <w:bookmarkEnd w:id="109"/>
      <w:bookmarkEnd w:id="110"/>
      <w:bookmarkEnd w:id="111"/>
      <w:bookmarkEnd w:id="112"/>
      <w:r>
        <w:rPr>
          <w:rFonts w:hint="eastAsia" w:ascii="宋体" w:hAnsi="宋体" w:eastAsia="宋体" w:cs="宋体"/>
          <w:b/>
          <w:color w:val="auto"/>
          <w:sz w:val="30"/>
          <w:szCs w:val="30"/>
          <w:highlight w:val="none"/>
        </w:rPr>
        <w:t>矿山矿产资源储量</w:t>
      </w:r>
      <w:bookmarkEnd w:id="113"/>
    </w:p>
    <w:bookmarkEnd w:id="114"/>
    <w:bookmarkEnd w:id="115"/>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（一）设计利用矿产资源储量及可采储量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pacing w:val="-2"/>
          <w:sz w:val="24"/>
          <w:szCs w:val="24"/>
          <w:highlight w:val="none"/>
          <w:vertAlign w:val="baseline"/>
          <w:lang w:eastAsia="zh-CN"/>
        </w:rPr>
      </w:pPr>
      <w:r>
        <w:rPr>
          <w:rFonts w:hint="eastAsia" w:ascii="宋体" w:hAnsi="宋体" w:eastAsia="宋体" w:cs="宋体"/>
          <w:color w:val="auto"/>
          <w:sz w:val="24"/>
          <w:szCs w:val="24"/>
          <w:highlight w:val="none"/>
          <w:lang w:val="en-US" w:eastAsia="zh-CN"/>
        </w:rPr>
        <w:t>根据《新疆伽师县西克尔镇4号砖瓦用页岩矿普查报告》矿产资源储量评审意见书（喀自然储备字[2024] 号），截止2024年9月7日，普查区范围内共求得砖用页岩矿保有资源量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万t)，其中推断资源量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万t)。普查区内夹石量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，总剥采比0.10:1m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pacing w:val="-2"/>
          <w:sz w:val="24"/>
          <w:szCs w:val="24"/>
          <w:highlight w:val="none"/>
          <w:vertAlign w:val="baseli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设计利用资源量：</w:t>
      </w:r>
      <w:r>
        <w:rPr>
          <w:rFonts w:hint="eastAsia" w:ascii="宋体" w:hAnsi="宋体" w:eastAsia="宋体" w:cs="宋体"/>
          <w:color w:val="auto"/>
          <w:spacing w:val="-4"/>
          <w:sz w:val="24"/>
          <w:szCs w:val="24"/>
          <w:highlight w:val="none"/>
        </w:rPr>
        <w:t>依据</w:t>
      </w:r>
      <w:r>
        <w:rPr>
          <w:rFonts w:hint="eastAsia" w:ascii="宋体" w:hAnsi="宋体" w:eastAsia="宋体" w:cs="宋体"/>
          <w:color w:val="auto"/>
          <w:spacing w:val="-4"/>
          <w:sz w:val="24"/>
          <w:szCs w:val="24"/>
          <w:highlight w:val="none"/>
          <w:lang w:val="en-US" w:eastAsia="zh-CN"/>
        </w:rPr>
        <w:t>确定的开采范围进行</w:t>
      </w:r>
      <w:r>
        <w:rPr>
          <w:rFonts w:hint="eastAsia" w:ascii="宋体" w:hAnsi="宋体" w:eastAsia="宋体" w:cs="宋体"/>
          <w:color w:val="auto"/>
          <w:spacing w:val="-4"/>
          <w:sz w:val="24"/>
          <w:szCs w:val="24"/>
          <w:highlight w:val="none"/>
        </w:rPr>
        <w:t>露天最终</w:t>
      </w:r>
      <w:r>
        <w:rPr>
          <w:rFonts w:hint="eastAsia" w:ascii="宋体" w:hAnsi="宋体" w:eastAsia="宋体" w:cs="宋体"/>
          <w:color w:val="auto"/>
          <w:spacing w:val="-4"/>
          <w:sz w:val="24"/>
          <w:szCs w:val="24"/>
          <w:highlight w:val="none"/>
          <w:lang w:val="en-US" w:eastAsia="zh-CN"/>
        </w:rPr>
        <w:t>境界及</w:t>
      </w:r>
      <w:r>
        <w:rPr>
          <w:rFonts w:hint="eastAsia" w:ascii="宋体" w:hAnsi="宋体" w:eastAsia="宋体" w:cs="宋体"/>
          <w:color w:val="auto"/>
          <w:spacing w:val="-4"/>
          <w:sz w:val="24"/>
          <w:szCs w:val="24"/>
          <w:highlight w:val="none"/>
        </w:rPr>
        <w:t>平面图</w:t>
      </w:r>
      <w:r>
        <w:rPr>
          <w:rFonts w:hint="eastAsia" w:ascii="宋体" w:hAnsi="宋体" w:eastAsia="宋体" w:cs="宋体"/>
          <w:color w:val="auto"/>
          <w:spacing w:val="-4"/>
          <w:sz w:val="24"/>
          <w:szCs w:val="24"/>
          <w:highlight w:val="none"/>
          <w:lang w:val="en-US" w:eastAsia="zh-CN"/>
        </w:rPr>
        <w:t>的绘制计算</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val="en-US" w:eastAsia="zh-CN"/>
        </w:rPr>
        <w:t>设计利用资源量为露天开采境界内资源量</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lang w:val="en-US" w:eastAsia="zh-CN"/>
        </w:rPr>
        <w:t>为</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万m³</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val="en-US" w:eastAsia="zh-CN"/>
        </w:rPr>
        <w:t>设计损失量</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万m³，设计损失率</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lang w:val="en-US" w:eastAsia="zh-CN"/>
        </w:rPr>
      </w:pPr>
      <w:r>
        <w:rPr>
          <w:rFonts w:hint="eastAsia" w:ascii="宋体" w:hAnsi="宋体" w:eastAsia="宋体" w:cs="宋体"/>
          <w:b/>
          <w:bCs/>
          <w:color w:val="auto"/>
          <w:spacing w:val="-2"/>
          <w:sz w:val="24"/>
          <w:szCs w:val="24"/>
          <w:highlight w:val="none"/>
          <w:lang w:val="en-US" w:eastAsia="zh-CN"/>
        </w:rPr>
        <w:t>1、工业指标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根据《矿产资源工业要求手册》中砖瓦用粘土岩类矿床地质勘查一般参考工业指标的要求，结合本矿区的实际情况，确定西克尔镇4号砖用页岩矿的工业指标如下：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1</w:t>
      </w:r>
      <w:r>
        <w:rPr>
          <w:rFonts w:hint="eastAsia" w:ascii="宋体" w:hAnsi="宋体" w:eastAsia="宋体" w:cs="宋体"/>
          <w:snapToGrid w:val="0"/>
          <w:color w:val="auto"/>
          <w:sz w:val="24"/>
          <w:szCs w:val="24"/>
          <w:highlight w:val="none"/>
          <w:lang w:eastAsia="zh-CN"/>
        </w:rPr>
        <w:t>）质量要求</w:t>
      </w:r>
    </w:p>
    <w:tbl>
      <w:tblPr>
        <w:tblStyle w:val="54"/>
        <w:tblW w:w="91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201"/>
        <w:gridCol w:w="1212"/>
        <w:gridCol w:w="1210"/>
        <w:gridCol w:w="1036"/>
        <w:gridCol w:w="1038"/>
        <w:gridCol w:w="1037"/>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成分</w:t>
            </w:r>
          </w:p>
        </w:tc>
        <w:tc>
          <w:tcPr>
            <w:tcW w:w="1201" w:type="dxa"/>
            <w:vAlign w:val="center"/>
          </w:tcPr>
          <w:p>
            <w:pPr>
              <w:pStyle w:val="315"/>
              <w:rPr>
                <w:rFonts w:hint="eastAsia" w:ascii="宋体" w:hAnsi="宋体" w:eastAsia="宋体" w:cs="宋体"/>
                <w:color w:val="auto"/>
                <w:sz w:val="21"/>
                <w:szCs w:val="21"/>
                <w:vertAlign w:val="subscript"/>
                <w:lang w:eastAsia="zh-CN"/>
              </w:rPr>
            </w:pPr>
            <w:r>
              <w:rPr>
                <w:rFonts w:hint="eastAsia" w:ascii="宋体" w:hAnsi="宋体" w:eastAsia="宋体" w:cs="宋体"/>
                <w:color w:val="auto"/>
                <w:sz w:val="21"/>
                <w:szCs w:val="21"/>
                <w:lang w:eastAsia="zh-CN"/>
              </w:rPr>
              <w:t>SiO</w:t>
            </w:r>
            <w:r>
              <w:rPr>
                <w:rFonts w:hint="eastAsia" w:ascii="宋体" w:hAnsi="宋体" w:eastAsia="宋体" w:cs="宋体"/>
                <w:color w:val="auto"/>
                <w:sz w:val="21"/>
                <w:szCs w:val="21"/>
                <w:vertAlign w:val="subscript"/>
                <w:lang w:eastAsia="zh-CN"/>
              </w:rPr>
              <w:t>2</w:t>
            </w:r>
          </w:p>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212"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Al</w:t>
            </w:r>
            <w:r>
              <w:rPr>
                <w:rFonts w:hint="eastAsia" w:ascii="宋体" w:hAnsi="宋体" w:eastAsia="宋体" w:cs="宋体"/>
                <w:color w:val="auto"/>
                <w:sz w:val="21"/>
                <w:szCs w:val="21"/>
                <w:vertAlign w:val="subscript"/>
                <w:lang w:eastAsia="zh-CN"/>
              </w:rPr>
              <w:t>2</w:t>
            </w:r>
            <w:r>
              <w:rPr>
                <w:rFonts w:hint="eastAsia" w:ascii="宋体" w:hAnsi="宋体" w:eastAsia="宋体" w:cs="宋体"/>
                <w:color w:val="auto"/>
                <w:sz w:val="21"/>
                <w:szCs w:val="21"/>
                <w:lang w:eastAsia="zh-CN"/>
              </w:rPr>
              <w:t>O</w:t>
            </w:r>
            <w:r>
              <w:rPr>
                <w:rFonts w:hint="eastAsia" w:ascii="宋体" w:hAnsi="宋体" w:eastAsia="宋体" w:cs="宋体"/>
                <w:color w:val="auto"/>
                <w:sz w:val="21"/>
                <w:szCs w:val="21"/>
                <w:vertAlign w:val="subscript"/>
                <w:lang w:eastAsia="zh-CN"/>
              </w:rPr>
              <w:t>3</w:t>
            </w:r>
          </w:p>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210"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Fe</w:t>
            </w:r>
            <w:r>
              <w:rPr>
                <w:rFonts w:hint="eastAsia" w:ascii="宋体" w:hAnsi="宋体" w:eastAsia="宋体" w:cs="宋体"/>
                <w:color w:val="auto"/>
                <w:sz w:val="21"/>
                <w:szCs w:val="21"/>
                <w:vertAlign w:val="subscript"/>
                <w:lang w:eastAsia="zh-CN"/>
              </w:rPr>
              <w:t>2</w:t>
            </w:r>
            <w:r>
              <w:rPr>
                <w:rFonts w:hint="eastAsia" w:ascii="宋体" w:hAnsi="宋体" w:eastAsia="宋体" w:cs="宋体"/>
                <w:color w:val="auto"/>
                <w:sz w:val="21"/>
                <w:szCs w:val="21"/>
                <w:lang w:eastAsia="zh-CN"/>
              </w:rPr>
              <w:t>O</w:t>
            </w:r>
            <w:r>
              <w:rPr>
                <w:rFonts w:hint="eastAsia" w:ascii="宋体" w:hAnsi="宋体" w:eastAsia="宋体" w:cs="宋体"/>
                <w:color w:val="auto"/>
                <w:sz w:val="21"/>
                <w:szCs w:val="21"/>
                <w:vertAlign w:val="subscript"/>
                <w:lang w:eastAsia="zh-CN"/>
              </w:rPr>
              <w:t>3</w:t>
            </w:r>
          </w:p>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036"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CaO</w:t>
            </w:r>
          </w:p>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038"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MgO</w:t>
            </w:r>
          </w:p>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037"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SO</w:t>
            </w:r>
            <w:r>
              <w:rPr>
                <w:rFonts w:hint="eastAsia" w:ascii="宋体" w:hAnsi="宋体" w:eastAsia="宋体" w:cs="宋体"/>
                <w:color w:val="auto"/>
                <w:sz w:val="21"/>
                <w:szCs w:val="21"/>
                <w:vertAlign w:val="subscript"/>
                <w:lang w:eastAsia="zh-CN"/>
              </w:rPr>
              <w:t>3</w:t>
            </w:r>
          </w:p>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c>
          <w:tcPr>
            <w:tcW w:w="1558"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K</w:t>
            </w:r>
            <w:r>
              <w:rPr>
                <w:rFonts w:hint="eastAsia" w:ascii="宋体" w:hAnsi="宋体" w:eastAsia="宋体" w:cs="宋体"/>
                <w:color w:val="auto"/>
                <w:sz w:val="21"/>
                <w:szCs w:val="21"/>
                <w:vertAlign w:val="subscript"/>
                <w:lang w:eastAsia="zh-CN"/>
              </w:rPr>
              <w:t>2</w:t>
            </w:r>
            <w:r>
              <w:rPr>
                <w:rFonts w:hint="eastAsia" w:ascii="宋体" w:hAnsi="宋体" w:eastAsia="宋体" w:cs="宋体"/>
                <w:color w:val="auto"/>
                <w:sz w:val="21"/>
                <w:szCs w:val="21"/>
                <w:lang w:eastAsia="zh-CN"/>
              </w:rPr>
              <w:t>O+Na</w:t>
            </w:r>
            <w:r>
              <w:rPr>
                <w:rFonts w:hint="eastAsia" w:ascii="宋体" w:hAnsi="宋体" w:eastAsia="宋体" w:cs="宋体"/>
                <w:color w:val="auto"/>
                <w:sz w:val="21"/>
                <w:szCs w:val="21"/>
                <w:vertAlign w:val="subscript"/>
                <w:lang w:eastAsia="zh-CN"/>
              </w:rPr>
              <w:t>2</w:t>
            </w:r>
            <w:r>
              <w:rPr>
                <w:rFonts w:hint="eastAsia" w:ascii="宋体" w:hAnsi="宋体" w:eastAsia="宋体" w:cs="宋体"/>
                <w:color w:val="auto"/>
                <w:sz w:val="21"/>
                <w:szCs w:val="21"/>
                <w:lang w:eastAsia="zh-CN"/>
              </w:rPr>
              <w:t>O</w:t>
            </w:r>
          </w:p>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9"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含量</w:t>
            </w:r>
          </w:p>
        </w:tc>
        <w:tc>
          <w:tcPr>
            <w:tcW w:w="1201"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53～70</w:t>
            </w:r>
          </w:p>
        </w:tc>
        <w:tc>
          <w:tcPr>
            <w:tcW w:w="1212"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10～20</w:t>
            </w:r>
          </w:p>
        </w:tc>
        <w:tc>
          <w:tcPr>
            <w:tcW w:w="1210"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3～10</w:t>
            </w:r>
          </w:p>
        </w:tc>
        <w:tc>
          <w:tcPr>
            <w:tcW w:w="1036"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≤15</w:t>
            </w:r>
          </w:p>
        </w:tc>
        <w:tc>
          <w:tcPr>
            <w:tcW w:w="1038"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1037"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w:t>
            </w:r>
          </w:p>
        </w:tc>
        <w:tc>
          <w:tcPr>
            <w:tcW w:w="1558" w:type="dxa"/>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1～5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lang w:eastAsia="zh-CN"/>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2</w:t>
      </w:r>
      <w:r>
        <w:rPr>
          <w:rFonts w:hint="eastAsia" w:ascii="宋体" w:hAnsi="宋体" w:eastAsia="宋体" w:cs="宋体"/>
          <w:snapToGrid w:val="0"/>
          <w:color w:val="auto"/>
          <w:sz w:val="24"/>
          <w:szCs w:val="24"/>
          <w:lang w:eastAsia="zh-CN"/>
        </w:rPr>
        <w:t>）开采技术条件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lang w:eastAsia="zh-CN"/>
        </w:rPr>
      </w:pPr>
      <w:r>
        <w:rPr>
          <w:rFonts w:hint="eastAsia" w:ascii="宋体" w:hAnsi="宋体" w:eastAsia="宋体" w:cs="宋体"/>
          <w:snapToGrid w:val="0"/>
          <w:color w:val="auto"/>
          <w:sz w:val="24"/>
          <w:szCs w:val="24"/>
          <w:lang w:eastAsia="zh-CN"/>
        </w:rPr>
        <w:t>露天开采最小可采厚度：≥2m；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lang w:eastAsia="zh-CN"/>
        </w:rPr>
      </w:pPr>
      <w:r>
        <w:rPr>
          <w:rFonts w:hint="eastAsia" w:ascii="宋体" w:hAnsi="宋体" w:eastAsia="宋体" w:cs="宋体"/>
          <w:snapToGrid w:val="0"/>
          <w:color w:val="auto"/>
          <w:sz w:val="24"/>
          <w:szCs w:val="24"/>
          <w:lang w:eastAsia="zh-CN"/>
        </w:rPr>
        <w:t>露天开采夹石剔除厚度：≥1m；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lang w:eastAsia="zh-CN"/>
        </w:rPr>
      </w:pPr>
      <w:r>
        <w:rPr>
          <w:rFonts w:hint="eastAsia" w:ascii="宋体" w:hAnsi="宋体" w:eastAsia="宋体" w:cs="宋体"/>
          <w:snapToGrid w:val="0"/>
          <w:color w:val="auto"/>
          <w:sz w:val="24"/>
          <w:szCs w:val="24"/>
          <w:lang w:eastAsia="zh-CN"/>
        </w:rPr>
        <w:t>露天开采最终稳定边坡角：≤45°；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lang w:eastAsia="zh-CN"/>
        </w:rPr>
      </w:pPr>
      <w:r>
        <w:rPr>
          <w:rFonts w:hint="eastAsia" w:ascii="宋体" w:hAnsi="宋体" w:eastAsia="宋体" w:cs="宋体"/>
          <w:snapToGrid w:val="0"/>
          <w:color w:val="auto"/>
          <w:sz w:val="24"/>
          <w:szCs w:val="24"/>
          <w:lang w:eastAsia="zh-CN"/>
        </w:rPr>
        <w:t>露天开采最终底盘最小宽度：≥40；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sz w:val="24"/>
          <w:szCs w:val="24"/>
          <w:lang w:eastAsia="zh-CN"/>
        </w:rPr>
      </w:pPr>
      <w:bookmarkStart w:id="116" w:name="_Hlk178023186"/>
      <w:r>
        <w:rPr>
          <w:rFonts w:hint="eastAsia" w:ascii="宋体" w:hAnsi="宋体" w:eastAsia="宋体" w:cs="宋体"/>
          <w:snapToGrid w:val="0"/>
          <w:color w:val="auto"/>
          <w:sz w:val="24"/>
          <w:szCs w:val="24"/>
          <w:lang w:eastAsia="zh-CN"/>
        </w:rPr>
        <w:t>露天开采最低可采标高：不低于最低侵蚀基准面标高；</w:t>
      </w:r>
    </w:p>
    <w:bookmarkEnd w:id="116"/>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pacing w:val="-4"/>
          <w:sz w:val="24"/>
          <w:szCs w:val="24"/>
          <w:highlight w:val="none"/>
        </w:rPr>
      </w:pPr>
      <w:r>
        <w:rPr>
          <w:rFonts w:hint="eastAsia" w:ascii="宋体" w:hAnsi="宋体" w:eastAsia="宋体" w:cs="宋体"/>
          <w:snapToGrid w:val="0"/>
          <w:color w:val="auto"/>
          <w:sz w:val="24"/>
          <w:szCs w:val="24"/>
          <w:lang w:eastAsia="zh-CN"/>
        </w:rPr>
        <w:t>露天开采总剥采比：≯0.5:1（</w:t>
      </w:r>
      <w:r>
        <w:rPr>
          <w:rFonts w:hint="eastAsia" w:ascii="宋体" w:hAnsi="宋体" w:eastAsia="宋体" w:cs="宋体"/>
          <w:snapToGrid w:val="0"/>
          <w:color w:val="auto"/>
          <w:sz w:val="24"/>
          <w:szCs w:val="24"/>
          <w:lang w:val="en-US" w:eastAsia="zh-CN"/>
        </w:rPr>
        <w:t>m³</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m³</w:t>
      </w:r>
      <w:r>
        <w:rPr>
          <w:rFonts w:hint="eastAsia" w:ascii="宋体" w:hAnsi="宋体" w:eastAsia="宋体" w:cs="宋体"/>
          <w:snapToGrid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rPr>
        <w:t>2、设计利用矿产资源储量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4"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color w:val="auto"/>
          <w:spacing w:val="-4"/>
          <w:sz w:val="24"/>
          <w:szCs w:val="24"/>
          <w:highlight w:val="none"/>
        </w:rPr>
        <w:t>依据</w:t>
      </w:r>
      <w:r>
        <w:rPr>
          <w:rFonts w:hint="eastAsia" w:ascii="宋体" w:hAnsi="宋体" w:eastAsia="宋体" w:cs="宋体"/>
          <w:color w:val="auto"/>
          <w:spacing w:val="-4"/>
          <w:sz w:val="24"/>
          <w:szCs w:val="24"/>
          <w:highlight w:val="none"/>
          <w:lang w:val="en-US" w:eastAsia="zh-CN"/>
        </w:rPr>
        <w:t>确定的开采范围进行</w:t>
      </w:r>
      <w:r>
        <w:rPr>
          <w:rFonts w:hint="eastAsia" w:ascii="宋体" w:hAnsi="宋体" w:eastAsia="宋体" w:cs="宋体"/>
          <w:color w:val="auto"/>
          <w:spacing w:val="-4"/>
          <w:sz w:val="24"/>
          <w:szCs w:val="24"/>
          <w:highlight w:val="none"/>
        </w:rPr>
        <w:t>露天最终</w:t>
      </w:r>
      <w:r>
        <w:rPr>
          <w:rFonts w:hint="eastAsia" w:ascii="宋体" w:hAnsi="宋体" w:eastAsia="宋体" w:cs="宋体"/>
          <w:color w:val="auto"/>
          <w:spacing w:val="-4"/>
          <w:sz w:val="24"/>
          <w:szCs w:val="24"/>
          <w:highlight w:val="none"/>
          <w:lang w:val="en-US" w:eastAsia="zh-CN"/>
        </w:rPr>
        <w:t>境界及</w:t>
      </w:r>
      <w:r>
        <w:rPr>
          <w:rFonts w:hint="eastAsia" w:ascii="宋体" w:hAnsi="宋体" w:eastAsia="宋体" w:cs="宋体"/>
          <w:color w:val="auto"/>
          <w:spacing w:val="-4"/>
          <w:sz w:val="24"/>
          <w:szCs w:val="24"/>
          <w:highlight w:val="none"/>
        </w:rPr>
        <w:t>平面图</w:t>
      </w:r>
      <w:r>
        <w:rPr>
          <w:rFonts w:hint="eastAsia" w:ascii="宋体" w:hAnsi="宋体" w:eastAsia="宋体" w:cs="宋体"/>
          <w:color w:val="auto"/>
          <w:spacing w:val="-4"/>
          <w:sz w:val="24"/>
          <w:szCs w:val="24"/>
          <w:highlight w:val="none"/>
          <w:lang w:val="en-US" w:eastAsia="zh-CN"/>
        </w:rPr>
        <w:t>的绘制计算</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val="en-US" w:eastAsia="zh-CN"/>
        </w:rPr>
        <w:t>设计利用资源量为境界内资源量</w:t>
      </w:r>
      <w:r>
        <w:rPr>
          <w:rFonts w:hint="eastAsia" w:ascii="宋体" w:hAnsi="宋体" w:eastAsia="宋体" w:cs="宋体"/>
          <w:color w:val="auto"/>
          <w:spacing w:val="-4"/>
          <w:sz w:val="24"/>
          <w:szCs w:val="24"/>
          <w:highlight w:val="none"/>
          <w:lang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万m³</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val="en-US" w:eastAsia="zh-CN"/>
        </w:rPr>
        <w:t>设计损失量</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万m³，设计损失率</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rPr>
        <w:t>3、可采资源储量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highlight w:val="none"/>
        </w:rPr>
        <w:t>根据矿山生产采矿方案，本矿山</w:t>
      </w:r>
      <w:r>
        <w:rPr>
          <w:rFonts w:hint="eastAsia" w:ascii="宋体" w:hAnsi="宋体" w:eastAsia="宋体" w:cs="宋体"/>
          <w:color w:val="auto"/>
          <w:spacing w:val="-2"/>
          <w:sz w:val="24"/>
          <w:szCs w:val="24"/>
          <w:highlight w:val="none"/>
          <w:lang w:eastAsia="zh-CN"/>
        </w:rPr>
        <w:t>设计采矿</w:t>
      </w:r>
      <w:r>
        <w:rPr>
          <w:rFonts w:hint="eastAsia" w:ascii="宋体" w:hAnsi="宋体" w:eastAsia="宋体" w:cs="宋体"/>
          <w:color w:val="auto"/>
          <w:spacing w:val="-2"/>
          <w:sz w:val="24"/>
          <w:szCs w:val="24"/>
          <w:highlight w:val="none"/>
        </w:rPr>
        <w:t>损失率为</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2"/>
          <w:sz w:val="24"/>
          <w:szCs w:val="24"/>
          <w:highlight w:val="none"/>
        </w:rPr>
        <w:t>%，回采率为</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2"/>
          <w:sz w:val="24"/>
          <w:szCs w:val="24"/>
          <w:highlight w:val="none"/>
          <w:lang w:val="en-US" w:eastAsia="zh-CN"/>
        </w:rPr>
        <w:t>%</w:t>
      </w:r>
      <w:r>
        <w:rPr>
          <w:rFonts w:hint="eastAsia" w:ascii="宋体" w:hAnsi="宋体" w:eastAsia="宋体" w:cs="宋体"/>
          <w:color w:val="auto"/>
          <w:spacing w:val="-2"/>
          <w:sz w:val="24"/>
          <w:szCs w:val="24"/>
          <w:highlight w:val="none"/>
        </w:rPr>
        <w:t>。故矿山可采资源量=设计利用资源量</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2"/>
          <w:sz w:val="24"/>
          <w:szCs w:val="24"/>
          <w:highlight w:val="none"/>
        </w:rPr>
        <w:t>回采率。即Q2=</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2"/>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2"/>
          <w:sz w:val="24"/>
          <w:szCs w:val="24"/>
          <w:highlight w:val="none"/>
        </w:rPr>
        <w:t>万</w:t>
      </w:r>
      <w:r>
        <w:rPr>
          <w:rFonts w:hint="eastAsia" w:ascii="宋体" w:hAnsi="宋体" w:eastAsia="宋体" w:cs="宋体"/>
          <w:color w:val="auto"/>
          <w:spacing w:val="-2"/>
          <w:sz w:val="24"/>
          <w:szCs w:val="24"/>
          <w:highlight w:val="none"/>
          <w:lang w:val="en-US" w:eastAsia="zh-CN"/>
        </w:rPr>
        <w:t>m³</w:t>
      </w:r>
      <w:r>
        <w:rPr>
          <w:rFonts w:hint="eastAsia" w:ascii="宋体" w:hAnsi="宋体" w:eastAsia="宋体" w:cs="宋体"/>
          <w:color w:val="auto"/>
          <w:spacing w:val="-2"/>
          <w:sz w:val="24"/>
          <w:szCs w:val="24"/>
          <w:highlight w:val="none"/>
        </w:rPr>
        <w:t>。（式中Q2为可采资源量）</w:t>
      </w:r>
      <w:r>
        <w:rPr>
          <w:rFonts w:hint="eastAsia" w:ascii="宋体" w:hAnsi="宋体" w:eastAsia="宋体" w:cs="宋体"/>
          <w:color w:val="auto"/>
          <w:spacing w:val="-4"/>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lang w:val="en-US" w:eastAsia="zh-CN"/>
        </w:rPr>
        <w:t>4</w:t>
      </w:r>
      <w:r>
        <w:rPr>
          <w:rFonts w:hint="eastAsia" w:ascii="宋体" w:hAnsi="宋体" w:eastAsia="宋体" w:cs="宋体"/>
          <w:b/>
          <w:bCs/>
          <w:color w:val="auto"/>
          <w:spacing w:val="-2"/>
          <w:sz w:val="24"/>
          <w:szCs w:val="24"/>
          <w:highlight w:val="none"/>
        </w:rPr>
        <w:t>、资源储量及类别调整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开发利用方案编制内容及深度已达到可行性研究程度，按照《固体矿产资源储量分类》（GB/T 17766-2020），根据资源量设计利用及损失结果，对评审通过的资源量及类别进行调整。资源/储量及类别调整结果，详见表2-</w:t>
      </w:r>
      <w:r>
        <w:rPr>
          <w:rFonts w:hint="eastAsia" w:ascii="宋体" w:hAnsi="宋体" w:eastAsia="宋体" w:cs="宋体"/>
          <w:color w:val="auto"/>
          <w:spacing w:val="-2"/>
          <w:sz w:val="24"/>
          <w:szCs w:val="24"/>
          <w:highlight w:val="none"/>
          <w:lang w:val="en-US" w:eastAsia="zh-CN"/>
        </w:rPr>
        <w:t>1-2</w:t>
      </w:r>
      <w:r>
        <w:rPr>
          <w:rFonts w:hint="eastAsia" w:ascii="宋体" w:hAnsi="宋体" w:eastAsia="宋体" w:cs="宋体"/>
          <w:color w:val="auto"/>
          <w:spacing w:val="-2"/>
          <w:sz w:val="24"/>
          <w:szCs w:val="24"/>
          <w:highlight w:val="none"/>
        </w:rPr>
        <w:t>。</w:t>
      </w:r>
    </w:p>
    <w:p>
      <w:pPr>
        <w:spacing w:line="240" w:lineRule="auto"/>
        <w:ind w:firstLine="422" w:firstLineChars="200"/>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lang w:val="zh-CN" w:eastAsia="zh-CN"/>
        </w:rPr>
        <w:t>表2-</w:t>
      </w:r>
      <w:r>
        <w:rPr>
          <w:rFonts w:hint="eastAsia" w:ascii="宋体" w:hAnsi="宋体" w:eastAsia="宋体" w:cs="宋体"/>
          <w:b/>
          <w:bCs/>
          <w:color w:val="auto"/>
          <w:sz w:val="21"/>
          <w:szCs w:val="21"/>
          <w:lang w:val="en-US" w:eastAsia="zh-CN"/>
        </w:rPr>
        <w:t>1-2</w:t>
      </w:r>
      <w:r>
        <w:rPr>
          <w:rFonts w:hint="eastAsia" w:ascii="宋体" w:hAnsi="宋体" w:eastAsia="宋体" w:cs="宋体"/>
          <w:b/>
          <w:bCs/>
          <w:color w:val="auto"/>
          <w:sz w:val="21"/>
          <w:szCs w:val="21"/>
          <w:lang w:val="zh-CN" w:eastAsia="zh-CN"/>
        </w:rPr>
        <w:t xml:space="preserve">  </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val="zh-CN" w:eastAsia="zh-CN"/>
        </w:rPr>
        <w:t>资源储量及类别调整前后对照表</w:t>
      </w:r>
    </w:p>
    <w:tbl>
      <w:tblPr>
        <w:tblStyle w:val="53"/>
        <w:tblW w:w="8819" w:type="dxa"/>
        <w:tblInd w:w="192" w:type="dxa"/>
        <w:tblLayout w:type="fixed"/>
        <w:tblCellMar>
          <w:top w:w="0" w:type="dxa"/>
          <w:left w:w="108" w:type="dxa"/>
          <w:bottom w:w="0" w:type="dxa"/>
          <w:right w:w="108" w:type="dxa"/>
        </w:tblCellMar>
      </w:tblPr>
      <w:tblGrid>
        <w:gridCol w:w="1664"/>
        <w:gridCol w:w="1306"/>
        <w:gridCol w:w="1833"/>
        <w:gridCol w:w="1588"/>
        <w:gridCol w:w="2428"/>
      </w:tblGrid>
      <w:tr>
        <w:tblPrEx>
          <w:tblLayout w:type="fixed"/>
          <w:tblCellMar>
            <w:top w:w="0" w:type="dxa"/>
            <w:left w:w="108" w:type="dxa"/>
            <w:bottom w:w="0" w:type="dxa"/>
            <w:right w:w="108" w:type="dxa"/>
          </w:tblCellMar>
        </w:tblPrEx>
        <w:trPr>
          <w:trHeight w:val="270" w:hRule="atLeast"/>
        </w:trPr>
        <w:tc>
          <w:tcPr>
            <w:tcW w:w="297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评审通过的资源量及类别</w:t>
            </w:r>
          </w:p>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（万</w:t>
            </w:r>
            <w:r>
              <w:rPr>
                <w:rFonts w:hint="eastAsia" w:ascii="宋体" w:hAnsi="宋体" w:cs="宋体"/>
                <w:color w:val="auto"/>
                <w:spacing w:val="-2"/>
                <w:sz w:val="24"/>
                <w:szCs w:val="24"/>
                <w:highlight w:val="none"/>
                <w:lang w:val="en-US" w:eastAsia="zh-CN"/>
              </w:rPr>
              <w:t>m³</w:t>
            </w:r>
            <w:r>
              <w:rPr>
                <w:rFonts w:hint="eastAsia" w:ascii="宋体" w:hAnsi="宋体" w:eastAsia="宋体" w:cs="宋体"/>
                <w:color w:val="auto"/>
                <w:sz w:val="21"/>
                <w:szCs w:val="21"/>
              </w:rPr>
              <w:t>）</w:t>
            </w:r>
          </w:p>
        </w:tc>
        <w:tc>
          <w:tcPr>
            <w:tcW w:w="5849" w:type="dxa"/>
            <w:gridSpan w:val="3"/>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设计调整的资源储量及类别（万</w:t>
            </w:r>
            <w:r>
              <w:rPr>
                <w:rFonts w:hint="eastAsia" w:ascii="宋体" w:hAnsi="宋体" w:cs="宋体"/>
                <w:color w:val="auto"/>
                <w:spacing w:val="-2"/>
                <w:sz w:val="24"/>
                <w:szCs w:val="24"/>
                <w:highlight w:val="none"/>
                <w:lang w:val="en-US" w:eastAsia="zh-CN"/>
              </w:rPr>
              <w:t>m³</w:t>
            </w:r>
            <w:r>
              <w:rPr>
                <w:rFonts w:hint="eastAsia" w:ascii="宋体" w:hAnsi="宋体" w:eastAsia="宋体" w:cs="宋体"/>
                <w:color w:val="auto"/>
                <w:sz w:val="21"/>
                <w:szCs w:val="21"/>
              </w:rPr>
              <w:t>）</w:t>
            </w:r>
          </w:p>
        </w:tc>
      </w:tr>
      <w:tr>
        <w:tblPrEx>
          <w:tblLayout w:type="fixed"/>
          <w:tblCellMar>
            <w:top w:w="0" w:type="dxa"/>
            <w:left w:w="108" w:type="dxa"/>
            <w:bottom w:w="0" w:type="dxa"/>
            <w:right w:w="108" w:type="dxa"/>
          </w:tblCellMar>
        </w:tblPrEx>
        <w:trPr>
          <w:trHeight w:val="270" w:hRule="atLeast"/>
        </w:trPr>
        <w:tc>
          <w:tcPr>
            <w:tcW w:w="297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p>
        </w:tc>
        <w:tc>
          <w:tcPr>
            <w:tcW w:w="3421"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可采资源储量</w:t>
            </w:r>
          </w:p>
        </w:tc>
        <w:tc>
          <w:tcPr>
            <w:tcW w:w="2428"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设计及采矿损失量</w:t>
            </w:r>
          </w:p>
        </w:tc>
      </w:tr>
      <w:tr>
        <w:tblPrEx>
          <w:tblLayout w:type="fixed"/>
          <w:tblCellMar>
            <w:top w:w="0" w:type="dxa"/>
            <w:left w:w="108" w:type="dxa"/>
            <w:bottom w:w="0" w:type="dxa"/>
            <w:right w:w="108" w:type="dxa"/>
          </w:tblCellMar>
        </w:tblPrEx>
        <w:trPr>
          <w:trHeight w:val="270" w:hRule="atLeast"/>
        </w:trPr>
        <w:tc>
          <w:tcPr>
            <w:tcW w:w="1664" w:type="dxa"/>
            <w:tcBorders>
              <w:top w:val="single" w:color="000000" w:sz="4" w:space="0"/>
              <w:left w:val="single" w:color="000000" w:sz="4" w:space="0"/>
              <w:bottom w:val="single" w:color="000000" w:sz="4" w:space="0"/>
              <w:right w:val="single" w:color="000000" w:sz="4" w:space="0"/>
            </w:tcBorders>
            <w:noWrap/>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类别</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矿石</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类别</w:t>
            </w:r>
          </w:p>
        </w:tc>
        <w:tc>
          <w:tcPr>
            <w:tcW w:w="4016"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矿石</w:t>
            </w:r>
          </w:p>
        </w:tc>
      </w:tr>
      <w:tr>
        <w:tblPrEx>
          <w:tblLayout w:type="fixed"/>
          <w:tblCellMar>
            <w:top w:w="0" w:type="dxa"/>
            <w:left w:w="108" w:type="dxa"/>
            <w:bottom w:w="0" w:type="dxa"/>
            <w:right w:w="108" w:type="dxa"/>
          </w:tblCellMar>
        </w:tblPrEx>
        <w:trPr>
          <w:trHeight w:val="270" w:hRule="atLeast"/>
        </w:trPr>
        <w:tc>
          <w:tcPr>
            <w:tcW w:w="1664"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推断资源量</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4"/>
                <w:szCs w:val="24"/>
                <w:highlight w:val="none"/>
                <w:lang w:val="en-US" w:eastAsia="zh-CN"/>
              </w:rPr>
              <w:t>****</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rPr>
            </w:pPr>
            <w:r>
              <w:rPr>
                <w:rFonts w:hint="eastAsia" w:ascii="宋体" w:hAnsi="宋体" w:eastAsia="宋体" w:cs="宋体"/>
                <w:color w:val="auto"/>
                <w:sz w:val="21"/>
                <w:szCs w:val="21"/>
              </w:rPr>
              <w:t>推断资源量</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default" w:ascii="宋体" w:hAnsi="宋体" w:eastAsia="宋体" w:cs="宋体"/>
                <w:color w:val="auto"/>
                <w:sz w:val="21"/>
                <w:szCs w:val="21"/>
                <w:lang w:val="en-US" w:eastAsia="zh-CN"/>
              </w:rPr>
            </w:pPr>
            <w:r>
              <w:rPr>
                <w:rFonts w:hint="eastAsia" w:ascii="宋体" w:hAnsi="宋体" w:cs="宋体"/>
                <w:color w:val="auto"/>
                <w:sz w:val="24"/>
                <w:szCs w:val="24"/>
                <w:highlight w:val="none"/>
                <w:lang w:val="en-US" w:eastAsia="zh-CN"/>
              </w:rPr>
              <w:t>****</w:t>
            </w:r>
          </w:p>
        </w:tc>
        <w:tc>
          <w:tcPr>
            <w:tcW w:w="2428" w:type="dxa"/>
            <w:tcBorders>
              <w:top w:val="single" w:color="000000" w:sz="4" w:space="0"/>
              <w:left w:val="single" w:color="000000" w:sz="4" w:space="0"/>
              <w:bottom w:val="single" w:color="000000" w:sz="4" w:space="0"/>
              <w:right w:val="single" w:color="000000" w:sz="4" w:space="0"/>
            </w:tcBorders>
            <w:noWrap w:val="0"/>
            <w:vAlign w:val="bottom"/>
          </w:tcPr>
          <w:p>
            <w:pPr>
              <w:pStyle w:val="315"/>
              <w:rPr>
                <w:rFonts w:hint="default" w:ascii="宋体" w:hAnsi="宋体" w:eastAsia="宋体" w:cs="宋体"/>
                <w:color w:val="auto"/>
                <w:sz w:val="21"/>
                <w:szCs w:val="21"/>
                <w:lang w:val="en-US" w:eastAsia="zh-CN"/>
              </w:rPr>
            </w:pPr>
            <w:r>
              <w:rPr>
                <w:rFonts w:hint="eastAsia" w:ascii="宋体" w:hAnsi="宋体" w:cs="宋体"/>
                <w:color w:val="auto"/>
                <w:sz w:val="24"/>
                <w:szCs w:val="24"/>
                <w:highlight w:val="none"/>
                <w:lang w:val="en-US" w:eastAsia="zh-CN"/>
              </w:rPr>
              <w:t>****</w:t>
            </w:r>
          </w:p>
        </w:tc>
      </w:tr>
      <w:tr>
        <w:tblPrEx>
          <w:tblLayout w:type="fixed"/>
          <w:tblCellMar>
            <w:top w:w="0" w:type="dxa"/>
            <w:left w:w="108" w:type="dxa"/>
            <w:bottom w:w="0" w:type="dxa"/>
            <w:right w:w="108" w:type="dxa"/>
          </w:tblCellMar>
        </w:tblPrEx>
        <w:trPr>
          <w:trHeight w:val="270" w:hRule="atLeast"/>
        </w:trPr>
        <w:tc>
          <w:tcPr>
            <w:tcW w:w="1664"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计</w:t>
            </w:r>
          </w:p>
        </w:tc>
        <w:tc>
          <w:tcPr>
            <w:tcW w:w="130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lang w:val="en-US" w:eastAsia="zh-CN" w:bidi="ar-SA"/>
              </w:rPr>
            </w:pPr>
            <w:r>
              <w:rPr>
                <w:rFonts w:hint="eastAsia" w:ascii="宋体" w:hAnsi="宋体" w:cs="宋体"/>
                <w:color w:val="auto"/>
                <w:sz w:val="24"/>
                <w:szCs w:val="24"/>
                <w:highlight w:val="none"/>
                <w:lang w:val="en-US" w:eastAsia="zh-CN"/>
              </w:rPr>
              <w:t>****</w:t>
            </w:r>
          </w:p>
        </w:tc>
        <w:tc>
          <w:tcPr>
            <w:tcW w:w="1833"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合</w:t>
            </w:r>
            <w:r>
              <w:rPr>
                <w:rFonts w:hint="eastAsia" w:ascii="宋体" w:hAnsi="宋体" w:eastAsia="宋体" w:cs="宋体"/>
                <w:color w:val="auto"/>
                <w:sz w:val="21"/>
                <w:szCs w:val="21"/>
                <w:lang w:val="en-US" w:eastAsia="zh-CN"/>
              </w:rPr>
              <w:t xml:space="preserve"> </w:t>
            </w:r>
            <w:r>
              <w:rPr>
                <w:rFonts w:hint="eastAsia" w:ascii="宋体" w:hAnsi="宋体" w:eastAsia="宋体" w:cs="宋体"/>
                <w:color w:val="auto"/>
                <w:sz w:val="21"/>
                <w:szCs w:val="21"/>
                <w:lang w:eastAsia="zh-CN"/>
              </w:rPr>
              <w:t>计</w:t>
            </w:r>
          </w:p>
        </w:tc>
        <w:tc>
          <w:tcPr>
            <w:tcW w:w="1588" w:type="dxa"/>
            <w:tcBorders>
              <w:top w:val="single" w:color="000000" w:sz="4" w:space="0"/>
              <w:left w:val="single" w:color="000000" w:sz="4" w:space="0"/>
              <w:bottom w:val="single" w:color="000000" w:sz="4" w:space="0"/>
              <w:right w:val="single" w:color="000000" w:sz="4" w:space="0"/>
            </w:tcBorders>
            <w:noWrap w:val="0"/>
            <w:vAlign w:val="center"/>
          </w:tcPr>
          <w:p>
            <w:pPr>
              <w:pStyle w:val="315"/>
              <w:rPr>
                <w:rFonts w:hint="default" w:ascii="宋体" w:hAnsi="宋体" w:eastAsia="宋体" w:cs="宋体"/>
                <w:color w:val="auto"/>
                <w:sz w:val="21"/>
                <w:szCs w:val="21"/>
                <w:lang w:val="en-US" w:eastAsia="zh-CN"/>
              </w:rPr>
            </w:pPr>
            <w:r>
              <w:rPr>
                <w:rFonts w:hint="eastAsia" w:ascii="宋体" w:hAnsi="宋体" w:cs="宋体"/>
                <w:color w:val="auto"/>
                <w:sz w:val="24"/>
                <w:szCs w:val="24"/>
                <w:highlight w:val="none"/>
                <w:lang w:val="en-US" w:eastAsia="zh-CN"/>
              </w:rPr>
              <w:t>****</w:t>
            </w:r>
          </w:p>
        </w:tc>
        <w:tc>
          <w:tcPr>
            <w:tcW w:w="2428" w:type="dxa"/>
            <w:tcBorders>
              <w:top w:val="single" w:color="000000" w:sz="4" w:space="0"/>
              <w:left w:val="single" w:color="000000" w:sz="4" w:space="0"/>
              <w:bottom w:val="single" w:color="000000" w:sz="4" w:space="0"/>
              <w:right w:val="single" w:color="000000" w:sz="4" w:space="0"/>
            </w:tcBorders>
            <w:noWrap w:val="0"/>
            <w:vAlign w:val="bottom"/>
          </w:tcPr>
          <w:p>
            <w:pPr>
              <w:pStyle w:val="315"/>
              <w:rPr>
                <w:rFonts w:hint="default" w:ascii="宋体" w:hAnsi="宋体" w:eastAsia="宋体" w:cs="宋体"/>
                <w:color w:val="auto"/>
                <w:sz w:val="21"/>
                <w:szCs w:val="21"/>
                <w:lang w:val="en-US" w:eastAsia="zh-CN"/>
              </w:rPr>
            </w:pPr>
            <w:r>
              <w:rPr>
                <w:rFonts w:hint="eastAsia" w:ascii="宋体" w:hAnsi="宋体" w:cs="宋体"/>
                <w:color w:val="auto"/>
                <w:sz w:val="24"/>
                <w:szCs w:val="24"/>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default"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lang w:val="en-US" w:eastAsia="zh-CN"/>
        </w:rPr>
        <w:t>备注：设计损失量是根据最终境界剖面图进行统计计算求得（具体见表2-3-2分层矿岩量表），采矿损失量为开采境界内资源量乘以采矿损失率进行计算求得。</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（二）对</w:t>
      </w:r>
      <w:r>
        <w:rPr>
          <w:rFonts w:hint="eastAsia" w:ascii="Times New Roman" w:hAnsi="Times New Roman" w:eastAsia="宋体" w:cs="Times New Roman"/>
          <w:color w:val="auto"/>
          <w:sz w:val="28"/>
          <w:szCs w:val="28"/>
          <w:lang w:val="en-US" w:eastAsia="zh-CN"/>
        </w:rPr>
        <w:t>普查</w:t>
      </w:r>
      <w:r>
        <w:rPr>
          <w:rFonts w:hint="eastAsia" w:ascii="Times New Roman" w:hAnsi="Times New Roman" w:eastAsia="宋体" w:cs="Times New Roman"/>
          <w:color w:val="auto"/>
          <w:sz w:val="28"/>
          <w:szCs w:val="28"/>
          <w:lang w:eastAsia="zh-CN"/>
        </w:rPr>
        <w:t>报告的评述</w:t>
      </w:r>
    </w:p>
    <w:p>
      <w:pPr>
        <w:keepNext w:val="0"/>
        <w:keepLines w:val="0"/>
        <w:pageBreakBefore w:val="0"/>
        <w:widowControl w:val="0"/>
        <w:kinsoku/>
        <w:wordWrap/>
        <w:overflowPunct/>
        <w:autoSpaceDE/>
        <w:autoSpaceDN/>
        <w:bidi w:val="0"/>
        <w:adjustRightInd/>
        <w:snapToGrid/>
        <w:spacing w:line="360" w:lineRule="auto"/>
        <w:ind w:right="0" w:rightChars="0" w:firstLine="474" w:firstLineChars="200"/>
        <w:jc w:val="both"/>
        <w:textAlignment w:val="auto"/>
        <w:rPr>
          <w:rFonts w:hint="eastAsia" w:ascii="宋体" w:hAnsi="宋体" w:eastAsia="宋体" w:cs="宋体"/>
          <w:b/>
          <w:bCs/>
          <w:color w:val="auto"/>
          <w:spacing w:val="-2"/>
          <w:sz w:val="24"/>
          <w:szCs w:val="24"/>
        </w:rPr>
      </w:pPr>
      <w:r>
        <w:rPr>
          <w:rFonts w:hint="eastAsia" w:ascii="宋体" w:hAnsi="宋体" w:eastAsia="宋体" w:cs="宋体"/>
          <w:b/>
          <w:bCs/>
          <w:color w:val="auto"/>
          <w:spacing w:val="-2"/>
          <w:sz w:val="24"/>
          <w:szCs w:val="24"/>
        </w:rPr>
        <w:t>1、取得的成果</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1</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通过地质测量工作，初步查明了普查区地层、岩石、构造及矿种类型、矿体的形态、规模、产状、矿石质量情况、有益、有害化学组分的含量和变化，等成矿地质背景和成矿条件；</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2</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普查区为水文地质条件简单，工程地质勘探类型为层状岩类，工程地质条件中等，地质环境类型中等。综上所述：将普查区划分为以工程地质、环境地质问题为主开采技术条件中等的矿床，即Ⅱ-4类勘查类型；</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3</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共圈定3个砖瓦用页岩矿矿体，矿体出露于整个普查区内；</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4</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对普查区内页岩矿矿体初步资源量估算共求得砖瓦用页岩矿推断资源量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万t)</w:t>
      </w:r>
      <w:r>
        <w:rPr>
          <w:rFonts w:hint="eastAsia" w:ascii="宋体" w:hAnsi="宋体" w:eastAsia="宋体" w:cs="宋体"/>
          <w:snapToGrid w:val="0"/>
          <w:color w:val="auto"/>
          <w:sz w:val="24"/>
          <w:szCs w:val="24"/>
        </w:rPr>
        <w:t>。总剥采比为0.1</w:t>
      </w:r>
      <w:r>
        <w:rPr>
          <w:rFonts w:hint="eastAsia" w:ascii="宋体" w:hAnsi="宋体" w:eastAsia="宋体" w:cs="宋体"/>
          <w:snapToGrid w:val="0"/>
          <w:color w:val="auto"/>
          <w:sz w:val="24"/>
          <w:szCs w:val="24"/>
          <w:lang w:val="en-US" w:eastAsia="zh-CN"/>
        </w:rPr>
        <w:t>0</w:t>
      </w:r>
      <w:r>
        <w:rPr>
          <w:rFonts w:hint="eastAsia" w:ascii="宋体" w:hAnsi="宋体" w:eastAsia="宋体" w:cs="宋体"/>
          <w:snapToGrid w:val="0"/>
          <w:color w:val="auto"/>
          <w:sz w:val="24"/>
          <w:szCs w:val="24"/>
        </w:rPr>
        <w:t>：1。矿床规模已达中型。</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snapToGrid w:val="0"/>
          <w:color w:val="auto"/>
          <w:sz w:val="24"/>
          <w:szCs w:val="24"/>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5</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提供可供进一步开发的砖瓦用页岩矿矿产地1处。</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color w:val="auto"/>
          <w:spacing w:val="-2"/>
          <w:sz w:val="24"/>
          <w:szCs w:val="24"/>
          <w:vertAlign w:val="baseline"/>
          <w:lang w:val="zh-CN" w:eastAsia="zh-CN"/>
        </w:rPr>
      </w:pP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lang w:val="en-US" w:eastAsia="zh-CN"/>
        </w:rPr>
        <w:t>6</w:t>
      </w:r>
      <w:r>
        <w:rPr>
          <w:rFonts w:hint="eastAsia" w:ascii="宋体" w:hAnsi="宋体" w:eastAsia="宋体" w:cs="宋体"/>
          <w:snapToGrid w:val="0"/>
          <w:color w:val="auto"/>
          <w:sz w:val="24"/>
          <w:szCs w:val="24"/>
          <w:lang w:eastAsia="zh-CN"/>
        </w:rPr>
        <w:t>）</w:t>
      </w:r>
      <w:r>
        <w:rPr>
          <w:rFonts w:hint="eastAsia" w:ascii="宋体" w:hAnsi="宋体" w:eastAsia="宋体" w:cs="宋体"/>
          <w:snapToGrid w:val="0"/>
          <w:color w:val="auto"/>
          <w:sz w:val="24"/>
          <w:szCs w:val="24"/>
        </w:rPr>
        <w:t>工业指标的确定符合要求，矿体圈连基本合理，资源储量估算方法、各种参数的确定基本正确，资源储量计算结果基本可靠。</w:t>
      </w:r>
      <w:r>
        <w:rPr>
          <w:rFonts w:hint="eastAsia" w:ascii="宋体" w:hAnsi="宋体" w:eastAsia="宋体" w:cs="宋体"/>
          <w:color w:val="auto"/>
          <w:sz w:val="24"/>
          <w:szCs w:val="24"/>
          <w:highlight w:val="none"/>
          <w:lang w:val="en-US" w:eastAsia="zh-CN"/>
        </w:rPr>
        <w:t>截止2024年9月7日，普查区范围内共求得砖用页岩矿保有资源量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万t)，其中推断资源量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万t)。普查区内夹石量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，总剥采比0.10:1m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vertAlign w:val="baseline"/>
          <w:lang w:val="en-US" w:eastAsia="zh-CN"/>
        </w:rPr>
        <w:t>。</w:t>
      </w:r>
    </w:p>
    <w:p>
      <w:pPr>
        <w:pStyle w:val="63"/>
        <w:keepNext w:val="0"/>
        <w:keepLines w:val="0"/>
        <w:pageBreakBefore w:val="0"/>
        <w:widowControl w:val="0"/>
        <w:kinsoku/>
        <w:wordWrap/>
        <w:overflowPunct/>
        <w:autoSpaceDE/>
        <w:autoSpaceDN/>
        <w:bidi w:val="0"/>
        <w:adjustRightInd/>
        <w:snapToGrid/>
        <w:spacing w:line="360" w:lineRule="auto"/>
        <w:ind w:right="0" w:rightChars="0"/>
        <w:jc w:val="both"/>
        <w:textAlignment w:val="auto"/>
        <w:rPr>
          <w:rFonts w:hint="eastAsia" w:ascii="宋体" w:hAnsi="宋体" w:eastAsia="宋体" w:cs="宋体"/>
          <w:bCs/>
          <w:color w:val="auto"/>
          <w:kern w:val="0"/>
          <w:lang w:val="en-US" w:eastAsia="zh-CN"/>
        </w:rPr>
      </w:pPr>
      <w:r>
        <w:rPr>
          <w:rFonts w:hint="eastAsia" w:ascii="宋体" w:hAnsi="宋体" w:eastAsia="宋体" w:cs="宋体"/>
          <w:snapToGrid w:val="0"/>
          <w:color w:val="auto"/>
          <w:sz w:val="24"/>
          <w:szCs w:val="24"/>
          <w:lang w:val="zh-CN"/>
        </w:rPr>
        <w:t>《新疆伽师县西克尔镇4号砖瓦用页岩矿普查报告</w:t>
      </w:r>
      <w:r>
        <w:rPr>
          <w:rFonts w:hint="eastAsia" w:ascii="宋体" w:hAnsi="宋体" w:eastAsia="宋体" w:cs="宋体"/>
          <w:snapToGrid w:val="0"/>
          <w:color w:val="auto"/>
          <w:sz w:val="24"/>
          <w:szCs w:val="24"/>
          <w:lang w:val="zh-CN" w:eastAsia="zh-CN"/>
        </w:rPr>
        <w:t>》资料基本齐全，勘查程度达到</w:t>
      </w:r>
      <w:r>
        <w:rPr>
          <w:rFonts w:hint="eastAsia" w:ascii="宋体" w:hAnsi="宋体" w:eastAsia="宋体" w:cs="宋体"/>
          <w:snapToGrid w:val="0"/>
          <w:color w:val="auto"/>
          <w:sz w:val="24"/>
          <w:szCs w:val="24"/>
          <w:lang w:val="en-US" w:eastAsia="zh-CN"/>
        </w:rPr>
        <w:t>普</w:t>
      </w:r>
      <w:r>
        <w:rPr>
          <w:rFonts w:hint="eastAsia" w:ascii="宋体" w:hAnsi="宋体" w:eastAsia="宋体" w:cs="宋体"/>
          <w:snapToGrid w:val="0"/>
          <w:color w:val="auto"/>
          <w:sz w:val="24"/>
          <w:szCs w:val="24"/>
          <w:lang w:val="zh-CN" w:eastAsia="zh-CN"/>
        </w:rPr>
        <w:t>查阶段要求，报告可作为编制本次矿产资源开发利用与生态保护修复方案的依据</w:t>
      </w:r>
      <w:r>
        <w:rPr>
          <w:rFonts w:hint="eastAsia" w:ascii="宋体" w:hAnsi="宋体" w:eastAsia="宋体" w:cs="宋体"/>
          <w:bCs/>
          <w:color w:val="auto"/>
          <w:kern w:val="0"/>
          <w:lang w:val="en-US" w:eastAsia="zh-CN"/>
        </w:rPr>
        <w:t>。</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bookmarkStart w:id="117" w:name="_Toc22334"/>
      <w:bookmarkStart w:id="118" w:name="_Toc16652"/>
      <w:r>
        <w:rPr>
          <w:rFonts w:hint="eastAsia" w:ascii="宋体" w:hAnsi="宋体" w:eastAsia="宋体" w:cs="宋体"/>
          <w:b/>
          <w:color w:val="auto"/>
          <w:sz w:val="30"/>
          <w:szCs w:val="30"/>
          <w:highlight w:val="none"/>
        </w:rPr>
        <w:t>二、主要建设方案</w:t>
      </w:r>
      <w:bookmarkEnd w:id="117"/>
      <w:bookmarkEnd w:id="118"/>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（一）开采方案</w:t>
      </w:r>
    </w:p>
    <w:p>
      <w:pPr>
        <w:pStyle w:val="63"/>
        <w:keepNext w:val="0"/>
        <w:keepLines w:val="0"/>
        <w:pageBreakBefore w:val="0"/>
        <w:widowControl w:val="0"/>
        <w:kinsoku/>
        <w:wordWrap/>
        <w:overflowPunct/>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kern w:val="0"/>
        </w:rPr>
      </w:pPr>
      <w:r>
        <w:rPr>
          <w:rFonts w:hint="eastAsia" w:ascii="宋体" w:hAnsi="宋体" w:eastAsia="宋体" w:cs="宋体"/>
          <w:bCs/>
          <w:color w:val="auto"/>
          <w:kern w:val="0"/>
        </w:rPr>
        <w:t>1、建设规模及产品方案</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（1）建设规模</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方案①：</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开采砖瓦用页岩原矿</w:t>
      </w:r>
      <w:r>
        <w:rPr>
          <w:rFonts w:hint="eastAsia" w:ascii="宋体" w:hAnsi="宋体" w:eastAsia="宋体" w:cs="宋体"/>
          <w:color w:val="auto"/>
          <w:spacing w:val="-2"/>
          <w:sz w:val="24"/>
          <w:szCs w:val="24"/>
          <w:lang w:val="en-US" w:eastAsia="zh-CN"/>
        </w:rPr>
        <w:t>18万m³/年；</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方案②：</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开采砖瓦用页岩原矿20</w:t>
      </w:r>
      <w:r>
        <w:rPr>
          <w:rFonts w:hint="eastAsia" w:ascii="宋体" w:hAnsi="宋体" w:eastAsia="宋体" w:cs="宋体"/>
          <w:color w:val="auto"/>
          <w:spacing w:val="-2"/>
          <w:sz w:val="24"/>
          <w:szCs w:val="24"/>
          <w:lang w:val="en-US" w:eastAsia="zh-CN"/>
        </w:rPr>
        <w:t>万m³/年；</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方案③：</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开采砖瓦用页岩原矿</w:t>
      </w:r>
      <w:r>
        <w:rPr>
          <w:rFonts w:hint="eastAsia" w:ascii="宋体" w:hAnsi="宋体" w:eastAsia="宋体" w:cs="宋体"/>
          <w:color w:val="auto"/>
          <w:spacing w:val="-2"/>
          <w:sz w:val="24"/>
          <w:szCs w:val="24"/>
          <w:lang w:val="en-US" w:eastAsia="zh-CN"/>
        </w:rPr>
        <w:t>22万m³/年。</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矿山为新矿山，整体生产规模需符合当地矿产资源总体规划及政策要求，依据新疆维吾尔自治区喀什地区矿产资源总体规划(2021-2025年)中主要矿产最低开采设计规模，砖瓦用页岩最小生产规模为10万m³/年，最低服务年限为5年。砖瓦用页岩中型生产规模为10.00≤中型＜30万m³/年；大型生产规模为≥30万m³/年。</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当生产规模是18万m³/年时，矿山服务年限是30.22年；当生产规模是20万m³/年时，矿山服务年限是27.20年；当生产规模是22万m³/年时，矿山服务年限是24.72年。</w:t>
      </w:r>
    </w:p>
    <w:p>
      <w:pPr>
        <w:spacing w:line="240" w:lineRule="auto"/>
        <w:ind w:firstLine="422" w:firstLineChars="200"/>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lang w:val="zh-CN" w:eastAsia="zh-CN"/>
        </w:rPr>
        <w:t>表2-</w:t>
      </w:r>
      <w:r>
        <w:rPr>
          <w:rFonts w:hint="eastAsia" w:ascii="宋体" w:hAnsi="宋体" w:eastAsia="宋体" w:cs="宋体"/>
          <w:b/>
          <w:bCs/>
          <w:color w:val="auto"/>
          <w:sz w:val="21"/>
          <w:szCs w:val="21"/>
          <w:lang w:val="en-US" w:eastAsia="zh-CN"/>
        </w:rPr>
        <w:t>2-1</w:t>
      </w:r>
      <w:r>
        <w:rPr>
          <w:rFonts w:hint="eastAsia" w:ascii="宋体" w:hAnsi="宋体" w:eastAsia="宋体" w:cs="宋体"/>
          <w:b/>
          <w:bCs/>
          <w:color w:val="auto"/>
          <w:sz w:val="21"/>
          <w:szCs w:val="21"/>
          <w:lang w:val="zh-CN" w:eastAsia="zh-CN"/>
        </w:rPr>
        <w:t xml:space="preserve"> </w:t>
      </w:r>
      <w:r>
        <w:rPr>
          <w:rFonts w:hint="eastAsia" w:ascii="宋体" w:hAnsi="宋体" w:eastAsia="宋体" w:cs="宋体"/>
          <w:b/>
          <w:bCs/>
          <w:color w:val="auto"/>
          <w:sz w:val="21"/>
          <w:szCs w:val="21"/>
          <w:lang w:val="en-US" w:eastAsia="zh-CN"/>
        </w:rPr>
        <w:t xml:space="preserve">    建设规模方案指标对比</w:t>
      </w:r>
      <w:r>
        <w:rPr>
          <w:rFonts w:hint="eastAsia" w:ascii="宋体" w:hAnsi="宋体" w:eastAsia="宋体" w:cs="宋体"/>
          <w:b/>
          <w:bCs/>
          <w:color w:val="auto"/>
          <w:sz w:val="21"/>
          <w:szCs w:val="21"/>
          <w:lang w:val="zh-CN" w:eastAsia="zh-CN"/>
        </w:rPr>
        <w:t>表</w:t>
      </w:r>
    </w:p>
    <w:tbl>
      <w:tblPr>
        <w:tblStyle w:val="54"/>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2292"/>
        <w:gridCol w:w="2292"/>
        <w:gridCol w:w="2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tcPr>
          <w:p>
            <w:pPr>
              <w:pStyle w:val="315"/>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规模（万m³/年）</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20</w:t>
            </w:r>
          </w:p>
        </w:tc>
        <w:tc>
          <w:tcPr>
            <w:tcW w:w="2293"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tcPr>
          <w:p>
            <w:pPr>
              <w:pStyle w:val="315"/>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服务年限（a）</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30.22</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27.20</w:t>
            </w:r>
          </w:p>
        </w:tc>
        <w:tc>
          <w:tcPr>
            <w:tcW w:w="2293"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24.72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tcPr>
          <w:p>
            <w:pPr>
              <w:pStyle w:val="315"/>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投资额（万元）</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843.48</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843.48</w:t>
            </w:r>
          </w:p>
        </w:tc>
        <w:tc>
          <w:tcPr>
            <w:tcW w:w="2293"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902.56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tcPr>
          <w:p>
            <w:pPr>
              <w:pStyle w:val="315"/>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利润（万元）</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86.36</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97.49</w:t>
            </w:r>
          </w:p>
        </w:tc>
        <w:tc>
          <w:tcPr>
            <w:tcW w:w="2293"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90" w:type="dxa"/>
          </w:tcPr>
          <w:p>
            <w:pPr>
              <w:pStyle w:val="315"/>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投资回收期（a）</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7.52</w:t>
            </w:r>
          </w:p>
        </w:tc>
        <w:tc>
          <w:tcPr>
            <w:tcW w:w="2292"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6.52</w:t>
            </w:r>
          </w:p>
        </w:tc>
        <w:tc>
          <w:tcPr>
            <w:tcW w:w="2293" w:type="dxa"/>
          </w:tcPr>
          <w:p>
            <w:pPr>
              <w:pStyle w:val="315"/>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6.35</w:t>
            </w:r>
          </w:p>
        </w:tc>
      </w:tr>
    </w:tbl>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en-US"/>
        </w:rPr>
      </w:pPr>
      <w:r>
        <w:rPr>
          <w:rFonts w:hint="eastAsia" w:ascii="宋体" w:hAnsi="宋体" w:eastAsia="宋体" w:cs="宋体"/>
          <w:color w:val="auto"/>
          <w:spacing w:val="-2"/>
          <w:sz w:val="24"/>
          <w:szCs w:val="24"/>
          <w:lang w:val="en-US" w:eastAsia="zh-CN"/>
        </w:rPr>
        <w:t>本矿查明资源量</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万t)</w:t>
      </w:r>
      <w:r>
        <w:rPr>
          <w:rFonts w:hint="eastAsia" w:ascii="宋体" w:hAnsi="宋体" w:eastAsia="宋体" w:cs="宋体"/>
          <w:color w:val="auto"/>
          <w:spacing w:val="-2"/>
          <w:sz w:val="24"/>
          <w:szCs w:val="24"/>
          <w:lang w:val="en-US" w:eastAsia="zh-CN"/>
        </w:rPr>
        <w:t>，根据当地砖瓦生产市场供需情况及市场潜力，结合本矿山储量规模及建设规模方案指标对比表，矿山生产规模为20万m³/年较为合适，故本次生产规模为20万m³/年</w:t>
      </w:r>
      <w:r>
        <w:rPr>
          <w:rFonts w:hint="eastAsia" w:ascii="宋体" w:hAnsi="宋体" w:eastAsia="宋体" w:cs="宋体"/>
          <w:color w:val="auto"/>
          <w:spacing w:val="-2"/>
          <w:sz w:val="24"/>
          <w:szCs w:val="24"/>
        </w:rPr>
        <w:t>。</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（2）产品方案</w:t>
      </w:r>
    </w:p>
    <w:p>
      <w:pPr>
        <w:pStyle w:val="63"/>
        <w:keepNext w:val="0"/>
        <w:keepLines w:val="0"/>
        <w:pageBreakBefore w:val="0"/>
        <w:widowControl w:val="0"/>
        <w:kinsoku/>
        <w:wordWrap/>
        <w:overflowPunct/>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方案1：销售原矿（块度≤300mm）；</w:t>
      </w:r>
    </w:p>
    <w:p>
      <w:pPr>
        <w:pStyle w:val="63"/>
        <w:keepNext w:val="0"/>
        <w:keepLines w:val="0"/>
        <w:pageBreakBefore w:val="0"/>
        <w:widowControl w:val="0"/>
        <w:kinsoku/>
        <w:wordWrap/>
        <w:overflowPunct/>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pacing w:val="-2"/>
          <w:kern w:val="0"/>
          <w:lang w:val="en-US" w:eastAsia="zh-CN"/>
        </w:rPr>
      </w:pPr>
      <w:r>
        <w:rPr>
          <w:rFonts w:hint="eastAsia" w:ascii="宋体" w:hAnsi="宋体" w:eastAsia="宋体" w:cs="宋体"/>
          <w:color w:val="auto"/>
          <w:sz w:val="24"/>
          <w:szCs w:val="24"/>
          <w:lang w:val="en-US" w:eastAsia="zh-CN"/>
        </w:rPr>
        <w:t>方案2：破碎加工后的产品（粒径≤100mm）。</w:t>
      </w:r>
    </w:p>
    <w:p>
      <w:pPr>
        <w:pStyle w:val="63"/>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kern w:val="0"/>
          <w:lang w:val="en-US" w:eastAsia="zh-CN"/>
        </w:rPr>
        <w:t>根据矿石用途及市场所需，确定矿山产品方案为销售原矿（块度≤300mm）</w:t>
      </w:r>
      <w:r>
        <w:rPr>
          <w:rFonts w:hint="eastAsia" w:ascii="宋体" w:hAnsi="宋体" w:eastAsia="宋体" w:cs="宋体"/>
          <w:color w:val="auto"/>
          <w:spacing w:val="-2"/>
          <w:kern w:val="0"/>
        </w:rPr>
        <w:t>。</w:t>
      </w:r>
    </w:p>
    <w:p>
      <w:pPr>
        <w:pStyle w:val="63"/>
        <w:keepNext w:val="0"/>
        <w:keepLines w:val="0"/>
        <w:pageBreakBefore w:val="0"/>
        <w:widowControl w:val="0"/>
        <w:kinsoku/>
        <w:wordWrap/>
        <w:overflowPunct/>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kern w:val="0"/>
        </w:rPr>
      </w:pPr>
      <w:r>
        <w:rPr>
          <w:rFonts w:hint="eastAsia" w:ascii="宋体" w:hAnsi="宋体" w:eastAsia="宋体" w:cs="宋体"/>
          <w:bCs/>
          <w:color w:val="auto"/>
          <w:kern w:val="0"/>
        </w:rPr>
        <w:t>2、设计利用资源量计算可采储量及矿山服务年限</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（1）设计利用资源量及开采资源量</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按照矿区范围，根据矿体赋存情况、地形条件、选取合理的开采境界参数圈定开采境界</w:t>
      </w:r>
      <w:r>
        <w:rPr>
          <w:rFonts w:hint="eastAsia" w:ascii="宋体" w:hAnsi="宋体" w:eastAsia="宋体" w:cs="宋体"/>
          <w:color w:val="auto"/>
          <w:sz w:val="24"/>
          <w:szCs w:val="24"/>
          <w:highlight w:val="none"/>
        </w:rPr>
        <w:t>，露天开采境界内矿山设计利用矿产资源储量</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万m³</w:t>
      </w:r>
      <w:r>
        <w:rPr>
          <w:rFonts w:hint="eastAsia" w:ascii="宋体" w:hAnsi="宋体" w:eastAsia="宋体" w:cs="宋体"/>
          <w:color w:val="auto"/>
          <w:sz w:val="24"/>
          <w:szCs w:val="24"/>
          <w:highlight w:val="none"/>
        </w:rPr>
        <w:t>，</w:t>
      </w:r>
      <w:r>
        <w:rPr>
          <w:rFonts w:hint="eastAsia" w:ascii="宋体" w:hAnsi="宋体" w:eastAsia="宋体" w:cs="宋体"/>
          <w:color w:val="auto"/>
          <w:spacing w:val="-2"/>
          <w:sz w:val="24"/>
          <w:szCs w:val="24"/>
          <w:highlight w:val="none"/>
        </w:rPr>
        <w:t>采用类比法确定矿石回采率（Kr）为</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2"/>
          <w:sz w:val="24"/>
          <w:szCs w:val="24"/>
          <w:highlight w:val="none"/>
          <w:lang w:val="en-US" w:eastAsia="zh-CN"/>
        </w:rPr>
        <w:t>%</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可采资源量</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万m³</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w:t>
      </w:r>
      <w:r>
        <w:rPr>
          <w:rFonts w:hint="eastAsia" w:ascii="宋体" w:hAnsi="宋体" w:eastAsia="宋体" w:cs="宋体"/>
          <w:color w:val="auto"/>
          <w:spacing w:val="-2"/>
          <w:sz w:val="24"/>
          <w:szCs w:val="24"/>
          <w:lang w:val="en-US" w:eastAsia="zh-CN"/>
        </w:rPr>
        <w:t>2</w:t>
      </w:r>
      <w:r>
        <w:rPr>
          <w:rFonts w:hint="eastAsia" w:ascii="宋体" w:hAnsi="宋体" w:eastAsia="宋体" w:cs="宋体"/>
          <w:color w:val="auto"/>
          <w:spacing w:val="-2"/>
          <w:sz w:val="24"/>
          <w:szCs w:val="24"/>
        </w:rPr>
        <w:t>）矿山服务年限</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根据目前市场供求趋势，将矿山年产矿石量（Md）确定为</w:t>
      </w:r>
      <w:r>
        <w:rPr>
          <w:rFonts w:hint="eastAsia" w:ascii="宋体" w:hAnsi="宋体" w:eastAsia="宋体" w:cs="宋体"/>
          <w:color w:val="auto"/>
          <w:sz w:val="24"/>
          <w:szCs w:val="24"/>
          <w:lang w:val="en-US" w:eastAsia="zh-CN"/>
        </w:rPr>
        <w:t>20</w:t>
      </w:r>
      <w:r>
        <w:rPr>
          <w:rFonts w:hint="eastAsia" w:ascii="宋体" w:hAnsi="宋体" w:eastAsia="宋体" w:cs="宋体"/>
          <w:color w:val="auto"/>
          <w:spacing w:val="-2"/>
          <w:sz w:val="24"/>
          <w:szCs w:val="24"/>
          <w:lang w:val="en-US" w:eastAsia="zh-CN"/>
        </w:rPr>
        <w:t>万m³/年</w:t>
      </w:r>
      <w:r>
        <w:rPr>
          <w:rFonts w:hint="eastAsia" w:ascii="宋体" w:hAnsi="宋体" w:eastAsia="宋体" w:cs="宋体"/>
          <w:color w:val="auto"/>
          <w:spacing w:val="-2"/>
          <w:sz w:val="24"/>
          <w:szCs w:val="24"/>
        </w:rPr>
        <w:t>，采用类比法确定矿石回采率（Kr）为</w:t>
      </w:r>
      <w:r>
        <w:rPr>
          <w:rFonts w:hint="eastAsia" w:ascii="宋体" w:hAnsi="宋体" w:eastAsia="宋体" w:cs="宋体"/>
          <w:color w:val="auto"/>
          <w:spacing w:val="-2"/>
          <w:sz w:val="24"/>
          <w:szCs w:val="24"/>
          <w:lang w:val="en-US" w:eastAsia="zh-CN"/>
        </w:rPr>
        <w:t>98%</w:t>
      </w:r>
      <w:r>
        <w:rPr>
          <w:rFonts w:hint="eastAsia" w:ascii="宋体" w:hAnsi="宋体" w:eastAsia="宋体" w:cs="宋体"/>
          <w:color w:val="auto"/>
          <w:spacing w:val="-2"/>
          <w:sz w:val="24"/>
          <w:szCs w:val="24"/>
        </w:rPr>
        <w:t>。</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按本次工作求得</w:t>
      </w:r>
      <w:r>
        <w:rPr>
          <w:rFonts w:hint="eastAsia" w:ascii="宋体" w:hAnsi="宋体" w:eastAsia="宋体" w:cs="宋体"/>
          <w:color w:val="auto"/>
          <w:spacing w:val="-2"/>
          <w:sz w:val="24"/>
          <w:szCs w:val="24"/>
          <w:lang w:val="en-US" w:eastAsia="zh-CN"/>
        </w:rPr>
        <w:t>拟设</w:t>
      </w:r>
      <w:r>
        <w:rPr>
          <w:rFonts w:hint="eastAsia" w:ascii="宋体" w:hAnsi="宋体" w:eastAsia="宋体" w:cs="宋体"/>
          <w:color w:val="auto"/>
          <w:spacing w:val="-2"/>
          <w:sz w:val="24"/>
          <w:szCs w:val="24"/>
        </w:rPr>
        <w:t>采矿许可证范围内可</w:t>
      </w:r>
      <w:r>
        <w:rPr>
          <w:rFonts w:hint="eastAsia" w:ascii="宋体" w:hAnsi="宋体" w:eastAsia="宋体" w:cs="宋体"/>
          <w:color w:val="auto"/>
          <w:spacing w:val="-2"/>
          <w:sz w:val="24"/>
          <w:szCs w:val="24"/>
          <w:lang w:val="en-US" w:eastAsia="zh-CN"/>
        </w:rPr>
        <w:t>采</w:t>
      </w:r>
      <w:r>
        <w:rPr>
          <w:rFonts w:hint="eastAsia" w:ascii="宋体" w:hAnsi="宋体" w:eastAsia="宋体" w:cs="宋体"/>
          <w:color w:val="auto"/>
          <w:spacing w:val="-2"/>
          <w:sz w:val="24"/>
          <w:szCs w:val="24"/>
        </w:rPr>
        <w:t>资源量（Q）</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4"/>
          <w:sz w:val="24"/>
          <w:szCs w:val="24"/>
          <w:highlight w:val="none"/>
          <w:lang w:val="en-US" w:eastAsia="zh-CN"/>
        </w:rPr>
        <w:t>万m³</w:t>
      </w:r>
      <w:r>
        <w:rPr>
          <w:rFonts w:hint="eastAsia" w:ascii="宋体" w:hAnsi="宋体" w:eastAsia="宋体" w:cs="宋体"/>
          <w:color w:val="auto"/>
          <w:spacing w:val="-2"/>
          <w:sz w:val="24"/>
          <w:szCs w:val="24"/>
        </w:rPr>
        <w:t>，则矿山服务年限（t）为：</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pacing w:val="-2"/>
          <w:sz w:val="24"/>
          <w:szCs w:val="24"/>
          <w:lang w:val="en-US"/>
        </w:rPr>
      </w:pPr>
      <w:r>
        <w:rPr>
          <w:rFonts w:hint="eastAsia" w:ascii="宋体" w:hAnsi="宋体" w:eastAsia="宋体" w:cs="宋体"/>
          <w:color w:val="auto"/>
          <w:sz w:val="24"/>
          <w:szCs w:val="24"/>
          <w:lang w:val="zh-CN" w:eastAsia="zh-CN"/>
        </w:rPr>
        <w:t>t =Q/Md =</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lang w:val="zh-CN"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lang w:val="zh-CN"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lang w:val="en-US" w:eastAsia="zh-CN"/>
        </w:rPr>
        <w:t>年</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Cs/>
          <w:color w:val="auto"/>
          <w:sz w:val="24"/>
          <w:szCs w:val="24"/>
        </w:rPr>
        <w:t>3、矿床开采方式</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rPr>
        <w:t>矿体出露地表，露天开采条件好</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根据矿体赋存特征及地形条件，设计采用</w:t>
      </w:r>
      <w:r>
        <w:rPr>
          <w:rFonts w:hint="eastAsia" w:ascii="宋体" w:hAnsi="宋体" w:eastAsia="宋体" w:cs="宋体"/>
          <w:color w:val="auto"/>
          <w:spacing w:val="-2"/>
          <w:sz w:val="24"/>
          <w:szCs w:val="24"/>
          <w:lang w:eastAsia="zh-CN"/>
        </w:rPr>
        <w:t>山坡</w:t>
      </w:r>
      <w:r>
        <w:rPr>
          <w:rFonts w:hint="eastAsia" w:ascii="宋体" w:hAnsi="宋体" w:eastAsia="宋体" w:cs="宋体"/>
          <w:color w:val="auto"/>
          <w:spacing w:val="-2"/>
          <w:sz w:val="24"/>
          <w:szCs w:val="24"/>
          <w:lang w:val="en-US" w:eastAsia="zh-CN"/>
        </w:rPr>
        <w:t>-凹陷</w:t>
      </w:r>
      <w:r>
        <w:rPr>
          <w:rFonts w:hint="eastAsia" w:ascii="宋体" w:hAnsi="宋体" w:eastAsia="宋体" w:cs="宋体"/>
          <w:color w:val="auto"/>
          <w:spacing w:val="-2"/>
          <w:sz w:val="24"/>
          <w:szCs w:val="24"/>
          <w:lang w:eastAsia="zh-CN"/>
        </w:rPr>
        <w:t>露天开采方式</w:t>
      </w:r>
      <w:r>
        <w:rPr>
          <w:rFonts w:hint="eastAsia" w:ascii="宋体" w:hAnsi="宋体" w:eastAsia="宋体" w:cs="宋体"/>
          <w:color w:val="auto"/>
          <w:spacing w:val="-2"/>
          <w:sz w:val="24"/>
          <w:szCs w:val="24"/>
          <w:highlight w:val="none"/>
        </w:rPr>
        <w:t>。</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4、开拓运输方案及厂址选择</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lang w:val="en-US" w:eastAsia="zh-CN"/>
        </w:rPr>
        <w:t>（1）开拓运输方案</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rPr>
        <w:t>根据地形地貌条件及外部道路情况，</w:t>
      </w:r>
      <w:r>
        <w:rPr>
          <w:rFonts w:hint="eastAsia" w:ascii="宋体" w:hAnsi="宋体" w:eastAsia="宋体" w:cs="宋体"/>
          <w:color w:val="auto"/>
          <w:sz w:val="24"/>
          <w:szCs w:val="24"/>
          <w:lang w:val="zh-CN"/>
        </w:rPr>
        <w:t>采用灵活性较大的运输方式，</w:t>
      </w:r>
      <w:r>
        <w:rPr>
          <w:rFonts w:hint="eastAsia" w:ascii="宋体" w:hAnsi="宋体" w:eastAsia="宋体" w:cs="宋体"/>
          <w:color w:val="auto"/>
          <w:spacing w:val="-2"/>
          <w:sz w:val="24"/>
          <w:szCs w:val="24"/>
        </w:rPr>
        <w:t>设计采用公路开拓汽车运输方案。</w:t>
      </w:r>
      <w:r>
        <w:rPr>
          <w:rFonts w:hint="eastAsia" w:ascii="宋体" w:hAnsi="宋体" w:eastAsia="宋体" w:cs="宋体"/>
          <w:color w:val="auto"/>
          <w:spacing w:val="-2"/>
          <w:sz w:val="24"/>
          <w:szCs w:val="24"/>
          <w:lang w:val="zh-CN"/>
        </w:rPr>
        <w:t>设计采用斗容为</w:t>
      </w:r>
      <w:r>
        <w:rPr>
          <w:rFonts w:hint="eastAsia" w:ascii="宋体" w:hAnsi="宋体" w:eastAsia="宋体" w:cs="宋体"/>
          <w:color w:val="auto"/>
          <w:spacing w:val="-2"/>
          <w:sz w:val="24"/>
          <w:szCs w:val="24"/>
          <w:lang w:val="en-US" w:eastAsia="zh-CN"/>
        </w:rPr>
        <w:t>2.60</w:t>
      </w:r>
      <w:r>
        <w:rPr>
          <w:rFonts w:hint="eastAsia" w:ascii="宋体" w:hAnsi="宋体" w:eastAsia="宋体" w:cs="宋体"/>
          <w:color w:val="auto"/>
          <w:spacing w:val="-2"/>
          <w:sz w:val="24"/>
          <w:szCs w:val="24"/>
          <w:lang w:val="zh-CN"/>
        </w:rPr>
        <w:t>m</w:t>
      </w:r>
      <w:r>
        <w:rPr>
          <w:rFonts w:hint="eastAsia" w:ascii="宋体" w:hAnsi="宋体" w:eastAsia="宋体" w:cs="宋体"/>
          <w:color w:val="auto"/>
          <w:spacing w:val="-2"/>
          <w:sz w:val="24"/>
          <w:szCs w:val="24"/>
          <w:vertAlign w:val="superscript"/>
          <w:lang w:val="zh-CN"/>
        </w:rPr>
        <w:t>3</w:t>
      </w:r>
      <w:r>
        <w:rPr>
          <w:rFonts w:hint="eastAsia" w:ascii="宋体" w:hAnsi="宋体" w:eastAsia="宋体" w:cs="宋体"/>
          <w:color w:val="auto"/>
          <w:spacing w:val="-2"/>
          <w:sz w:val="24"/>
          <w:szCs w:val="24"/>
          <w:lang w:val="zh-CN"/>
        </w:rPr>
        <w:t>的液压挖掘机进行矿岩铲装，载重量</w:t>
      </w:r>
      <w:r>
        <w:rPr>
          <w:rFonts w:hint="eastAsia" w:ascii="宋体" w:hAnsi="宋体" w:eastAsia="宋体" w:cs="宋体"/>
          <w:color w:val="auto"/>
          <w:spacing w:val="-2"/>
          <w:sz w:val="24"/>
          <w:szCs w:val="24"/>
          <w:lang w:val="en-US" w:eastAsia="zh-CN"/>
        </w:rPr>
        <w:t>3</w:t>
      </w:r>
      <w:r>
        <w:rPr>
          <w:rFonts w:hint="eastAsia" w:ascii="宋体" w:hAnsi="宋体" w:eastAsia="宋体" w:cs="宋体"/>
          <w:color w:val="auto"/>
          <w:spacing w:val="-2"/>
          <w:sz w:val="24"/>
          <w:szCs w:val="24"/>
        </w:rPr>
        <w:t>0</w:t>
      </w:r>
      <w:r>
        <w:rPr>
          <w:rFonts w:hint="eastAsia" w:ascii="宋体" w:hAnsi="宋体" w:eastAsia="宋体" w:cs="宋体"/>
          <w:color w:val="auto"/>
          <w:spacing w:val="-2"/>
          <w:sz w:val="24"/>
          <w:szCs w:val="24"/>
          <w:lang w:val="zh-CN"/>
        </w:rPr>
        <w:t>t矿用自卸卡车与其配套进行矿岩运输。矿山运输道路三级，运输道路为</w:t>
      </w:r>
      <w:r>
        <w:rPr>
          <w:rFonts w:hint="eastAsia" w:ascii="宋体" w:hAnsi="宋体" w:eastAsia="宋体" w:cs="宋体"/>
          <w:color w:val="auto"/>
          <w:spacing w:val="-2"/>
          <w:sz w:val="24"/>
          <w:szCs w:val="24"/>
          <w:lang w:val="en-US" w:eastAsia="zh-CN"/>
        </w:rPr>
        <w:t>双</w:t>
      </w:r>
      <w:r>
        <w:rPr>
          <w:rFonts w:hint="eastAsia" w:ascii="宋体" w:hAnsi="宋体" w:eastAsia="宋体" w:cs="宋体"/>
          <w:color w:val="auto"/>
          <w:spacing w:val="-2"/>
          <w:sz w:val="24"/>
          <w:szCs w:val="24"/>
          <w:lang w:val="zh-CN"/>
        </w:rPr>
        <w:t>车道，</w:t>
      </w:r>
      <w:r>
        <w:rPr>
          <w:rFonts w:hint="eastAsia" w:ascii="宋体" w:hAnsi="宋体" w:eastAsia="宋体" w:cs="宋体"/>
          <w:color w:val="auto"/>
          <w:spacing w:val="-2"/>
          <w:sz w:val="24"/>
          <w:szCs w:val="24"/>
          <w:lang w:val="en-US" w:eastAsia="zh-CN"/>
        </w:rPr>
        <w:t>路面宽度10</w:t>
      </w:r>
      <w:r>
        <w:rPr>
          <w:rFonts w:hint="eastAsia" w:ascii="宋体" w:hAnsi="宋体" w:eastAsia="宋体" w:cs="宋体"/>
          <w:color w:val="auto"/>
          <w:spacing w:val="-2"/>
          <w:sz w:val="24"/>
          <w:szCs w:val="24"/>
          <w:lang w:val="zh-CN"/>
        </w:rPr>
        <w:t>米，纵向坡度为8%，平均坡度</w:t>
      </w:r>
      <w:r>
        <w:rPr>
          <w:rFonts w:hint="eastAsia" w:ascii="宋体" w:hAnsi="宋体" w:eastAsia="宋体" w:cs="宋体"/>
          <w:color w:val="auto"/>
          <w:spacing w:val="-2"/>
          <w:sz w:val="24"/>
          <w:szCs w:val="24"/>
          <w:lang w:val="en-US" w:eastAsia="zh-CN"/>
        </w:rPr>
        <w:t>6%，</w:t>
      </w:r>
      <w:r>
        <w:rPr>
          <w:rFonts w:hint="eastAsia" w:ascii="宋体" w:hAnsi="宋体" w:eastAsia="宋体" w:cs="宋体"/>
          <w:color w:val="auto"/>
          <w:spacing w:val="-2"/>
          <w:sz w:val="24"/>
          <w:szCs w:val="24"/>
          <w:lang w:val="zh-CN"/>
        </w:rPr>
        <w:t>最小转弯半径为15米。</w:t>
      </w:r>
    </w:p>
    <w:p>
      <w:pPr>
        <w:keepNext w:val="0"/>
        <w:keepLines w:val="0"/>
        <w:pageBreakBefore w:val="0"/>
        <w:widowControl w:val="0"/>
        <w:kinsoku/>
        <w:wordWrap/>
        <w:overflowPunct/>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b w:val="0"/>
          <w:bCs w:val="0"/>
          <w:color w:val="auto"/>
          <w:spacing w:val="-2"/>
          <w:sz w:val="24"/>
          <w:szCs w:val="24"/>
          <w:lang w:val="zh-CN"/>
        </w:rPr>
      </w:pPr>
      <w:r>
        <w:rPr>
          <w:rFonts w:hint="eastAsia" w:ascii="宋体" w:hAnsi="宋体" w:eastAsia="宋体" w:cs="宋体"/>
          <w:b w:val="0"/>
          <w:bCs w:val="0"/>
          <w:color w:val="auto"/>
          <w:spacing w:val="-2"/>
          <w:sz w:val="24"/>
          <w:szCs w:val="24"/>
          <w:lang w:val="zh-CN"/>
        </w:rPr>
        <w:t>（</w:t>
      </w:r>
      <w:r>
        <w:rPr>
          <w:rFonts w:hint="eastAsia" w:ascii="宋体" w:hAnsi="宋体" w:eastAsia="宋体" w:cs="宋体"/>
          <w:b w:val="0"/>
          <w:bCs w:val="0"/>
          <w:color w:val="auto"/>
          <w:spacing w:val="-2"/>
          <w:sz w:val="24"/>
          <w:szCs w:val="24"/>
          <w:lang w:val="en-US" w:eastAsia="zh-CN"/>
        </w:rPr>
        <w:t>2</w:t>
      </w:r>
      <w:r>
        <w:rPr>
          <w:rFonts w:hint="eastAsia" w:ascii="宋体" w:hAnsi="宋体" w:eastAsia="宋体" w:cs="宋体"/>
          <w:b w:val="0"/>
          <w:bCs w:val="0"/>
          <w:color w:val="auto"/>
          <w:spacing w:val="-2"/>
          <w:sz w:val="24"/>
          <w:szCs w:val="24"/>
          <w:lang w:val="zh-CN"/>
        </w:rPr>
        <w:t>）矿山布局</w:t>
      </w:r>
      <w:r>
        <w:rPr>
          <w:rFonts w:hint="eastAsia" w:ascii="宋体" w:hAnsi="宋体" w:eastAsia="宋体" w:cs="宋体"/>
          <w:b w:val="0"/>
          <w:bCs w:val="0"/>
          <w:color w:val="auto"/>
          <w:sz w:val="24"/>
          <w:szCs w:val="24"/>
          <w:lang w:eastAsia="zh-CN"/>
        </w:rPr>
        <w:t>（矿山总平面布置）</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b w:val="0"/>
          <w:bCs w:val="0"/>
          <w:color w:val="auto"/>
          <w:sz w:val="24"/>
          <w:szCs w:val="24"/>
          <w:lang w:val="en-US"/>
        </w:rPr>
      </w:pPr>
      <w:r>
        <w:rPr>
          <w:rFonts w:hint="eastAsia" w:ascii="宋体" w:hAnsi="宋体" w:eastAsia="宋体" w:cs="宋体"/>
          <w:b w:val="0"/>
          <w:bCs w:val="0"/>
          <w:color w:val="auto"/>
          <w:sz w:val="24"/>
          <w:szCs w:val="24"/>
          <w:lang w:val="en-US" w:eastAsia="zh-CN"/>
        </w:rPr>
        <w:t>根据相关资料（评审通过的普查报告），伽师县春季多风最大风速可达12-28m/s左右，多发生在3-9月，多为东北风。依据风向最终确定现在的功能区布局。</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根据矿山今后开采计划新建</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处露天</w:t>
      </w:r>
      <w:r>
        <w:rPr>
          <w:rFonts w:hint="eastAsia" w:ascii="宋体" w:hAnsi="宋体" w:eastAsia="宋体" w:cs="宋体"/>
          <w:b w:val="0"/>
          <w:bCs w:val="0"/>
          <w:color w:val="auto"/>
          <w:sz w:val="24"/>
          <w:szCs w:val="24"/>
          <w:lang w:val="en-US" w:eastAsia="zh-CN"/>
        </w:rPr>
        <w:t>开采面</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排土场、矿部</w:t>
      </w:r>
      <w:r>
        <w:rPr>
          <w:rFonts w:hint="eastAsia" w:ascii="宋体" w:hAnsi="宋体" w:eastAsia="宋体" w:cs="宋体"/>
          <w:b w:val="0"/>
          <w:bCs w:val="0"/>
          <w:color w:val="auto"/>
          <w:sz w:val="24"/>
          <w:szCs w:val="24"/>
        </w:rPr>
        <w:t>生活区</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矿山道路</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详见附图</w:t>
      </w:r>
      <w:r>
        <w:rPr>
          <w:rFonts w:hint="eastAsia" w:ascii="宋体" w:hAnsi="宋体" w:eastAsia="宋体" w:cs="宋体"/>
          <w:b w:val="0"/>
          <w:bCs w:val="0"/>
          <w:color w:val="auto"/>
          <w:sz w:val="24"/>
          <w:szCs w:val="24"/>
        </w:rPr>
        <w:t>矿山总平面布置</w:t>
      </w:r>
      <w:r>
        <w:rPr>
          <w:rFonts w:hint="eastAsia" w:ascii="宋体" w:hAnsi="宋体" w:eastAsia="宋体" w:cs="宋体"/>
          <w:b w:val="0"/>
          <w:bCs w:val="0"/>
          <w:color w:val="auto"/>
          <w:sz w:val="24"/>
          <w:szCs w:val="24"/>
          <w:lang w:val="en-US" w:eastAsia="zh-CN"/>
        </w:rPr>
        <w:t>图</w:t>
      </w:r>
      <w:r>
        <w:rPr>
          <w:rFonts w:hint="eastAsia" w:ascii="宋体" w:hAnsi="宋体" w:eastAsia="宋体" w:cs="宋体"/>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①规划露天</w:t>
      </w:r>
      <w:r>
        <w:rPr>
          <w:rFonts w:hint="eastAsia" w:ascii="宋体" w:hAnsi="宋体" w:eastAsia="宋体" w:cs="宋体"/>
          <w:b w:val="0"/>
          <w:bCs w:val="0"/>
          <w:color w:val="auto"/>
          <w:sz w:val="24"/>
          <w:szCs w:val="24"/>
        </w:rPr>
        <w:t>采矿场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通过设计，</w:t>
      </w:r>
      <w:r>
        <w:rPr>
          <w:rFonts w:hint="eastAsia" w:ascii="宋体" w:hAnsi="宋体" w:eastAsia="宋体" w:cs="宋体"/>
          <w:b w:val="0"/>
          <w:bCs w:val="0"/>
          <w:color w:val="auto"/>
          <w:sz w:val="24"/>
          <w:szCs w:val="24"/>
        </w:rPr>
        <w:t>全矿设置</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个露天</w:t>
      </w:r>
      <w:r>
        <w:rPr>
          <w:rFonts w:hint="eastAsia" w:ascii="宋体" w:hAnsi="宋体" w:eastAsia="宋体" w:cs="宋体"/>
          <w:b w:val="0"/>
          <w:bCs w:val="0"/>
          <w:color w:val="auto"/>
          <w:sz w:val="24"/>
          <w:szCs w:val="24"/>
          <w:lang w:val="en-US" w:eastAsia="zh-CN"/>
        </w:rPr>
        <w:t>开采面</w:t>
      </w:r>
      <w:r>
        <w:rPr>
          <w:rFonts w:hint="eastAsia" w:ascii="宋体" w:hAnsi="宋体" w:eastAsia="宋体" w:cs="宋体"/>
          <w:b w:val="0"/>
          <w:bCs w:val="0"/>
          <w:color w:val="auto"/>
          <w:sz w:val="24"/>
          <w:szCs w:val="24"/>
          <w:lang w:eastAsia="zh-CN"/>
        </w:rPr>
        <w:t>，I-1</w:t>
      </w:r>
      <w:r>
        <w:rPr>
          <w:rFonts w:hint="eastAsia" w:ascii="宋体" w:hAnsi="宋体" w:eastAsia="宋体" w:cs="宋体"/>
          <w:b w:val="0"/>
          <w:bCs w:val="0"/>
          <w:color w:val="auto"/>
          <w:sz w:val="24"/>
          <w:szCs w:val="24"/>
          <w:lang w:val="en-US" w:eastAsia="zh-CN"/>
        </w:rPr>
        <w:t>矿体形成北部开采面，I-2和II矿体形成南部开采面。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北部开采面</w:t>
      </w:r>
      <w:r>
        <w:rPr>
          <w:rFonts w:hint="eastAsia" w:ascii="宋体" w:hAnsi="宋体" w:eastAsia="宋体" w:cs="宋体"/>
          <w:b w:val="0"/>
          <w:bCs w:val="0"/>
          <w:color w:val="auto"/>
          <w:sz w:val="24"/>
          <w:szCs w:val="24"/>
        </w:rPr>
        <w:t>共有</w:t>
      </w: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个台</w:t>
      </w:r>
      <w:r>
        <w:rPr>
          <w:rFonts w:hint="eastAsia" w:ascii="宋体" w:hAnsi="宋体" w:eastAsia="宋体" w:cs="宋体"/>
          <w:b w:val="0"/>
          <w:bCs w:val="0"/>
          <w:color w:val="auto"/>
          <w:sz w:val="24"/>
          <w:szCs w:val="24"/>
          <w:lang w:val="en-US" w:eastAsia="zh-CN"/>
        </w:rPr>
        <w:t>阶</w:t>
      </w:r>
      <w:r>
        <w:rPr>
          <w:rFonts w:hint="eastAsia" w:ascii="宋体" w:hAnsi="宋体" w:eastAsia="宋体" w:cs="宋体"/>
          <w:b w:val="0"/>
          <w:bCs w:val="0"/>
          <w:color w:val="auto"/>
          <w:sz w:val="24"/>
          <w:szCs w:val="24"/>
        </w:rPr>
        <w:t>，台段标高分别</w:t>
      </w:r>
      <w:r>
        <w:rPr>
          <w:rFonts w:hint="eastAsia" w:ascii="宋体" w:hAnsi="宋体" w:eastAsia="宋体" w:cs="宋体"/>
          <w:b w:val="0"/>
          <w:bCs w:val="0"/>
          <w:color w:val="auto"/>
          <w:sz w:val="24"/>
          <w:szCs w:val="24"/>
          <w:lang w:val="en-US" w:eastAsia="zh-CN"/>
        </w:rPr>
        <w:t>1240</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1230、1220、1210、1200、1190米</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lang w:val="en-US" w:eastAsia="zh-CN"/>
        </w:rPr>
        <w:t>南部开采面</w:t>
      </w:r>
      <w:r>
        <w:rPr>
          <w:rFonts w:hint="eastAsia" w:ascii="宋体" w:hAnsi="宋体" w:eastAsia="宋体" w:cs="宋体"/>
          <w:b w:val="0"/>
          <w:bCs w:val="0"/>
          <w:color w:val="auto"/>
          <w:sz w:val="24"/>
          <w:szCs w:val="24"/>
        </w:rPr>
        <w:t>共有</w:t>
      </w: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rPr>
        <w:t>个台</w:t>
      </w:r>
      <w:r>
        <w:rPr>
          <w:rFonts w:hint="eastAsia" w:ascii="宋体" w:hAnsi="宋体" w:eastAsia="宋体" w:cs="宋体"/>
          <w:b w:val="0"/>
          <w:bCs w:val="0"/>
          <w:color w:val="auto"/>
          <w:sz w:val="24"/>
          <w:szCs w:val="24"/>
          <w:lang w:val="en-US" w:eastAsia="zh-CN"/>
        </w:rPr>
        <w:t>阶</w:t>
      </w:r>
      <w:r>
        <w:rPr>
          <w:rFonts w:hint="eastAsia" w:ascii="宋体" w:hAnsi="宋体" w:eastAsia="宋体" w:cs="宋体"/>
          <w:b w:val="0"/>
          <w:bCs w:val="0"/>
          <w:color w:val="auto"/>
          <w:sz w:val="24"/>
          <w:szCs w:val="24"/>
        </w:rPr>
        <w:t>，台段标高分别</w:t>
      </w:r>
      <w:r>
        <w:rPr>
          <w:rFonts w:hint="eastAsia" w:ascii="宋体" w:hAnsi="宋体" w:eastAsia="宋体" w:cs="宋体"/>
          <w:b w:val="0"/>
          <w:bCs w:val="0"/>
          <w:color w:val="auto"/>
          <w:sz w:val="24"/>
          <w:szCs w:val="24"/>
          <w:lang w:val="en-US" w:eastAsia="zh-CN"/>
        </w:rPr>
        <w:t>1230、1220、1210、1200、1190米</w:t>
      </w:r>
      <w:r>
        <w:rPr>
          <w:rFonts w:hint="eastAsia" w:ascii="宋体" w:hAnsi="宋体" w:eastAsia="宋体" w:cs="宋体"/>
          <w:b w:val="0"/>
          <w:bCs w:val="0"/>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全矿</w:t>
      </w:r>
      <w:r>
        <w:rPr>
          <w:rFonts w:hint="eastAsia" w:ascii="宋体" w:hAnsi="宋体" w:eastAsia="宋体" w:cs="宋体"/>
          <w:b w:val="0"/>
          <w:bCs w:val="0"/>
          <w:color w:val="auto"/>
          <w:sz w:val="24"/>
          <w:szCs w:val="24"/>
          <w:lang w:val="en-US" w:eastAsia="zh-CN"/>
        </w:rPr>
        <w:t>区</w:t>
      </w:r>
      <w:r>
        <w:rPr>
          <w:rFonts w:hint="eastAsia" w:ascii="宋体" w:hAnsi="宋体" w:eastAsia="宋体" w:cs="宋体"/>
          <w:b w:val="0"/>
          <w:bCs w:val="0"/>
          <w:color w:val="auto"/>
          <w:sz w:val="24"/>
          <w:szCs w:val="24"/>
        </w:rPr>
        <w:t>开采标高</w:t>
      </w:r>
      <w:r>
        <w:rPr>
          <w:rFonts w:hint="eastAsia" w:ascii="宋体" w:hAnsi="宋体" w:cs="宋体"/>
          <w:color w:val="auto"/>
          <w:sz w:val="24"/>
          <w:szCs w:val="24"/>
          <w:highlight w:val="none"/>
          <w:lang w:val="en-US" w:eastAsia="zh-CN"/>
        </w:rPr>
        <w:t>****</w:t>
      </w:r>
      <w:r>
        <w:rPr>
          <w:rFonts w:hint="eastAsia" w:ascii="宋体" w:hAnsi="宋体" w:eastAsia="宋体" w:cs="宋体"/>
          <w:b w:val="0"/>
          <w:bCs w:val="0"/>
          <w:color w:val="auto"/>
          <w:sz w:val="24"/>
          <w:szCs w:val="24"/>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b w:val="0"/>
          <w:bCs w:val="0"/>
          <w:color w:val="auto"/>
          <w:sz w:val="24"/>
          <w:szCs w:val="24"/>
        </w:rPr>
        <w:t>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②</w:t>
      </w:r>
      <w:r>
        <w:rPr>
          <w:rFonts w:hint="eastAsia" w:ascii="宋体" w:hAnsi="宋体" w:eastAsia="宋体" w:cs="宋体"/>
          <w:b w:val="0"/>
          <w:bCs w:val="0"/>
          <w:color w:val="auto"/>
          <w:sz w:val="24"/>
          <w:szCs w:val="24"/>
          <w:highlight w:val="none"/>
          <w:lang w:eastAsia="zh-CN"/>
        </w:rPr>
        <w:t>拟建</w:t>
      </w:r>
      <w:r>
        <w:rPr>
          <w:rFonts w:hint="eastAsia" w:ascii="宋体" w:hAnsi="宋体" w:eastAsia="宋体" w:cs="宋体"/>
          <w:b w:val="0"/>
          <w:bCs w:val="0"/>
          <w:color w:val="auto"/>
          <w:sz w:val="24"/>
          <w:szCs w:val="24"/>
          <w:highlight w:val="none"/>
          <w:lang w:val="en-US" w:eastAsia="zh-CN"/>
        </w:rPr>
        <w:t>排土场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highlight w:val="none"/>
          <w:lang w:val="en-US" w:eastAsia="zh-CN"/>
        </w:rPr>
        <w:t>矿山服务年限内共剥离表土3.50万m³，考虑废石松散系数（取1.20），废石松散体积为4.20万m³。</w:t>
      </w:r>
      <w:r>
        <w:rPr>
          <w:rFonts w:hint="eastAsia" w:ascii="宋体" w:hAnsi="宋体" w:eastAsia="宋体" w:cs="宋体"/>
          <w:b w:val="0"/>
          <w:bCs w:val="0"/>
          <w:color w:val="auto"/>
          <w:sz w:val="24"/>
          <w:szCs w:val="24"/>
          <w:highlight w:val="none"/>
        </w:rPr>
        <w:t>全矿设置</w:t>
      </w:r>
      <w:r>
        <w:rPr>
          <w:rFonts w:hint="eastAsia" w:ascii="宋体" w:hAnsi="宋体" w:eastAsia="宋体" w:cs="宋体"/>
          <w:b w:val="0"/>
          <w:bCs w:val="0"/>
          <w:color w:val="auto"/>
          <w:sz w:val="24"/>
          <w:szCs w:val="24"/>
          <w:highlight w:val="none"/>
          <w:lang w:val="en-US" w:eastAsia="zh-CN"/>
        </w:rPr>
        <w:t>一</w:t>
      </w:r>
      <w:r>
        <w:rPr>
          <w:rFonts w:hint="eastAsia" w:ascii="宋体" w:hAnsi="宋体" w:eastAsia="宋体" w:cs="宋体"/>
          <w:b w:val="0"/>
          <w:bCs w:val="0"/>
          <w:color w:val="auto"/>
          <w:sz w:val="24"/>
          <w:szCs w:val="24"/>
          <w:highlight w:val="none"/>
        </w:rPr>
        <w:t>个</w:t>
      </w:r>
      <w:r>
        <w:rPr>
          <w:rFonts w:hint="eastAsia" w:ascii="宋体" w:hAnsi="宋体" w:eastAsia="宋体" w:cs="宋体"/>
          <w:b w:val="0"/>
          <w:bCs w:val="0"/>
          <w:color w:val="auto"/>
          <w:sz w:val="24"/>
          <w:szCs w:val="24"/>
          <w:highlight w:val="none"/>
          <w:lang w:eastAsia="zh-CN"/>
        </w:rPr>
        <w:t>拟建</w:t>
      </w:r>
      <w:r>
        <w:rPr>
          <w:rFonts w:hint="eastAsia" w:ascii="宋体" w:hAnsi="宋体" w:eastAsia="宋体" w:cs="宋体"/>
          <w:b w:val="0"/>
          <w:bCs w:val="0"/>
          <w:color w:val="auto"/>
          <w:sz w:val="24"/>
          <w:szCs w:val="24"/>
          <w:highlight w:val="none"/>
          <w:lang w:val="en-US" w:eastAsia="zh-CN"/>
        </w:rPr>
        <w:t>排土场</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拟建</w:t>
      </w:r>
      <w:r>
        <w:rPr>
          <w:rFonts w:hint="eastAsia" w:ascii="宋体" w:hAnsi="宋体" w:eastAsia="宋体" w:cs="宋体"/>
          <w:b w:val="0"/>
          <w:bCs w:val="0"/>
          <w:color w:val="auto"/>
          <w:sz w:val="24"/>
          <w:szCs w:val="24"/>
          <w:highlight w:val="none"/>
          <w:lang w:val="en-US" w:eastAsia="zh-CN"/>
        </w:rPr>
        <w:t>排土场</w:t>
      </w:r>
      <w:r>
        <w:rPr>
          <w:rFonts w:hint="eastAsia" w:ascii="宋体" w:hAnsi="宋体" w:eastAsia="宋体" w:cs="宋体"/>
          <w:b w:val="0"/>
          <w:bCs w:val="0"/>
          <w:color w:val="auto"/>
          <w:sz w:val="24"/>
          <w:szCs w:val="24"/>
          <w:highlight w:val="none"/>
        </w:rPr>
        <w:t>布置在矿区</w:t>
      </w:r>
      <w:r>
        <w:rPr>
          <w:rFonts w:hint="eastAsia" w:ascii="宋体" w:hAnsi="宋体" w:eastAsia="宋体" w:cs="宋体"/>
          <w:b w:val="0"/>
          <w:bCs w:val="0"/>
          <w:color w:val="auto"/>
          <w:sz w:val="24"/>
          <w:szCs w:val="24"/>
          <w:highlight w:val="none"/>
          <w:lang w:val="en-US" w:eastAsia="zh-CN"/>
        </w:rPr>
        <w:t>内东</w:t>
      </w:r>
      <w:r>
        <w:rPr>
          <w:rFonts w:hint="eastAsia" w:ascii="宋体" w:hAnsi="宋体" w:eastAsia="宋体" w:cs="宋体"/>
          <w:b w:val="0"/>
          <w:bCs w:val="0"/>
          <w:color w:val="auto"/>
          <w:sz w:val="24"/>
          <w:szCs w:val="24"/>
          <w:highlight w:val="none"/>
        </w:rPr>
        <w:t>侧平缓地带，距采矿场</w:t>
      </w:r>
      <w:r>
        <w:rPr>
          <w:rFonts w:hint="eastAsia" w:ascii="宋体" w:hAnsi="宋体" w:eastAsia="宋体" w:cs="宋体"/>
          <w:b w:val="0"/>
          <w:bCs w:val="0"/>
          <w:color w:val="auto"/>
          <w:sz w:val="24"/>
          <w:szCs w:val="24"/>
          <w:highlight w:val="none"/>
          <w:lang w:val="en-US" w:eastAsia="zh-CN"/>
        </w:rPr>
        <w:t>560</w:t>
      </w:r>
      <w:r>
        <w:rPr>
          <w:rFonts w:hint="eastAsia" w:ascii="宋体" w:hAnsi="宋体" w:eastAsia="宋体" w:cs="宋体"/>
          <w:b w:val="0"/>
          <w:bCs w:val="0"/>
          <w:color w:val="auto"/>
          <w:sz w:val="24"/>
          <w:szCs w:val="24"/>
          <w:highlight w:val="none"/>
        </w:rPr>
        <w:t>米，地表</w:t>
      </w:r>
      <w:r>
        <w:rPr>
          <w:rFonts w:hint="eastAsia" w:ascii="宋体" w:hAnsi="宋体" w:eastAsia="宋体" w:cs="宋体"/>
          <w:b w:val="0"/>
          <w:bCs w:val="0"/>
          <w:color w:val="auto"/>
          <w:sz w:val="24"/>
          <w:szCs w:val="24"/>
          <w:highlight w:val="none"/>
          <w:lang w:val="en-US" w:eastAsia="zh-CN"/>
        </w:rPr>
        <w:t>大部分</w:t>
      </w:r>
      <w:r>
        <w:rPr>
          <w:rFonts w:hint="eastAsia" w:ascii="宋体" w:hAnsi="宋体" w:eastAsia="宋体" w:cs="宋体"/>
          <w:b w:val="0"/>
          <w:bCs w:val="0"/>
          <w:color w:val="auto"/>
          <w:sz w:val="24"/>
          <w:szCs w:val="24"/>
          <w:highlight w:val="none"/>
        </w:rPr>
        <w:t>为第四系，地形坡度</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eastAsia="zh-CN"/>
        </w:rPr>
        <w:t>拟建</w:t>
      </w:r>
      <w:r>
        <w:rPr>
          <w:rFonts w:hint="eastAsia" w:ascii="宋体" w:hAnsi="宋体" w:eastAsia="宋体" w:cs="宋体"/>
          <w:b w:val="0"/>
          <w:bCs w:val="0"/>
          <w:color w:val="auto"/>
          <w:sz w:val="24"/>
          <w:szCs w:val="24"/>
          <w:highlight w:val="none"/>
          <w:lang w:val="en-US" w:eastAsia="zh-CN"/>
        </w:rPr>
        <w:t>排土场</w:t>
      </w:r>
      <w:r>
        <w:rPr>
          <w:rFonts w:hint="eastAsia" w:ascii="宋体" w:hAnsi="宋体" w:eastAsia="宋体" w:cs="宋体"/>
          <w:b w:val="0"/>
          <w:bCs w:val="0"/>
          <w:color w:val="auto"/>
          <w:sz w:val="24"/>
          <w:szCs w:val="24"/>
          <w:highlight w:val="none"/>
        </w:rPr>
        <w:t>占地面积</w:t>
      </w:r>
      <w:r>
        <w:rPr>
          <w:rFonts w:hint="eastAsia" w:ascii="宋体" w:hAnsi="宋体" w:eastAsia="宋体" w:cs="宋体"/>
          <w:b w:val="0"/>
          <w:bCs w:val="0"/>
          <w:color w:val="auto"/>
          <w:sz w:val="24"/>
          <w:szCs w:val="24"/>
          <w:highlight w:val="none"/>
          <w:lang w:val="en-US" w:eastAsia="zh-CN"/>
        </w:rPr>
        <w:t>0.62万㎡</w:t>
      </w:r>
      <w:r>
        <w:rPr>
          <w:rFonts w:hint="eastAsia" w:ascii="宋体" w:hAnsi="宋体" w:eastAsia="宋体" w:cs="宋体"/>
          <w:b w:val="0"/>
          <w:bCs w:val="0"/>
          <w:color w:val="auto"/>
          <w:sz w:val="24"/>
          <w:szCs w:val="24"/>
          <w:highlight w:val="none"/>
        </w:rPr>
        <w:t>，场内废渣石采用分层压实堆放，</w:t>
      </w:r>
      <w:r>
        <w:rPr>
          <w:rFonts w:hint="eastAsia" w:ascii="宋体" w:hAnsi="宋体" w:eastAsia="宋体" w:cs="宋体"/>
          <w:b w:val="0"/>
          <w:bCs w:val="0"/>
          <w:color w:val="auto"/>
          <w:sz w:val="24"/>
          <w:szCs w:val="24"/>
          <w:highlight w:val="none"/>
          <w:lang w:val="en-US" w:eastAsia="zh-CN"/>
        </w:rPr>
        <w:t>分层堆高10米，</w:t>
      </w:r>
      <w:r>
        <w:rPr>
          <w:rFonts w:hint="eastAsia" w:ascii="宋体" w:hAnsi="宋体" w:eastAsia="宋体" w:cs="宋体"/>
          <w:b w:val="0"/>
          <w:bCs w:val="0"/>
          <w:color w:val="auto"/>
          <w:sz w:val="24"/>
          <w:szCs w:val="24"/>
          <w:highlight w:val="none"/>
        </w:rPr>
        <w:t>边坡角3</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最终形成台阶标高1219米</w:t>
      </w:r>
      <w:r>
        <w:rPr>
          <w:rFonts w:hint="eastAsia" w:ascii="宋体" w:hAnsi="宋体" w:eastAsia="宋体" w:cs="宋体"/>
          <w:b w:val="0"/>
          <w:bCs w:val="0"/>
          <w:color w:val="auto"/>
          <w:sz w:val="24"/>
          <w:szCs w:val="24"/>
          <w:highlight w:val="none"/>
        </w:rPr>
        <w:t>，容积约</w:t>
      </w:r>
      <w:r>
        <w:rPr>
          <w:rFonts w:hint="eastAsia" w:ascii="宋体" w:hAnsi="宋体" w:eastAsia="宋体" w:cs="宋体"/>
          <w:b w:val="0"/>
          <w:bCs w:val="0"/>
          <w:color w:val="auto"/>
          <w:sz w:val="24"/>
          <w:szCs w:val="24"/>
          <w:highlight w:val="none"/>
          <w:lang w:val="en-US" w:eastAsia="zh-CN"/>
        </w:rPr>
        <w:t>4.30</w:t>
      </w:r>
      <w:r>
        <w:rPr>
          <w:rFonts w:hint="eastAsia" w:ascii="宋体" w:hAnsi="宋体" w:eastAsia="宋体" w:cs="宋体"/>
          <w:b w:val="0"/>
          <w:bCs w:val="0"/>
          <w:color w:val="auto"/>
          <w:sz w:val="24"/>
          <w:szCs w:val="24"/>
          <w:highlight w:val="none"/>
        </w:rPr>
        <w:t>万</w:t>
      </w:r>
      <w:r>
        <w:rPr>
          <w:rFonts w:hint="eastAsia" w:ascii="宋体" w:hAnsi="宋体" w:eastAsia="宋体" w:cs="宋体"/>
          <w:b w:val="0"/>
          <w:bCs w:val="0"/>
          <w:color w:val="auto"/>
          <w:sz w:val="24"/>
          <w:szCs w:val="24"/>
          <w:highlight w:val="none"/>
          <w:lang w:val="en-US" w:eastAsia="zh-CN"/>
        </w:rPr>
        <w:t>m³</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排土</w:t>
      </w:r>
      <w:r>
        <w:rPr>
          <w:rFonts w:hint="eastAsia" w:ascii="宋体" w:hAnsi="宋体" w:eastAsia="宋体" w:cs="宋体"/>
          <w:b w:val="0"/>
          <w:bCs w:val="0"/>
          <w:color w:val="auto"/>
          <w:sz w:val="24"/>
          <w:szCs w:val="24"/>
          <w:highlight w:val="none"/>
        </w:rPr>
        <w:t>堆放场的容积可满足矿山产生的</w:t>
      </w:r>
      <w:r>
        <w:rPr>
          <w:rFonts w:hint="eastAsia" w:ascii="宋体" w:hAnsi="宋体" w:eastAsia="宋体" w:cs="宋体"/>
          <w:b w:val="0"/>
          <w:bCs w:val="0"/>
          <w:color w:val="auto"/>
          <w:sz w:val="24"/>
          <w:szCs w:val="24"/>
          <w:highlight w:val="none"/>
          <w:lang w:val="en-US" w:eastAsia="zh-CN"/>
        </w:rPr>
        <w:t>排土</w:t>
      </w:r>
      <w:r>
        <w:rPr>
          <w:rFonts w:hint="eastAsia" w:ascii="宋体" w:hAnsi="宋体" w:eastAsia="宋体" w:cs="宋体"/>
          <w:b w:val="0"/>
          <w:bCs w:val="0"/>
          <w:color w:val="auto"/>
          <w:sz w:val="24"/>
          <w:szCs w:val="24"/>
          <w:highlight w:val="none"/>
        </w:rPr>
        <w:t>量的需要。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③</w:t>
      </w:r>
      <w:r>
        <w:rPr>
          <w:rFonts w:hint="eastAsia" w:ascii="宋体" w:hAnsi="宋体" w:eastAsia="宋体" w:cs="宋体"/>
          <w:b w:val="0"/>
          <w:bCs w:val="0"/>
          <w:color w:val="auto"/>
          <w:sz w:val="24"/>
          <w:szCs w:val="24"/>
        </w:rPr>
        <w:t>矿部生活区</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矿部生活区布置在矿区</w:t>
      </w:r>
      <w:r>
        <w:rPr>
          <w:rFonts w:hint="eastAsia" w:ascii="宋体" w:hAnsi="宋体" w:eastAsia="宋体" w:cs="宋体"/>
          <w:b w:val="0"/>
          <w:bCs w:val="0"/>
          <w:color w:val="auto"/>
          <w:sz w:val="24"/>
          <w:szCs w:val="24"/>
          <w:lang w:val="en-US" w:eastAsia="zh-CN"/>
        </w:rPr>
        <w:t>外东北</w:t>
      </w:r>
      <w:r>
        <w:rPr>
          <w:rFonts w:hint="eastAsia" w:ascii="宋体" w:hAnsi="宋体" w:eastAsia="宋体" w:cs="宋体"/>
          <w:b w:val="0"/>
          <w:bCs w:val="0"/>
          <w:color w:val="auto"/>
          <w:sz w:val="24"/>
          <w:szCs w:val="24"/>
        </w:rPr>
        <w:t>部</w:t>
      </w:r>
      <w:r>
        <w:rPr>
          <w:rFonts w:hint="eastAsia" w:ascii="宋体" w:hAnsi="宋体" w:eastAsia="宋体" w:cs="宋体"/>
          <w:b w:val="0"/>
          <w:bCs w:val="0"/>
          <w:color w:val="auto"/>
          <w:sz w:val="24"/>
          <w:szCs w:val="24"/>
          <w:lang w:val="en-US" w:eastAsia="zh-CN"/>
        </w:rPr>
        <w:t>600m外</w:t>
      </w:r>
      <w:r>
        <w:rPr>
          <w:rFonts w:hint="eastAsia" w:ascii="宋体" w:hAnsi="宋体" w:eastAsia="宋体" w:cs="宋体"/>
          <w:b w:val="0"/>
          <w:bCs w:val="0"/>
          <w:color w:val="auto"/>
          <w:sz w:val="24"/>
          <w:szCs w:val="24"/>
        </w:rPr>
        <w:t>平坦开阔场地，</w:t>
      </w:r>
      <w:r>
        <w:rPr>
          <w:rFonts w:hint="eastAsia" w:ascii="宋体" w:hAnsi="宋体" w:eastAsia="宋体" w:cs="宋体"/>
          <w:b w:val="0"/>
          <w:bCs w:val="0"/>
          <w:color w:val="auto"/>
          <w:sz w:val="24"/>
          <w:szCs w:val="24"/>
          <w:lang w:val="en-US" w:eastAsia="zh-CN"/>
        </w:rPr>
        <w:t>占地面积945平方米，</w:t>
      </w:r>
      <w:r>
        <w:rPr>
          <w:rFonts w:hint="eastAsia" w:ascii="宋体" w:hAnsi="宋体" w:eastAsia="宋体" w:cs="宋体"/>
          <w:b w:val="0"/>
          <w:bCs w:val="0"/>
          <w:color w:val="auto"/>
          <w:sz w:val="24"/>
          <w:szCs w:val="24"/>
        </w:rPr>
        <w:t>与采矿场最近距离</w:t>
      </w:r>
      <w:r>
        <w:rPr>
          <w:rFonts w:hint="eastAsia" w:ascii="宋体" w:hAnsi="宋体" w:eastAsia="宋体" w:cs="宋体"/>
          <w:b w:val="0"/>
          <w:bCs w:val="0"/>
          <w:color w:val="auto"/>
          <w:sz w:val="24"/>
          <w:szCs w:val="24"/>
          <w:lang w:val="en-US" w:eastAsia="zh-CN"/>
        </w:rPr>
        <w:t>160</w:t>
      </w:r>
      <w:r>
        <w:rPr>
          <w:rFonts w:hint="eastAsia" w:ascii="宋体" w:hAnsi="宋体" w:eastAsia="宋体" w:cs="宋体"/>
          <w:b w:val="0"/>
          <w:bCs w:val="0"/>
          <w:color w:val="auto"/>
          <w:sz w:val="24"/>
          <w:szCs w:val="24"/>
        </w:rPr>
        <w:t>米</w:t>
      </w:r>
      <w:r>
        <w:rPr>
          <w:rFonts w:hint="eastAsia" w:ascii="宋体" w:hAnsi="宋体" w:eastAsia="宋体" w:cs="宋体"/>
          <w:b w:val="0"/>
          <w:bCs w:val="0"/>
          <w:color w:val="auto"/>
          <w:sz w:val="24"/>
          <w:szCs w:val="24"/>
          <w:lang w:eastAsia="zh-CN"/>
        </w:rPr>
        <w:t>。矿部生活区布置办公室、宿舍、食堂、活动室、浴室、机修间、库房等</w:t>
      </w:r>
      <w:r>
        <w:rPr>
          <w:rFonts w:hint="eastAsia" w:ascii="宋体" w:hAnsi="宋体" w:eastAsia="宋体" w:cs="宋体"/>
          <w:b w:val="0"/>
          <w:bCs w:val="0"/>
          <w:color w:val="auto"/>
          <w:sz w:val="24"/>
          <w:szCs w:val="24"/>
          <w:lang w:val="en-US" w:eastAsia="zh-CN"/>
        </w:rPr>
        <w:t>砖混</w:t>
      </w:r>
      <w:r>
        <w:rPr>
          <w:rFonts w:hint="eastAsia" w:ascii="宋体" w:hAnsi="宋体" w:eastAsia="宋体" w:cs="宋体"/>
          <w:b w:val="0"/>
          <w:bCs w:val="0"/>
          <w:color w:val="auto"/>
          <w:sz w:val="24"/>
          <w:szCs w:val="24"/>
          <w:lang w:eastAsia="zh-CN"/>
        </w:rPr>
        <w:t>建构筑物，建筑面积</w:t>
      </w:r>
      <w:r>
        <w:rPr>
          <w:rFonts w:hint="eastAsia" w:ascii="宋体" w:hAnsi="宋体" w:eastAsia="宋体" w:cs="宋体"/>
          <w:b w:val="0"/>
          <w:bCs w:val="0"/>
          <w:color w:val="auto"/>
          <w:sz w:val="24"/>
          <w:szCs w:val="24"/>
          <w:lang w:val="en-US" w:eastAsia="zh-CN"/>
        </w:rPr>
        <w:t>389</w:t>
      </w:r>
      <w:r>
        <w:rPr>
          <w:rFonts w:hint="eastAsia" w:ascii="宋体" w:hAnsi="宋体" w:eastAsia="宋体" w:cs="宋体"/>
          <w:b w:val="0"/>
          <w:bCs w:val="0"/>
          <w:color w:val="auto"/>
          <w:sz w:val="24"/>
          <w:szCs w:val="24"/>
          <w:lang w:eastAsia="zh-CN"/>
        </w:rPr>
        <w:t>平方米。矿部生活区场地岩性为第四系，地形坡度</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④矿山道路</w:t>
      </w:r>
    </w:p>
    <w:p>
      <w:pPr>
        <w:keepNext w:val="0"/>
        <w:keepLines w:val="0"/>
        <w:pageBreakBefore w:val="0"/>
        <w:widowControl w:val="0"/>
        <w:kinsoku/>
        <w:wordWrap/>
        <w:overflowPunct/>
        <w:autoSpaceDE/>
        <w:autoSpaceDN/>
        <w:bidi w:val="0"/>
        <w:adjustRightInd/>
        <w:snapToGrid/>
        <w:spacing w:line="360" w:lineRule="auto"/>
        <w:ind w:firstLine="472" w:firstLineChars="200"/>
        <w:jc w:val="both"/>
        <w:textAlignment w:val="auto"/>
        <w:outlineLvl w:val="9"/>
        <w:rPr>
          <w:rFonts w:hint="eastAsia" w:ascii="宋体" w:hAnsi="宋体" w:cs="宋体"/>
          <w:b w:val="0"/>
          <w:bCs w:val="0"/>
          <w:color w:val="auto"/>
          <w:spacing w:val="-2"/>
          <w:sz w:val="24"/>
          <w:szCs w:val="24"/>
          <w:lang w:val="zh-CN"/>
        </w:rPr>
      </w:pPr>
      <w:r>
        <w:rPr>
          <w:rFonts w:hint="eastAsia" w:ascii="宋体" w:hAnsi="宋体" w:eastAsia="宋体" w:cs="宋体"/>
          <w:b w:val="0"/>
          <w:bCs w:val="0"/>
          <w:color w:val="auto"/>
          <w:spacing w:val="-2"/>
          <w:sz w:val="24"/>
          <w:szCs w:val="24"/>
          <w:lang w:val="zh-CN"/>
        </w:rPr>
        <w:t>矿山运输道路三级，运输道路</w:t>
      </w:r>
      <w:r>
        <w:rPr>
          <w:rFonts w:hint="eastAsia" w:ascii="宋体" w:hAnsi="宋体" w:eastAsia="宋体" w:cs="宋体"/>
          <w:b w:val="0"/>
          <w:bCs w:val="0"/>
          <w:color w:val="auto"/>
          <w:spacing w:val="-2"/>
          <w:sz w:val="24"/>
          <w:szCs w:val="24"/>
          <w:lang w:val="en-US" w:eastAsia="zh-CN"/>
        </w:rPr>
        <w:t>全长1100米，路面宽度10</w:t>
      </w:r>
      <w:r>
        <w:rPr>
          <w:rFonts w:hint="eastAsia" w:ascii="宋体" w:hAnsi="宋体" w:eastAsia="宋体" w:cs="宋体"/>
          <w:b w:val="0"/>
          <w:bCs w:val="0"/>
          <w:color w:val="auto"/>
          <w:spacing w:val="-2"/>
          <w:sz w:val="24"/>
          <w:szCs w:val="24"/>
          <w:lang w:val="zh-CN"/>
        </w:rPr>
        <w:t>米，纵向坡度为8%，平均坡度</w:t>
      </w:r>
      <w:r>
        <w:rPr>
          <w:rFonts w:hint="eastAsia" w:ascii="宋体" w:hAnsi="宋体" w:eastAsia="宋体" w:cs="宋体"/>
          <w:b w:val="0"/>
          <w:bCs w:val="0"/>
          <w:color w:val="auto"/>
          <w:spacing w:val="-2"/>
          <w:sz w:val="24"/>
          <w:szCs w:val="24"/>
          <w:lang w:val="en-US" w:eastAsia="zh-CN"/>
        </w:rPr>
        <w:t>6%，</w:t>
      </w:r>
      <w:r>
        <w:rPr>
          <w:rFonts w:hint="eastAsia" w:ascii="宋体" w:hAnsi="宋体" w:eastAsia="宋体" w:cs="宋体"/>
          <w:b w:val="0"/>
          <w:bCs w:val="0"/>
          <w:color w:val="auto"/>
          <w:spacing w:val="-2"/>
          <w:sz w:val="24"/>
          <w:szCs w:val="24"/>
          <w:lang w:val="zh-CN"/>
        </w:rPr>
        <w:t>最小转弯半径为15米。</w:t>
      </w:r>
    </w:p>
    <w:p>
      <w:pPr>
        <w:spacing w:line="360" w:lineRule="auto"/>
        <w:rPr>
          <w:color w:val="auto"/>
        </w:rPr>
      </w:pPr>
    </w:p>
    <w:p>
      <w:pPr>
        <w:spacing w:line="360" w:lineRule="auto"/>
        <w:ind w:firstLine="400" w:firstLineChars="200"/>
        <w:rPr>
          <w:rFonts w:hint="default" w:eastAsia="宋体"/>
          <w:color w:val="auto"/>
          <w:lang w:val="en-US" w:eastAsia="zh-CN"/>
        </w:rPr>
      </w:pPr>
      <w:r>
        <w:rPr>
          <w:rFonts w:hint="eastAsia"/>
          <w:color w:val="auto"/>
          <w:lang w:val="en-US" w:eastAsia="zh-CN"/>
        </w:rPr>
        <w:t>注释：根据露天开采设计，矿区所产废石量较小，共计6.36万m³，总体剥采比0.011m³/m³，其中北部开采面废石0.96万m³，南部开采面废石5.40万m³。矿山先开采北部开采面、待其开采完毕后再开采南北开采面。北部开采面剥离废石用于道路修建及车挡建设，所以不设废石场，南部开采面所产生废石可拉至北部开采面所形成的采坑内。</w:t>
      </w:r>
    </w:p>
    <w:p>
      <w:pPr>
        <w:spacing w:line="240" w:lineRule="auto"/>
        <w:ind w:firstLine="422" w:firstLineChars="200"/>
        <w:jc w:val="center"/>
        <w:rPr>
          <w:rFonts w:hint="eastAsia" w:ascii="宋体" w:hAnsi="宋体" w:eastAsia="宋体" w:cs="宋体"/>
          <w:b/>
          <w:bCs/>
          <w:color w:val="auto"/>
          <w:sz w:val="21"/>
          <w:szCs w:val="21"/>
          <w:lang w:val="zh-CN" w:eastAsia="zh-CN"/>
        </w:rPr>
      </w:pPr>
      <w:r>
        <w:rPr>
          <w:rFonts w:hint="eastAsia" w:ascii="宋体" w:hAnsi="宋体" w:eastAsia="宋体" w:cs="宋体"/>
          <w:b/>
          <w:bCs/>
          <w:color w:val="auto"/>
          <w:sz w:val="21"/>
          <w:szCs w:val="21"/>
          <w:lang w:val="en-US" w:eastAsia="zh-CN"/>
        </w:rPr>
        <w:t xml:space="preserve">图2-2-1 </w:t>
      </w:r>
      <w:r>
        <w:rPr>
          <w:rFonts w:hint="eastAsia" w:ascii="宋体" w:hAnsi="宋体" w:eastAsia="宋体" w:cs="宋体"/>
          <w:b/>
          <w:bCs/>
          <w:color w:val="auto"/>
          <w:sz w:val="21"/>
          <w:szCs w:val="21"/>
          <w:lang w:val="zh-CN" w:eastAsia="zh-CN"/>
        </w:rPr>
        <w:t>矿山总平面布置</w:t>
      </w:r>
      <w:r>
        <w:rPr>
          <w:rFonts w:hint="eastAsia" w:ascii="宋体" w:hAnsi="宋体" w:eastAsia="宋体" w:cs="宋体"/>
          <w:b/>
          <w:bCs/>
          <w:color w:val="auto"/>
          <w:sz w:val="21"/>
          <w:szCs w:val="21"/>
          <w:lang w:val="en-US" w:eastAsia="zh-CN"/>
        </w:rPr>
        <w:t>图</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（二）防治水方案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（1）开采境界外修建截水沟，将地表水导流至开采境界外，防止地表水流入采矿场，影响采矿场生产和边坡稳定。设计在采矿场最终边坡顶部10米处修建截水沟，截水沟沿采矿场周围布置。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rPr>
        <w:t>（2）在安全清扫平台上设置排水沟，露天采矿场汇水经排水沟自流排至采矿场外</w:t>
      </w:r>
      <w:r>
        <w:rPr>
          <w:rFonts w:hint="eastAsia" w:ascii="宋体" w:hAnsi="宋体" w:eastAsia="宋体" w:cs="宋体"/>
          <w:color w:val="auto"/>
          <w:spacing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w:t>
      </w:r>
      <w:r>
        <w:rPr>
          <w:rFonts w:hint="eastAsia" w:ascii="宋体" w:hAnsi="宋体" w:eastAsia="宋体" w:cs="宋体"/>
          <w:color w:val="auto"/>
          <w:spacing w:val="-2"/>
          <w:sz w:val="24"/>
          <w:szCs w:val="24"/>
          <w:lang w:val="en-US" w:eastAsia="zh-CN"/>
        </w:rPr>
        <w:t>3</w:t>
      </w:r>
      <w:r>
        <w:rPr>
          <w:rFonts w:hint="eastAsia" w:ascii="宋体" w:hAnsi="宋体" w:eastAsia="宋体" w:cs="宋体"/>
          <w:color w:val="auto"/>
          <w:spacing w:val="-2"/>
          <w:sz w:val="24"/>
          <w:szCs w:val="24"/>
        </w:rPr>
        <w:t>）在</w:t>
      </w:r>
      <w:r>
        <w:rPr>
          <w:rFonts w:hint="eastAsia" w:ascii="宋体" w:hAnsi="宋体" w:eastAsia="宋体" w:cs="宋体"/>
          <w:color w:val="auto"/>
          <w:spacing w:val="-2"/>
          <w:sz w:val="24"/>
          <w:szCs w:val="24"/>
          <w:lang w:eastAsia="zh-CN"/>
        </w:rPr>
        <w:t>拟建</w:t>
      </w:r>
      <w:r>
        <w:rPr>
          <w:rFonts w:hint="eastAsia" w:ascii="宋体" w:hAnsi="宋体" w:eastAsia="宋体" w:cs="宋体"/>
          <w:color w:val="auto"/>
          <w:spacing w:val="-2"/>
          <w:sz w:val="24"/>
          <w:szCs w:val="24"/>
          <w:lang w:val="en-US" w:eastAsia="zh-CN"/>
        </w:rPr>
        <w:t>排土</w:t>
      </w:r>
      <w:r>
        <w:rPr>
          <w:rFonts w:hint="eastAsia" w:ascii="宋体" w:hAnsi="宋体" w:eastAsia="宋体" w:cs="宋体"/>
          <w:color w:val="auto"/>
          <w:spacing w:val="-2"/>
          <w:sz w:val="24"/>
          <w:szCs w:val="24"/>
          <w:lang w:eastAsia="zh-CN"/>
        </w:rPr>
        <w:t>场</w:t>
      </w:r>
      <w:r>
        <w:rPr>
          <w:rFonts w:hint="eastAsia" w:ascii="宋体" w:hAnsi="宋体" w:eastAsia="宋体" w:cs="宋体"/>
          <w:color w:val="auto"/>
          <w:spacing w:val="-2"/>
          <w:sz w:val="24"/>
          <w:szCs w:val="24"/>
        </w:rPr>
        <w:t>外四周设置截水沟，防止地表水流入场内浸泡、冲刷边坡。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lang w:val="en-US" w:eastAsia="zh-CN"/>
        </w:rPr>
        <w:t>4</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lang w:val="en-US" w:eastAsia="zh-CN"/>
        </w:rPr>
        <w:t>截水沟参数：截排沟采用梯形断面，最小底宽0.4m，顶部宽度1.0米，最小深度0.3m，两侧按1:1放坡。</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bookmarkStart w:id="119" w:name="_Toc7531"/>
      <w:bookmarkStart w:id="120" w:name="_Toc1266"/>
      <w:r>
        <w:rPr>
          <w:rFonts w:hint="eastAsia" w:ascii="宋体" w:hAnsi="宋体" w:eastAsia="宋体" w:cs="宋体"/>
          <w:b/>
          <w:color w:val="auto"/>
          <w:sz w:val="30"/>
          <w:szCs w:val="30"/>
          <w:highlight w:val="none"/>
        </w:rPr>
        <w:t>三、矿床开采</w:t>
      </w:r>
      <w:bookmarkEnd w:id="119"/>
      <w:bookmarkEnd w:id="120"/>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（一）露天开采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outlineLvl w:val="9"/>
        <w:rPr>
          <w:rFonts w:hint="eastAsia" w:ascii="宋体" w:hAnsi="宋体" w:eastAsia="宋体" w:cs="宋体"/>
          <w:b/>
          <w:bCs/>
          <w:color w:val="auto"/>
          <w:spacing w:val="-2"/>
          <w:sz w:val="24"/>
          <w:szCs w:val="24"/>
        </w:rPr>
      </w:pPr>
      <w:r>
        <w:rPr>
          <w:rFonts w:hint="eastAsia" w:ascii="宋体" w:hAnsi="宋体" w:eastAsia="宋体" w:cs="宋体"/>
          <w:b/>
          <w:bCs/>
          <w:color w:val="auto"/>
          <w:spacing w:val="-2"/>
          <w:sz w:val="24"/>
          <w:szCs w:val="24"/>
          <w:lang w:val="en-US" w:eastAsia="zh-CN"/>
        </w:rPr>
        <w:t>1、</w:t>
      </w:r>
      <w:r>
        <w:rPr>
          <w:rFonts w:hint="eastAsia" w:ascii="宋体" w:hAnsi="宋体" w:eastAsia="宋体" w:cs="宋体"/>
          <w:b/>
          <w:bCs/>
          <w:color w:val="auto"/>
          <w:spacing w:val="-2"/>
          <w:sz w:val="24"/>
          <w:szCs w:val="24"/>
        </w:rPr>
        <w:t>矿床开采现状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en-US" w:eastAsia="zh-CN"/>
        </w:rPr>
      </w:pPr>
      <w:r>
        <w:rPr>
          <w:rFonts w:hint="eastAsia" w:ascii="宋体" w:hAnsi="宋体" w:eastAsia="宋体" w:cs="宋体"/>
          <w:color w:val="auto"/>
          <w:spacing w:val="-2"/>
          <w:sz w:val="24"/>
          <w:szCs w:val="24"/>
          <w:lang w:val="en-US" w:eastAsia="zh-CN"/>
        </w:rPr>
        <w:t>矿山为新建矿山，矿区范围内无相关建构筑物、设备及其他。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outlineLvl w:val="9"/>
        <w:rPr>
          <w:rFonts w:hint="eastAsia" w:ascii="宋体" w:hAnsi="宋体" w:eastAsia="宋体" w:cs="宋体"/>
          <w:b/>
          <w:bCs/>
          <w:color w:val="auto"/>
          <w:spacing w:val="-2"/>
          <w:sz w:val="24"/>
          <w:szCs w:val="24"/>
          <w:lang w:val="en-US" w:eastAsia="zh-CN"/>
        </w:rPr>
      </w:pPr>
      <w:r>
        <w:rPr>
          <w:rFonts w:hint="eastAsia" w:ascii="宋体" w:hAnsi="宋体" w:eastAsia="宋体" w:cs="宋体"/>
          <w:b/>
          <w:bCs/>
          <w:color w:val="auto"/>
          <w:spacing w:val="-2"/>
          <w:sz w:val="24"/>
          <w:szCs w:val="24"/>
          <w:lang w:val="en-US" w:eastAsia="zh-CN"/>
        </w:rPr>
        <w:t>2、开采方式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矿体出露地表，处于最低侵蚀基准面之上，露天开采条件好。根据矿体赋存特征及地形条件，设计采用</w:t>
      </w:r>
      <w:r>
        <w:rPr>
          <w:rFonts w:hint="eastAsia" w:ascii="宋体" w:hAnsi="宋体" w:eastAsia="宋体" w:cs="宋体"/>
          <w:color w:val="auto"/>
          <w:sz w:val="24"/>
          <w:szCs w:val="24"/>
          <w:lang w:val="en-US" w:eastAsia="zh-CN"/>
        </w:rPr>
        <w:t>山坡-凹陷</w:t>
      </w:r>
      <w:r>
        <w:rPr>
          <w:rFonts w:hint="eastAsia" w:ascii="宋体" w:hAnsi="宋体" w:eastAsia="宋体" w:cs="宋体"/>
          <w:color w:val="auto"/>
          <w:spacing w:val="-2"/>
          <w:sz w:val="24"/>
          <w:szCs w:val="24"/>
          <w:lang w:eastAsia="zh-CN"/>
        </w:rPr>
        <w:t>露天开采方式</w:t>
      </w:r>
      <w:r>
        <w:rPr>
          <w:rFonts w:hint="eastAsia" w:ascii="宋体" w:hAnsi="宋体" w:eastAsia="宋体" w:cs="宋体"/>
          <w:color w:val="auto"/>
          <w:spacing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outlineLvl w:val="9"/>
        <w:rPr>
          <w:rFonts w:hint="eastAsia" w:ascii="宋体" w:hAnsi="宋体" w:eastAsia="宋体" w:cs="宋体"/>
          <w:b/>
          <w:bCs/>
          <w:color w:val="auto"/>
          <w:spacing w:val="-2"/>
          <w:sz w:val="24"/>
          <w:szCs w:val="24"/>
          <w:lang w:val="en-US" w:eastAsia="zh-CN"/>
        </w:rPr>
      </w:pPr>
      <w:r>
        <w:rPr>
          <w:rFonts w:hint="eastAsia" w:ascii="宋体" w:hAnsi="宋体" w:eastAsia="宋体" w:cs="宋体"/>
          <w:b/>
          <w:bCs/>
          <w:color w:val="auto"/>
          <w:spacing w:val="-2"/>
          <w:sz w:val="24"/>
          <w:szCs w:val="24"/>
          <w:lang w:val="en-US" w:eastAsia="zh-CN"/>
        </w:rPr>
        <w:t>3、开采范围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设计开采范围为</w:t>
      </w:r>
      <w:r>
        <w:rPr>
          <w:rFonts w:hint="eastAsia" w:ascii="宋体" w:hAnsi="宋体" w:eastAsia="宋体" w:cs="宋体"/>
          <w:color w:val="auto"/>
          <w:spacing w:val="-2"/>
          <w:sz w:val="24"/>
          <w:szCs w:val="24"/>
          <w:lang w:eastAsia="zh-CN"/>
        </w:rPr>
        <w:t>核实</w:t>
      </w:r>
      <w:r>
        <w:rPr>
          <w:rFonts w:hint="eastAsia" w:ascii="宋体" w:hAnsi="宋体" w:eastAsia="宋体" w:cs="宋体"/>
          <w:color w:val="auto"/>
          <w:spacing w:val="-2"/>
          <w:sz w:val="24"/>
          <w:szCs w:val="24"/>
        </w:rPr>
        <w:t>报告的资源储量估算范围，资源量估算标高</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2"/>
          <w:sz w:val="24"/>
          <w:szCs w:val="24"/>
          <w:lang w:val="en-US" w:eastAsia="zh-CN"/>
        </w:rPr>
        <w:t>-</w:t>
      </w:r>
      <w:r>
        <w:rPr>
          <w:rFonts w:hint="eastAsia" w:ascii="宋体" w:hAnsi="宋体" w:cs="宋体"/>
          <w:color w:val="auto"/>
          <w:sz w:val="24"/>
          <w:szCs w:val="24"/>
          <w:highlight w:val="none"/>
          <w:lang w:val="en-US" w:eastAsia="zh-CN"/>
        </w:rPr>
        <w:t>****</w:t>
      </w:r>
      <w:r>
        <w:rPr>
          <w:rFonts w:hint="eastAsia" w:ascii="宋体" w:hAnsi="宋体" w:eastAsia="宋体" w:cs="宋体"/>
          <w:color w:val="auto"/>
          <w:spacing w:val="-2"/>
          <w:sz w:val="24"/>
          <w:szCs w:val="24"/>
          <w:lang w:val="en-US" w:eastAsia="zh-CN"/>
        </w:rPr>
        <w:t>m</w:t>
      </w:r>
      <w:r>
        <w:rPr>
          <w:rFonts w:hint="eastAsia" w:ascii="宋体" w:hAnsi="宋体" w:eastAsia="宋体" w:cs="宋体"/>
          <w:color w:val="auto"/>
          <w:spacing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outlineLvl w:val="9"/>
        <w:rPr>
          <w:rFonts w:hint="eastAsia" w:ascii="宋体" w:hAnsi="宋体" w:eastAsia="宋体" w:cs="宋体"/>
          <w:b/>
          <w:bCs/>
          <w:color w:val="auto"/>
          <w:spacing w:val="-2"/>
          <w:sz w:val="24"/>
          <w:szCs w:val="24"/>
        </w:rPr>
      </w:pPr>
      <w:r>
        <w:rPr>
          <w:rFonts w:hint="eastAsia" w:ascii="宋体" w:hAnsi="宋体" w:eastAsia="宋体" w:cs="宋体"/>
          <w:b/>
          <w:bCs/>
          <w:color w:val="auto"/>
          <w:spacing w:val="-2"/>
          <w:sz w:val="24"/>
          <w:szCs w:val="24"/>
          <w:lang w:val="en-US" w:eastAsia="zh-CN"/>
        </w:rPr>
        <w:t>4</w:t>
      </w:r>
      <w:r>
        <w:rPr>
          <w:rFonts w:hint="eastAsia" w:ascii="宋体" w:hAnsi="宋体" w:eastAsia="宋体" w:cs="宋体"/>
          <w:b/>
          <w:bCs/>
          <w:color w:val="auto"/>
          <w:spacing w:val="-2"/>
          <w:sz w:val="24"/>
          <w:szCs w:val="24"/>
        </w:rPr>
        <w:t>、露天开采境界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1）露天境界圈定原则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（1）开采境界在划定矿区范围批复的矿区范围之内。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（2）充分利用矿产资源，尽可能把较多的矿石圈定在开采境界内，发挥露天开采的优越性。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（3）选择合理的边坡参数，确保边坡的稳定性，以保证露天采场安全生产。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rPr>
        <w:t>（4）采场应满足机械化开采的要求。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b/>
          <w:bCs/>
          <w:color w:val="auto"/>
          <w:spacing w:val="-2"/>
          <w:sz w:val="24"/>
          <w:szCs w:val="24"/>
        </w:rPr>
      </w:pPr>
      <w:r>
        <w:rPr>
          <w:rFonts w:hint="eastAsia" w:ascii="宋体" w:hAnsi="宋体" w:eastAsia="宋体" w:cs="宋体"/>
          <w:color w:val="auto"/>
          <w:spacing w:val="-2"/>
          <w:sz w:val="24"/>
          <w:szCs w:val="24"/>
        </w:rPr>
        <w:t>（5）境界内剥采比尽可能小。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outlineLvl w:val="9"/>
        <w:rPr>
          <w:rFonts w:hint="eastAsia" w:ascii="宋体" w:hAnsi="宋体" w:eastAsia="宋体" w:cs="宋体"/>
          <w:b/>
          <w:bCs/>
          <w:color w:val="auto"/>
          <w:spacing w:val="-2"/>
          <w:sz w:val="24"/>
          <w:szCs w:val="24"/>
        </w:rPr>
      </w:pPr>
      <w:r>
        <w:rPr>
          <w:rFonts w:hint="eastAsia" w:ascii="宋体" w:hAnsi="宋体" w:eastAsia="宋体" w:cs="宋体"/>
          <w:b/>
          <w:bCs/>
          <w:color w:val="auto"/>
          <w:spacing w:val="-2"/>
          <w:sz w:val="24"/>
          <w:szCs w:val="24"/>
        </w:rPr>
        <w:t>3、圈定露天开采境界的参数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（1）最终边坡角：综合矿床开采条件、地形地貌等条件，并类比相似矿山，最终边坡角度不大于</w:t>
      </w:r>
      <w:r>
        <w:rPr>
          <w:rFonts w:hint="eastAsia" w:ascii="宋体" w:hAnsi="宋体" w:eastAsia="宋体" w:cs="宋体"/>
          <w:color w:val="auto"/>
          <w:spacing w:val="-2"/>
          <w:sz w:val="24"/>
          <w:szCs w:val="24"/>
          <w:lang w:val="en-US" w:eastAsia="zh-CN"/>
        </w:rPr>
        <w:t>45</w:t>
      </w:r>
      <w:r>
        <w:rPr>
          <w:rFonts w:hint="eastAsia" w:ascii="宋体" w:hAnsi="宋体" w:eastAsia="宋体" w:cs="宋体"/>
          <w:color w:val="auto"/>
          <w:spacing w:val="-2"/>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（2）台阶高度：最终台阶高度为1</w:t>
      </w:r>
      <w:r>
        <w:rPr>
          <w:rFonts w:hint="eastAsia" w:ascii="宋体" w:hAnsi="宋体" w:eastAsia="宋体" w:cs="宋体"/>
          <w:color w:val="auto"/>
          <w:spacing w:val="-2"/>
          <w:sz w:val="24"/>
          <w:szCs w:val="24"/>
          <w:lang w:val="en-US" w:eastAsia="zh-CN"/>
        </w:rPr>
        <w:t>0</w:t>
      </w:r>
      <w:r>
        <w:rPr>
          <w:rFonts w:hint="eastAsia" w:ascii="宋体" w:hAnsi="宋体" w:eastAsia="宋体" w:cs="宋体"/>
          <w:color w:val="auto"/>
          <w:spacing w:val="-2"/>
          <w:sz w:val="24"/>
          <w:szCs w:val="24"/>
          <w:lang w:val="zh-CN"/>
        </w:rPr>
        <w:t>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（3）最终台阶坡面角：</w:t>
      </w:r>
      <w:r>
        <w:rPr>
          <w:rFonts w:hint="eastAsia" w:ascii="宋体" w:hAnsi="宋体" w:eastAsia="宋体" w:cs="宋体"/>
          <w:color w:val="auto"/>
          <w:spacing w:val="-2"/>
          <w:sz w:val="24"/>
          <w:szCs w:val="24"/>
          <w:lang w:val="en-US" w:eastAsia="zh-CN"/>
        </w:rPr>
        <w:t>60</w:t>
      </w:r>
      <w:r>
        <w:rPr>
          <w:rFonts w:hint="eastAsia" w:ascii="宋体" w:hAnsi="宋体" w:eastAsia="宋体" w:cs="宋体"/>
          <w:color w:val="auto"/>
          <w:spacing w:val="-2"/>
          <w:sz w:val="24"/>
          <w:szCs w:val="24"/>
          <w:lang w:val="zh-CN"/>
        </w:rPr>
        <w:t>°（</w:t>
      </w:r>
      <w:r>
        <w:rPr>
          <w:rFonts w:hint="eastAsia" w:ascii="宋体" w:hAnsi="宋体" w:eastAsia="宋体" w:cs="宋体"/>
          <w:color w:val="auto"/>
          <w:spacing w:val="-2"/>
          <w:sz w:val="24"/>
          <w:szCs w:val="24"/>
          <w:lang w:val="en-US" w:eastAsia="zh-CN"/>
        </w:rPr>
        <w:t>矿体及围岩强度不大</w:t>
      </w:r>
      <w:r>
        <w:rPr>
          <w:rFonts w:hint="eastAsia" w:ascii="宋体" w:hAnsi="宋体" w:eastAsia="宋体" w:cs="宋体"/>
          <w:color w:val="auto"/>
          <w:spacing w:val="-2"/>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（4）安全平台宽度</w:t>
      </w:r>
      <w:r>
        <w:rPr>
          <w:rFonts w:hint="eastAsia" w:ascii="宋体" w:hAnsi="宋体" w:eastAsia="宋体" w:cs="宋体"/>
          <w:color w:val="auto"/>
          <w:spacing w:val="-2"/>
          <w:sz w:val="24"/>
          <w:szCs w:val="24"/>
          <w:lang w:val="en-US" w:eastAsia="zh-CN"/>
        </w:rPr>
        <w:t>5</w:t>
      </w:r>
      <w:r>
        <w:rPr>
          <w:rFonts w:hint="eastAsia" w:ascii="宋体" w:hAnsi="宋体" w:eastAsia="宋体" w:cs="宋体"/>
          <w:color w:val="auto"/>
          <w:spacing w:val="-2"/>
          <w:sz w:val="24"/>
          <w:szCs w:val="24"/>
          <w:lang w:val="zh-CN"/>
        </w:rPr>
        <w:t>米；每隔2个安全平台，设置一个清扫平台，宽度</w:t>
      </w:r>
      <w:r>
        <w:rPr>
          <w:rFonts w:hint="eastAsia" w:ascii="宋体" w:hAnsi="宋体" w:eastAsia="宋体" w:cs="宋体"/>
          <w:color w:val="auto"/>
          <w:spacing w:val="-2"/>
          <w:sz w:val="24"/>
          <w:szCs w:val="24"/>
          <w:lang w:val="en-US" w:eastAsia="zh-CN"/>
        </w:rPr>
        <w:t>8</w:t>
      </w:r>
      <w:r>
        <w:rPr>
          <w:rFonts w:hint="eastAsia" w:ascii="宋体" w:hAnsi="宋体" w:eastAsia="宋体" w:cs="宋体"/>
          <w:color w:val="auto"/>
          <w:spacing w:val="-2"/>
          <w:sz w:val="24"/>
          <w:szCs w:val="24"/>
          <w:lang w:val="zh-CN"/>
        </w:rPr>
        <w:t>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rPr>
      </w:pPr>
      <w:r>
        <w:rPr>
          <w:rFonts w:hint="eastAsia" w:ascii="宋体" w:hAnsi="宋体" w:eastAsia="宋体" w:cs="宋体"/>
          <w:color w:val="auto"/>
          <w:spacing w:val="-2"/>
          <w:sz w:val="24"/>
          <w:szCs w:val="24"/>
          <w:lang w:val="zh-CN"/>
        </w:rPr>
        <w:t>（5）最小底宽</w:t>
      </w:r>
      <w:r>
        <w:rPr>
          <w:rFonts w:hint="eastAsia" w:ascii="宋体" w:hAnsi="宋体" w:eastAsia="宋体" w:cs="宋体"/>
          <w:color w:val="auto"/>
          <w:spacing w:val="-2"/>
          <w:sz w:val="24"/>
          <w:szCs w:val="24"/>
          <w:lang w:val="en-US" w:eastAsia="zh-CN"/>
        </w:rPr>
        <w:t>40</w:t>
      </w:r>
      <w:r>
        <w:rPr>
          <w:rFonts w:hint="eastAsia" w:ascii="宋体" w:hAnsi="宋体" w:eastAsia="宋体" w:cs="宋体"/>
          <w:color w:val="auto"/>
          <w:spacing w:val="-2"/>
          <w:sz w:val="24"/>
          <w:szCs w:val="24"/>
          <w:lang w:val="zh-CN"/>
        </w:rPr>
        <w:t>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4" w:firstLineChars="200"/>
        <w:jc w:val="both"/>
        <w:textAlignment w:val="auto"/>
        <w:outlineLvl w:val="9"/>
        <w:rPr>
          <w:rFonts w:hint="eastAsia" w:ascii="宋体" w:hAnsi="宋体" w:eastAsia="宋体" w:cs="宋体"/>
          <w:b/>
          <w:bCs/>
          <w:color w:val="auto"/>
          <w:spacing w:val="-2"/>
          <w:sz w:val="24"/>
          <w:szCs w:val="24"/>
        </w:rPr>
      </w:pPr>
      <w:r>
        <w:rPr>
          <w:rFonts w:hint="eastAsia" w:ascii="宋体" w:hAnsi="宋体" w:eastAsia="宋体" w:cs="宋体"/>
          <w:b/>
          <w:bCs/>
          <w:color w:val="auto"/>
          <w:spacing w:val="-2"/>
          <w:sz w:val="24"/>
          <w:szCs w:val="24"/>
        </w:rPr>
        <w:t>4、露天开采境界圈定结果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设计圈定为</w:t>
      </w:r>
      <w:r>
        <w:rPr>
          <w:rFonts w:hint="eastAsia" w:ascii="宋体" w:hAnsi="宋体" w:eastAsia="宋体" w:cs="宋体"/>
          <w:color w:val="auto"/>
          <w:spacing w:val="-2"/>
          <w:sz w:val="24"/>
          <w:szCs w:val="24"/>
          <w:lang w:val="en-US" w:eastAsia="zh-CN"/>
        </w:rPr>
        <w:t>2</w:t>
      </w:r>
      <w:r>
        <w:rPr>
          <w:rFonts w:hint="eastAsia" w:ascii="宋体" w:hAnsi="宋体" w:eastAsia="宋体" w:cs="宋体"/>
          <w:color w:val="auto"/>
          <w:spacing w:val="-2"/>
          <w:sz w:val="24"/>
          <w:szCs w:val="24"/>
          <w:lang w:val="zh-CN"/>
        </w:rPr>
        <w:t>个开采</w:t>
      </w:r>
      <w:r>
        <w:rPr>
          <w:rFonts w:hint="eastAsia" w:ascii="宋体" w:hAnsi="宋体" w:eastAsia="宋体" w:cs="宋体"/>
          <w:color w:val="auto"/>
          <w:spacing w:val="-2"/>
          <w:sz w:val="24"/>
          <w:szCs w:val="24"/>
          <w:lang w:val="en-US" w:eastAsia="zh-CN"/>
        </w:rPr>
        <w:t>面（北部开采面和南部开采面）</w:t>
      </w:r>
      <w:r>
        <w:rPr>
          <w:rFonts w:hint="eastAsia" w:ascii="宋体" w:hAnsi="宋体" w:eastAsia="宋体" w:cs="宋体"/>
          <w:color w:val="auto"/>
          <w:spacing w:val="-2"/>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开采境界构成要素，详见表2-</w:t>
      </w:r>
      <w:r>
        <w:rPr>
          <w:rFonts w:hint="eastAsia" w:ascii="宋体" w:hAnsi="宋体" w:eastAsia="宋体" w:cs="宋体"/>
          <w:color w:val="auto"/>
          <w:spacing w:val="-2"/>
          <w:sz w:val="24"/>
          <w:szCs w:val="24"/>
          <w:lang w:val="en-US" w:eastAsia="zh-CN"/>
        </w:rPr>
        <w:t>3-1，分层矿岩量详见表2-3-2</w:t>
      </w:r>
      <w:r>
        <w:rPr>
          <w:rFonts w:hint="eastAsia" w:ascii="宋体" w:hAnsi="宋体" w:eastAsia="宋体" w:cs="宋体"/>
          <w:color w:val="auto"/>
          <w:spacing w:val="-2"/>
          <w:sz w:val="24"/>
          <w:szCs w:val="24"/>
          <w:lang w:val="zh-CN"/>
        </w:rPr>
        <w:t>。</w:t>
      </w:r>
    </w:p>
    <w:p>
      <w:pPr>
        <w:spacing w:line="240" w:lineRule="auto"/>
        <w:ind w:firstLine="422" w:firstLineChars="20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表2-3-1     开采境界构成要素表</w:t>
      </w:r>
    </w:p>
    <w:tbl>
      <w:tblPr>
        <w:tblStyle w:val="53"/>
        <w:tblW w:w="9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638"/>
        <w:gridCol w:w="1193"/>
        <w:gridCol w:w="3510"/>
        <w:gridCol w:w="3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2"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rPr>
              <w:t>开采境界要素</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bCs/>
                <w:color w:val="auto"/>
                <w:sz w:val="21"/>
                <w:szCs w:val="21"/>
                <w:lang w:val="en-US" w:eastAsia="zh-CN" w:bidi="ar-SA"/>
              </w:rPr>
            </w:pPr>
            <w:r>
              <w:rPr>
                <w:rFonts w:hint="eastAsia" w:asciiTheme="minorEastAsia" w:hAnsiTheme="minorEastAsia" w:eastAsiaTheme="minorEastAsia" w:cstheme="minorEastAsia"/>
                <w:b/>
                <w:bCs/>
                <w:color w:val="auto"/>
                <w:sz w:val="21"/>
                <w:szCs w:val="21"/>
                <w:lang w:val="en-US" w:eastAsia="zh-CN"/>
              </w:rPr>
              <w:t>北部开采面</w:t>
            </w:r>
            <w:r>
              <w:rPr>
                <w:rFonts w:hint="eastAsia" w:asciiTheme="minorEastAsia" w:hAnsiTheme="minorEastAsia" w:eastAsiaTheme="minorEastAsia" w:cstheme="minorEastAsia"/>
                <w:b/>
                <w:bCs/>
                <w:color w:val="auto"/>
                <w:sz w:val="21"/>
                <w:szCs w:val="21"/>
              </w:rPr>
              <w:t>数据</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南部开采面</w:t>
            </w:r>
            <w:r>
              <w:rPr>
                <w:rFonts w:hint="eastAsia" w:asciiTheme="minorEastAsia" w:hAnsiTheme="minorEastAsia" w:eastAsiaTheme="minorEastAsia" w:cstheme="minorEastAsia"/>
                <w:b/>
                <w:bCs/>
                <w:color w:val="auto"/>
                <w:sz w:val="21"/>
                <w:szCs w:val="2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2"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地表最高开采标高（米）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1254.5</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底部最低开采标高（米）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1190</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5"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最终台阶标高（米）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1250（削顶）、1240、1230、1220、1210、1200、1190</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1240（削顶）、1230、1220、1210、1200、1190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8"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最终</w:t>
            </w:r>
            <w:r>
              <w:rPr>
                <w:rFonts w:hint="eastAsia" w:asciiTheme="minorEastAsia" w:hAnsiTheme="minorEastAsia" w:eastAsiaTheme="minorEastAsia" w:cstheme="minorEastAsia"/>
                <w:b w:val="0"/>
                <w:bCs w:val="0"/>
                <w:color w:val="auto"/>
                <w:sz w:val="21"/>
                <w:szCs w:val="21"/>
                <w:lang w:val="en-US" w:eastAsia="zh-CN"/>
              </w:rPr>
              <w:t>台阶</w:t>
            </w:r>
            <w:r>
              <w:rPr>
                <w:rFonts w:hint="eastAsia" w:asciiTheme="minorEastAsia" w:hAnsiTheme="minorEastAsia" w:eastAsiaTheme="minorEastAsia" w:cstheme="minorEastAsia"/>
                <w:b w:val="0"/>
                <w:bCs w:val="0"/>
                <w:color w:val="auto"/>
                <w:sz w:val="21"/>
                <w:szCs w:val="21"/>
              </w:rPr>
              <w:t>高度（米）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10</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最终</w:t>
            </w:r>
            <w:r>
              <w:rPr>
                <w:rFonts w:hint="eastAsia" w:asciiTheme="minorEastAsia" w:hAnsiTheme="minorEastAsia" w:eastAsiaTheme="minorEastAsia" w:cstheme="minorEastAsia"/>
                <w:b w:val="0"/>
                <w:bCs w:val="0"/>
                <w:color w:val="auto"/>
                <w:sz w:val="21"/>
                <w:szCs w:val="21"/>
                <w:lang w:val="en-US" w:eastAsia="zh-CN"/>
              </w:rPr>
              <w:t>台阶</w:t>
            </w:r>
            <w:r>
              <w:rPr>
                <w:rFonts w:hint="eastAsia" w:asciiTheme="minorEastAsia" w:hAnsiTheme="minorEastAsia" w:eastAsiaTheme="minorEastAsia" w:cstheme="minorEastAsia"/>
                <w:b w:val="0"/>
                <w:bCs w:val="0"/>
                <w:color w:val="auto"/>
                <w:sz w:val="21"/>
                <w:szCs w:val="21"/>
              </w:rPr>
              <w:t>坡面角（度）</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60</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9"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rPr>
              <w:t>最终安全（清扫）平台宽度（米）</w:t>
            </w:r>
            <w:r>
              <w:rPr>
                <w:rFonts w:hint="eastAsia" w:asciiTheme="minorEastAsia" w:hAnsiTheme="minorEastAsia" w:eastAsiaTheme="minorEastAsia" w:cstheme="minorEastAsia"/>
                <w:b w:val="0"/>
                <w:bCs w:val="0"/>
                <w:color w:val="auto"/>
                <w:sz w:val="21"/>
                <w:szCs w:val="21"/>
                <w:lang w:val="en-US" w:eastAsia="zh-CN"/>
              </w:rPr>
              <w:t>隔二设一</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eastAsia="zh-CN"/>
              </w:rPr>
            </w:pPr>
            <w:r>
              <w:rPr>
                <w:rFonts w:hint="eastAsia" w:asciiTheme="minorEastAsia" w:hAnsiTheme="minorEastAsia" w:eastAsiaTheme="minorEastAsia" w:cstheme="minorEastAsia"/>
                <w:b w:val="0"/>
                <w:bCs w:val="0"/>
                <w:color w:val="auto"/>
                <w:sz w:val="21"/>
                <w:szCs w:val="21"/>
                <w:lang w:val="en-US" w:eastAsia="zh-CN"/>
              </w:rPr>
              <w:t>5、8</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9" w:hRule="exact"/>
          <w:jc w:val="center"/>
        </w:trPr>
        <w:tc>
          <w:tcPr>
            <w:tcW w:w="659" w:type="dxa"/>
            <w:vMerge w:val="restart"/>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lang w:val="en-US" w:eastAsia="zh-CN"/>
              </w:rPr>
              <w:t>境</w:t>
            </w:r>
            <w:r>
              <w:rPr>
                <w:rFonts w:hint="eastAsia" w:asciiTheme="minorEastAsia" w:hAnsiTheme="minorEastAsia" w:eastAsiaTheme="minorEastAsia" w:cstheme="minorEastAsia"/>
                <w:b w:val="0"/>
                <w:bCs w:val="0"/>
                <w:color w:val="auto"/>
                <w:sz w:val="21"/>
                <w:szCs w:val="21"/>
              </w:rPr>
              <w:t>界</w:t>
            </w:r>
            <w:r>
              <w:rPr>
                <w:rFonts w:hint="eastAsia" w:asciiTheme="minorEastAsia" w:hAnsiTheme="minorEastAsia" w:eastAsiaTheme="minorEastAsia" w:cstheme="minorEastAsia"/>
                <w:b w:val="0"/>
                <w:bCs w:val="0"/>
                <w:color w:val="auto"/>
                <w:sz w:val="21"/>
                <w:szCs w:val="21"/>
                <w:lang w:val="en-US" w:eastAsia="zh-CN"/>
              </w:rPr>
              <w:t>尺</w:t>
            </w:r>
            <w:r>
              <w:rPr>
                <w:rFonts w:hint="eastAsia" w:asciiTheme="minorEastAsia" w:hAnsiTheme="minorEastAsia" w:eastAsiaTheme="minorEastAsia" w:cstheme="minorEastAsia"/>
                <w:b w:val="0"/>
                <w:bCs w:val="0"/>
                <w:color w:val="auto"/>
                <w:sz w:val="21"/>
                <w:szCs w:val="21"/>
              </w:rPr>
              <w:t>寸</w:t>
            </w:r>
          </w:p>
        </w:tc>
        <w:tc>
          <w:tcPr>
            <w:tcW w:w="638" w:type="dxa"/>
            <w:vMerge w:val="restart"/>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地表</w:t>
            </w:r>
          </w:p>
        </w:tc>
        <w:tc>
          <w:tcPr>
            <w:tcW w:w="119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长（米）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960</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4" w:hRule="exact"/>
          <w:jc w:val="center"/>
        </w:trPr>
        <w:tc>
          <w:tcPr>
            <w:tcW w:w="659"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p>
        </w:tc>
        <w:tc>
          <w:tcPr>
            <w:tcW w:w="638"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p>
        </w:tc>
        <w:tc>
          <w:tcPr>
            <w:tcW w:w="119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宽（米）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220-262</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190-303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exact"/>
          <w:jc w:val="center"/>
        </w:trPr>
        <w:tc>
          <w:tcPr>
            <w:tcW w:w="659"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p>
        </w:tc>
        <w:tc>
          <w:tcPr>
            <w:tcW w:w="638" w:type="dxa"/>
            <w:vMerge w:val="restart"/>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底部</w:t>
            </w:r>
          </w:p>
        </w:tc>
        <w:tc>
          <w:tcPr>
            <w:tcW w:w="119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长（米）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593</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exact"/>
          <w:jc w:val="center"/>
        </w:trPr>
        <w:tc>
          <w:tcPr>
            <w:tcW w:w="659"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p>
        </w:tc>
        <w:tc>
          <w:tcPr>
            <w:tcW w:w="638"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p>
        </w:tc>
        <w:tc>
          <w:tcPr>
            <w:tcW w:w="119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宽（米）</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40-182</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170-295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9" w:hRule="exact"/>
          <w:jc w:val="center"/>
        </w:trPr>
        <w:tc>
          <w:tcPr>
            <w:tcW w:w="249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最终帮坡角（度）</w:t>
            </w:r>
          </w:p>
        </w:tc>
        <w:tc>
          <w:tcPr>
            <w:tcW w:w="351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45</w:t>
            </w:r>
          </w:p>
        </w:tc>
        <w:tc>
          <w:tcPr>
            <w:tcW w:w="316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w:t>
            </w:r>
            <w:r>
              <w:rPr>
                <w:rFonts w:hint="eastAsia" w:asciiTheme="minorEastAsia" w:hAnsiTheme="minorEastAsia" w:eastAsiaTheme="minorEastAsia" w:cstheme="minorEastAsia"/>
                <w:b w:val="0"/>
                <w:bCs w:val="0"/>
                <w:color w:val="auto"/>
                <w:sz w:val="21"/>
                <w:szCs w:val="21"/>
                <w:lang w:val="en-US" w:eastAsia="zh-CN"/>
              </w:rPr>
              <w:t>45</w:t>
            </w:r>
          </w:p>
        </w:tc>
      </w:tr>
    </w:tbl>
    <w:p>
      <w:pPr>
        <w:spacing w:line="240" w:lineRule="auto"/>
        <w:ind w:firstLine="422" w:firstLineChars="20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表2-3-2     分层矿岩量表</w:t>
      </w:r>
    </w:p>
    <w:tbl>
      <w:tblPr>
        <w:tblStyle w:val="53"/>
        <w:tblW w:w="9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56"/>
        <w:gridCol w:w="2178"/>
        <w:gridCol w:w="1630"/>
        <w:gridCol w:w="1549"/>
        <w:gridCol w:w="1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矿体</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标高（m）</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矿石量</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剥离量</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剥采比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万m³</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万m³</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m³/m³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I-1</w:t>
            </w: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1250以上</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1240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0.48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1230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14.01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1220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55.14</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1210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93.01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0.44</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1200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109.18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0.52</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1190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96.52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合计</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368.35</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0.96</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I-2、II</w:t>
            </w:r>
          </w:p>
        </w:tc>
        <w:tc>
          <w:tcPr>
            <w:tcW w:w="2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标高（m）</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矿石量</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剥离量</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剥采比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万m³</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万m³</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m³/m³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1240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1230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1220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11.93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0.22</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1210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31.19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2.88</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0.092:1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1200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61.26</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1.63</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1190</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80.29</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0.67</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195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p>
        </w:tc>
        <w:tc>
          <w:tcPr>
            <w:tcW w:w="217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合计</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186.68</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5.4</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0.029:1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8" w:hRule="exact"/>
        </w:trPr>
        <w:tc>
          <w:tcPr>
            <w:tcW w:w="413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总计</w:t>
            </w:r>
          </w:p>
        </w:tc>
        <w:tc>
          <w:tcPr>
            <w:tcW w:w="16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555.03</w:t>
            </w:r>
          </w:p>
        </w:tc>
        <w:tc>
          <w:tcPr>
            <w:tcW w:w="15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6.36</w:t>
            </w:r>
          </w:p>
        </w:tc>
        <w:tc>
          <w:tcPr>
            <w:tcW w:w="18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0.011:1</w:t>
            </w:r>
          </w:p>
        </w:tc>
      </w:tr>
    </w:tbl>
    <w:p>
      <w:pPr>
        <w:keepNext w:val="0"/>
        <w:keepLines w:val="0"/>
        <w:pageBreakBefore w:val="0"/>
        <w:widowControl w:val="0"/>
        <w:kinsoku/>
        <w:wordWrap/>
        <w:overflowPunct/>
        <w:topLinePunct w:val="0"/>
        <w:autoSpaceDE/>
        <w:autoSpaceDN/>
        <w:bidi w:val="0"/>
        <w:adjustRightInd/>
        <w:snapToGrid/>
        <w:spacing w:before="0"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5、矿山工作制度及生产能力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eastAsia="zh-CN"/>
        </w:rPr>
        <w:t>（</w:t>
      </w:r>
      <w:r>
        <w:rPr>
          <w:rFonts w:hint="eastAsia" w:ascii="宋体" w:hAnsi="宋体" w:eastAsia="宋体" w:cs="宋体"/>
          <w:color w:val="auto"/>
          <w:spacing w:val="-2"/>
          <w:sz w:val="24"/>
          <w:szCs w:val="24"/>
          <w:lang w:val="en-US" w:eastAsia="zh-CN"/>
        </w:rPr>
        <w:t>1</w:t>
      </w:r>
      <w:r>
        <w:rPr>
          <w:rFonts w:hint="eastAsia" w:ascii="宋体" w:hAnsi="宋体" w:eastAsia="宋体" w:cs="宋体"/>
          <w:color w:val="auto"/>
          <w:spacing w:val="-2"/>
          <w:sz w:val="24"/>
          <w:szCs w:val="24"/>
          <w:lang w:val="zh-CN" w:eastAsia="zh-CN"/>
        </w:rPr>
        <w:t>）</w:t>
      </w:r>
      <w:r>
        <w:rPr>
          <w:rFonts w:hint="eastAsia" w:ascii="宋体" w:hAnsi="宋体" w:eastAsia="宋体" w:cs="宋体"/>
          <w:color w:val="auto"/>
          <w:spacing w:val="-2"/>
          <w:sz w:val="24"/>
          <w:szCs w:val="24"/>
          <w:lang w:val="zh-CN"/>
        </w:rPr>
        <w:t>矿山工作制度</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根据矿区气候条件和生产规模，矿山年工作日数为</w:t>
      </w:r>
      <w:r>
        <w:rPr>
          <w:rFonts w:hint="eastAsia" w:ascii="宋体" w:hAnsi="宋体" w:eastAsia="宋体" w:cs="宋体"/>
          <w:color w:val="auto"/>
          <w:spacing w:val="-2"/>
          <w:sz w:val="24"/>
          <w:szCs w:val="24"/>
          <w:lang w:val="en-US" w:eastAsia="zh-CN"/>
        </w:rPr>
        <w:t>270</w:t>
      </w:r>
      <w:r>
        <w:rPr>
          <w:rFonts w:hint="eastAsia" w:ascii="宋体" w:hAnsi="宋体" w:eastAsia="宋体" w:cs="宋体"/>
          <w:color w:val="auto"/>
          <w:spacing w:val="-2"/>
          <w:sz w:val="24"/>
          <w:szCs w:val="24"/>
          <w:lang w:val="zh-CN"/>
        </w:rPr>
        <w:t>天，每天工作</w:t>
      </w:r>
      <w:r>
        <w:rPr>
          <w:rFonts w:hint="eastAsia" w:ascii="宋体" w:hAnsi="宋体" w:eastAsia="宋体" w:cs="宋体"/>
          <w:color w:val="auto"/>
          <w:spacing w:val="-2"/>
          <w:sz w:val="24"/>
          <w:szCs w:val="24"/>
          <w:lang w:val="en-US" w:eastAsia="zh-CN"/>
        </w:rPr>
        <w:t>1</w:t>
      </w:r>
      <w:r>
        <w:rPr>
          <w:rFonts w:hint="eastAsia" w:ascii="宋体" w:hAnsi="宋体" w:eastAsia="宋体" w:cs="宋体"/>
          <w:color w:val="auto"/>
          <w:spacing w:val="-2"/>
          <w:sz w:val="24"/>
          <w:szCs w:val="24"/>
          <w:lang w:val="zh-CN"/>
        </w:rPr>
        <w:t>班，每班工作8小时。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eastAsia="zh-CN"/>
        </w:rPr>
        <w:t>（</w:t>
      </w:r>
      <w:r>
        <w:rPr>
          <w:rFonts w:hint="eastAsia" w:ascii="宋体" w:hAnsi="宋体" w:eastAsia="宋体" w:cs="宋体"/>
          <w:color w:val="auto"/>
          <w:spacing w:val="-2"/>
          <w:sz w:val="24"/>
          <w:szCs w:val="24"/>
          <w:lang w:val="en-US" w:eastAsia="zh-CN"/>
        </w:rPr>
        <w:t>2</w:t>
      </w:r>
      <w:r>
        <w:rPr>
          <w:rFonts w:hint="eastAsia" w:ascii="宋体" w:hAnsi="宋体" w:eastAsia="宋体" w:cs="宋体"/>
          <w:color w:val="auto"/>
          <w:spacing w:val="-2"/>
          <w:sz w:val="24"/>
          <w:szCs w:val="24"/>
          <w:lang w:val="zh-CN" w:eastAsia="zh-CN"/>
        </w:rPr>
        <w:t>）</w:t>
      </w:r>
      <w:r>
        <w:rPr>
          <w:rFonts w:hint="eastAsia" w:ascii="宋体" w:hAnsi="宋体" w:eastAsia="宋体" w:cs="宋体"/>
          <w:color w:val="auto"/>
          <w:spacing w:val="-2"/>
          <w:sz w:val="24"/>
          <w:szCs w:val="24"/>
          <w:lang w:val="zh-CN"/>
        </w:rPr>
        <w:t>矿山生产能力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1）按可布置的挖掘机工作面数目确定可能达到的生产能力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A＝QmL/L0</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w:t>
      </w:r>
      <w:r>
        <w:rPr>
          <w:rFonts w:hint="eastAsia" w:ascii="宋体" w:hAnsi="宋体" w:eastAsia="宋体" w:cs="宋体"/>
          <w:color w:val="auto"/>
          <w:spacing w:val="-2"/>
          <w:sz w:val="24"/>
          <w:szCs w:val="24"/>
          <w:lang w:val="en-US" w:eastAsia="zh-CN"/>
        </w:rPr>
        <w:t>24.30</w:t>
      </w:r>
      <w:r>
        <w:rPr>
          <w:rFonts w:hint="eastAsia" w:ascii="宋体" w:hAnsi="宋体" w:eastAsia="宋体" w:cs="宋体"/>
          <w:color w:val="auto"/>
          <w:spacing w:val="-2"/>
          <w:sz w:val="24"/>
          <w:szCs w:val="24"/>
          <w:lang w:val="zh-CN"/>
        </w:rPr>
        <w:t>×1×</w:t>
      </w:r>
      <w:r>
        <w:rPr>
          <w:rFonts w:hint="eastAsia" w:ascii="宋体" w:hAnsi="宋体" w:eastAsia="宋体" w:cs="宋体"/>
          <w:color w:val="auto"/>
          <w:spacing w:val="-2"/>
          <w:sz w:val="24"/>
          <w:szCs w:val="24"/>
          <w:lang w:val="en-US" w:eastAsia="zh-CN"/>
        </w:rPr>
        <w:t>12</w:t>
      </w:r>
      <w:r>
        <w:rPr>
          <w:rFonts w:hint="eastAsia" w:ascii="宋体" w:hAnsi="宋体" w:eastAsia="宋体" w:cs="宋体"/>
          <w:color w:val="auto"/>
          <w:spacing w:val="-2"/>
          <w:sz w:val="24"/>
          <w:szCs w:val="24"/>
          <w:lang w:val="zh-CN"/>
        </w:rPr>
        <w:t>0/</w:t>
      </w:r>
      <w:r>
        <w:rPr>
          <w:rFonts w:hint="eastAsia" w:ascii="宋体" w:hAnsi="宋体" w:eastAsia="宋体" w:cs="宋体"/>
          <w:color w:val="auto"/>
          <w:spacing w:val="-2"/>
          <w:sz w:val="24"/>
          <w:szCs w:val="24"/>
          <w:lang w:val="en-US" w:eastAsia="zh-CN"/>
        </w:rPr>
        <w:t>60</w:t>
      </w:r>
      <w:r>
        <w:rPr>
          <w:rFonts w:hint="eastAsia" w:ascii="宋体" w:hAnsi="宋体" w:eastAsia="宋体" w:cs="宋体"/>
          <w:color w:val="auto"/>
          <w:spacing w:val="-2"/>
          <w:sz w:val="24"/>
          <w:szCs w:val="24"/>
          <w:lang w:val="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w:t>
      </w:r>
      <w:r>
        <w:rPr>
          <w:rFonts w:hint="eastAsia" w:ascii="宋体" w:hAnsi="宋体" w:eastAsia="宋体" w:cs="宋体"/>
          <w:color w:val="auto"/>
          <w:spacing w:val="-2"/>
          <w:sz w:val="24"/>
          <w:szCs w:val="24"/>
          <w:lang w:val="en-US" w:eastAsia="zh-CN"/>
        </w:rPr>
        <w:t>48.60</w:t>
      </w:r>
      <w:r>
        <w:rPr>
          <w:rFonts w:hint="eastAsia" w:ascii="宋体" w:hAnsi="宋体" w:eastAsia="宋体" w:cs="宋体"/>
          <w:color w:val="auto"/>
          <w:spacing w:val="-2"/>
          <w:sz w:val="24"/>
          <w:szCs w:val="24"/>
          <w:lang w:val="zh-CN"/>
        </w:rPr>
        <w:t>（万</w:t>
      </w:r>
      <w:r>
        <w:rPr>
          <w:rFonts w:hint="eastAsia" w:ascii="宋体" w:hAnsi="宋体" w:eastAsia="宋体" w:cs="宋体"/>
          <w:color w:val="auto"/>
          <w:spacing w:val="-2"/>
          <w:sz w:val="24"/>
          <w:szCs w:val="24"/>
          <w:lang w:val="en-US" w:eastAsia="zh-CN"/>
        </w:rPr>
        <w:t>m³</w:t>
      </w:r>
      <w:r>
        <w:rPr>
          <w:rFonts w:hint="eastAsia" w:ascii="宋体" w:hAnsi="宋体" w:eastAsia="宋体" w:cs="宋体"/>
          <w:color w:val="auto"/>
          <w:spacing w:val="-2"/>
          <w:sz w:val="24"/>
          <w:szCs w:val="24"/>
          <w:lang w:val="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式中：A－露天矿可能达到的矿石生产能力，万</w:t>
      </w:r>
      <w:r>
        <w:rPr>
          <w:rFonts w:hint="eastAsia" w:ascii="宋体" w:hAnsi="宋体" w:eastAsia="宋体" w:cs="宋体"/>
          <w:color w:val="auto"/>
          <w:spacing w:val="-2"/>
          <w:sz w:val="24"/>
          <w:szCs w:val="24"/>
          <w:lang w:val="en-US" w:eastAsia="zh-CN"/>
        </w:rPr>
        <w:t>m³</w:t>
      </w:r>
      <w:r>
        <w:rPr>
          <w:rFonts w:hint="eastAsia" w:ascii="宋体" w:hAnsi="宋体" w:eastAsia="宋体" w:cs="宋体"/>
          <w:color w:val="auto"/>
          <w:spacing w:val="-2"/>
          <w:sz w:val="24"/>
          <w:szCs w:val="24"/>
          <w:lang w:val="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Q－挖掘机生产能力，</w:t>
      </w:r>
      <w:r>
        <w:rPr>
          <w:rFonts w:hint="eastAsia" w:ascii="宋体" w:hAnsi="宋体" w:eastAsia="宋体" w:cs="宋体"/>
          <w:color w:val="auto"/>
          <w:spacing w:val="-2"/>
          <w:sz w:val="24"/>
          <w:szCs w:val="24"/>
          <w:lang w:val="en-US" w:eastAsia="zh-CN"/>
        </w:rPr>
        <w:t>24.30</w:t>
      </w:r>
      <w:r>
        <w:rPr>
          <w:rFonts w:hint="eastAsia" w:ascii="宋体" w:hAnsi="宋体" w:eastAsia="宋体" w:cs="宋体"/>
          <w:color w:val="auto"/>
          <w:spacing w:val="-2"/>
          <w:sz w:val="24"/>
          <w:szCs w:val="24"/>
          <w:lang w:val="zh-CN"/>
        </w:rPr>
        <w:t>万</w:t>
      </w:r>
      <w:r>
        <w:rPr>
          <w:rFonts w:hint="eastAsia" w:ascii="宋体" w:hAnsi="宋体" w:eastAsia="宋体" w:cs="宋体"/>
          <w:color w:val="auto"/>
          <w:spacing w:val="-2"/>
          <w:sz w:val="24"/>
          <w:szCs w:val="24"/>
          <w:lang w:val="en-US" w:eastAsia="zh-CN"/>
        </w:rPr>
        <w:t>m³</w:t>
      </w:r>
      <w:r>
        <w:rPr>
          <w:rFonts w:hint="eastAsia" w:ascii="宋体" w:hAnsi="宋体" w:eastAsia="宋体" w:cs="宋体"/>
          <w:color w:val="auto"/>
          <w:spacing w:val="-2"/>
          <w:sz w:val="24"/>
          <w:szCs w:val="24"/>
          <w:lang w:val="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m－同时工作的采矿台阶数量，1个；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L－一个台阶的采矿工作线长度，</w:t>
      </w:r>
      <w:r>
        <w:rPr>
          <w:rFonts w:hint="eastAsia" w:ascii="宋体" w:hAnsi="宋体" w:eastAsia="宋体" w:cs="宋体"/>
          <w:color w:val="auto"/>
          <w:spacing w:val="-2"/>
          <w:sz w:val="24"/>
          <w:szCs w:val="24"/>
          <w:lang w:val="en-US" w:eastAsia="zh-CN"/>
        </w:rPr>
        <w:t>12</w:t>
      </w:r>
      <w:r>
        <w:rPr>
          <w:rFonts w:hint="eastAsia" w:ascii="宋体" w:hAnsi="宋体" w:eastAsia="宋体" w:cs="宋体"/>
          <w:color w:val="auto"/>
          <w:spacing w:val="-2"/>
          <w:sz w:val="24"/>
          <w:szCs w:val="24"/>
          <w:lang w:val="zh-CN"/>
        </w:rPr>
        <w:t>0m；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L0－一台挖掘机占用的工作线长度，</w:t>
      </w:r>
      <w:r>
        <w:rPr>
          <w:rFonts w:hint="eastAsia" w:ascii="宋体" w:hAnsi="宋体" w:eastAsia="宋体" w:cs="宋体"/>
          <w:color w:val="auto"/>
          <w:spacing w:val="-2"/>
          <w:sz w:val="24"/>
          <w:szCs w:val="24"/>
          <w:lang w:val="en-US" w:eastAsia="zh-CN"/>
        </w:rPr>
        <w:t>60</w:t>
      </w:r>
      <w:r>
        <w:rPr>
          <w:rFonts w:hint="eastAsia" w:ascii="宋体" w:hAnsi="宋体" w:eastAsia="宋体" w:cs="宋体"/>
          <w:color w:val="auto"/>
          <w:spacing w:val="-2"/>
          <w:sz w:val="24"/>
          <w:szCs w:val="24"/>
          <w:lang w:val="zh-CN"/>
        </w:rPr>
        <w:t>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2）按矿山工程延深速度确定可能达到的生产能力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A＝PVη/[h]</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 xml:space="preserve"> ＝</w:t>
      </w:r>
      <w:r>
        <w:rPr>
          <w:rFonts w:hint="eastAsia" w:ascii="宋体" w:hAnsi="宋体" w:eastAsia="宋体" w:cs="宋体"/>
          <w:color w:val="auto"/>
          <w:spacing w:val="-2"/>
          <w:sz w:val="24"/>
          <w:szCs w:val="24"/>
          <w:lang w:val="en-US" w:eastAsia="zh-CN"/>
        </w:rPr>
        <w:t>55.14</w:t>
      </w:r>
      <w:r>
        <w:rPr>
          <w:rFonts w:hint="eastAsia" w:ascii="宋体" w:hAnsi="宋体" w:eastAsia="宋体" w:cs="宋体"/>
          <w:color w:val="auto"/>
          <w:spacing w:val="-2"/>
          <w:sz w:val="24"/>
          <w:szCs w:val="24"/>
          <w:lang w:val="zh-CN"/>
        </w:rPr>
        <w:t>×</w:t>
      </w:r>
      <w:r>
        <w:rPr>
          <w:rFonts w:hint="eastAsia" w:ascii="宋体" w:hAnsi="宋体" w:eastAsia="宋体" w:cs="宋体"/>
          <w:color w:val="auto"/>
          <w:spacing w:val="-2"/>
          <w:sz w:val="24"/>
          <w:szCs w:val="24"/>
          <w:lang w:val="en-US" w:eastAsia="zh-CN"/>
        </w:rPr>
        <w:t>10</w:t>
      </w:r>
      <w:r>
        <w:rPr>
          <w:rFonts w:hint="eastAsia" w:ascii="宋体" w:hAnsi="宋体" w:eastAsia="宋体" w:cs="宋体"/>
          <w:color w:val="auto"/>
          <w:spacing w:val="-2"/>
          <w:sz w:val="24"/>
          <w:szCs w:val="24"/>
          <w:lang w:val="zh-CN"/>
        </w:rPr>
        <w:t>×</w:t>
      </w:r>
      <w:r>
        <w:rPr>
          <w:rFonts w:hint="eastAsia" w:ascii="宋体" w:hAnsi="宋体" w:eastAsia="宋体" w:cs="宋体"/>
          <w:color w:val="auto"/>
          <w:spacing w:val="-2"/>
          <w:sz w:val="24"/>
          <w:szCs w:val="24"/>
          <w:lang w:val="en-US" w:eastAsia="zh-CN"/>
        </w:rPr>
        <w:t>98</w:t>
      </w:r>
      <w:r>
        <w:rPr>
          <w:rFonts w:hint="eastAsia" w:ascii="宋体" w:hAnsi="宋体" w:eastAsia="宋体" w:cs="宋体"/>
          <w:color w:val="auto"/>
          <w:spacing w:val="-2"/>
          <w:sz w:val="24"/>
          <w:szCs w:val="24"/>
          <w:lang w:val="zh-CN"/>
        </w:rPr>
        <w:t>％/[1</w:t>
      </w:r>
      <w:r>
        <w:rPr>
          <w:rFonts w:hint="eastAsia" w:ascii="宋体" w:hAnsi="宋体" w:eastAsia="宋体" w:cs="宋体"/>
          <w:color w:val="auto"/>
          <w:spacing w:val="-2"/>
          <w:sz w:val="24"/>
          <w:szCs w:val="24"/>
          <w:lang w:val="en-US" w:eastAsia="zh-CN"/>
        </w:rPr>
        <w:t>0</w:t>
      </w:r>
      <w:r>
        <w:rPr>
          <w:rFonts w:hint="eastAsia" w:ascii="宋体" w:hAnsi="宋体" w:eastAsia="宋体" w:cs="宋体"/>
          <w:color w:val="auto"/>
          <w:spacing w:val="-2"/>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 xml:space="preserve"> ＝</w:t>
      </w:r>
      <w:r>
        <w:rPr>
          <w:rFonts w:hint="eastAsia" w:ascii="宋体" w:hAnsi="宋体" w:eastAsia="宋体" w:cs="宋体"/>
          <w:color w:val="auto"/>
          <w:spacing w:val="-2"/>
          <w:sz w:val="24"/>
          <w:szCs w:val="24"/>
          <w:lang w:val="en-US" w:eastAsia="zh-CN"/>
        </w:rPr>
        <w:t>54.04</w:t>
      </w:r>
      <w:r>
        <w:rPr>
          <w:rFonts w:hint="eastAsia" w:ascii="宋体" w:hAnsi="宋体" w:eastAsia="宋体" w:cs="宋体"/>
          <w:color w:val="auto"/>
          <w:spacing w:val="-2"/>
          <w:sz w:val="24"/>
          <w:szCs w:val="24"/>
          <w:lang w:val="zh-CN"/>
        </w:rPr>
        <w:t>万</w:t>
      </w:r>
      <w:r>
        <w:rPr>
          <w:rFonts w:hint="eastAsia" w:ascii="宋体" w:hAnsi="宋体" w:eastAsia="宋体" w:cs="宋体"/>
          <w:color w:val="auto"/>
          <w:spacing w:val="-2"/>
          <w:sz w:val="24"/>
          <w:szCs w:val="24"/>
          <w:lang w:val="en-US" w:eastAsia="zh-CN"/>
        </w:rPr>
        <w:t>m³</w:t>
      </w:r>
      <w:r>
        <w:rPr>
          <w:rFonts w:hint="eastAsia" w:ascii="宋体" w:hAnsi="宋体" w:eastAsia="宋体" w:cs="宋体"/>
          <w:color w:val="auto"/>
          <w:spacing w:val="-2"/>
          <w:sz w:val="24"/>
          <w:szCs w:val="24"/>
          <w:lang w:val="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式中：A－露天矿可能达到的矿石生产能力，万</w:t>
      </w:r>
      <w:r>
        <w:rPr>
          <w:rFonts w:hint="eastAsia" w:ascii="宋体" w:hAnsi="宋体" w:eastAsia="宋体" w:cs="宋体"/>
          <w:color w:val="auto"/>
          <w:spacing w:val="-2"/>
          <w:sz w:val="24"/>
          <w:szCs w:val="24"/>
          <w:lang w:val="en-US" w:eastAsia="zh-CN"/>
        </w:rPr>
        <w:t>m³</w:t>
      </w:r>
      <w:r>
        <w:rPr>
          <w:rFonts w:hint="eastAsia" w:ascii="宋体" w:hAnsi="宋体" w:eastAsia="宋体" w:cs="宋体"/>
          <w:color w:val="auto"/>
          <w:spacing w:val="-2"/>
          <w:sz w:val="24"/>
          <w:szCs w:val="24"/>
          <w:lang w:val="zh-CN"/>
        </w:rPr>
        <w:t>/a；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P－所选用的有代表性的水平分层矿石量，</w:t>
      </w:r>
      <w:r>
        <w:rPr>
          <w:rFonts w:hint="eastAsia" w:ascii="宋体" w:hAnsi="宋体" w:eastAsia="宋体" w:cs="宋体"/>
          <w:color w:val="auto"/>
          <w:spacing w:val="-2"/>
          <w:sz w:val="24"/>
          <w:szCs w:val="24"/>
          <w:lang w:val="en-US" w:eastAsia="zh-CN"/>
        </w:rPr>
        <w:t>55.14</w:t>
      </w:r>
      <w:r>
        <w:rPr>
          <w:rFonts w:hint="eastAsia" w:ascii="宋体" w:hAnsi="宋体" w:eastAsia="宋体" w:cs="宋体"/>
          <w:color w:val="auto"/>
          <w:spacing w:val="-2"/>
          <w:sz w:val="24"/>
          <w:szCs w:val="24"/>
          <w:lang w:val="zh-CN"/>
        </w:rPr>
        <w:t>万</w:t>
      </w:r>
      <w:r>
        <w:rPr>
          <w:rFonts w:hint="eastAsia" w:ascii="宋体" w:hAnsi="宋体" w:eastAsia="宋体" w:cs="宋体"/>
          <w:color w:val="auto"/>
          <w:spacing w:val="-2"/>
          <w:sz w:val="24"/>
          <w:szCs w:val="24"/>
          <w:lang w:val="en-US" w:eastAsia="zh-CN"/>
        </w:rPr>
        <w:t>m³</w:t>
      </w:r>
      <w:r>
        <w:rPr>
          <w:rFonts w:hint="eastAsia" w:ascii="宋体" w:hAnsi="宋体" w:eastAsia="宋体" w:cs="宋体"/>
          <w:color w:val="auto"/>
          <w:spacing w:val="-2"/>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V－矿山工程延深速度，</w:t>
      </w:r>
      <w:r>
        <w:rPr>
          <w:rFonts w:hint="eastAsia" w:ascii="宋体" w:hAnsi="宋体" w:eastAsia="宋体" w:cs="宋体"/>
          <w:color w:val="auto"/>
          <w:spacing w:val="-2"/>
          <w:sz w:val="24"/>
          <w:szCs w:val="24"/>
          <w:lang w:val="en-US" w:eastAsia="zh-CN"/>
        </w:rPr>
        <w:t>10</w:t>
      </w:r>
      <w:r>
        <w:rPr>
          <w:rFonts w:hint="eastAsia" w:ascii="宋体" w:hAnsi="宋体" w:eastAsia="宋体" w:cs="宋体"/>
          <w:color w:val="auto"/>
          <w:spacing w:val="-2"/>
          <w:sz w:val="24"/>
          <w:szCs w:val="24"/>
          <w:lang w:val="zh-CN"/>
        </w:rPr>
        <w:t>m/a；</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η－采矿回采率，9</w:t>
      </w:r>
      <w:r>
        <w:rPr>
          <w:rFonts w:hint="eastAsia" w:ascii="宋体" w:hAnsi="宋体" w:eastAsia="宋体" w:cs="宋体"/>
          <w:color w:val="auto"/>
          <w:spacing w:val="-2"/>
          <w:sz w:val="24"/>
          <w:szCs w:val="24"/>
          <w:lang w:val="en-US" w:eastAsia="zh-CN"/>
        </w:rPr>
        <w:t>8</w:t>
      </w:r>
      <w:r>
        <w:rPr>
          <w:rFonts w:hint="eastAsia" w:ascii="宋体" w:hAnsi="宋体" w:eastAsia="宋体" w:cs="宋体"/>
          <w:color w:val="auto"/>
          <w:spacing w:val="-2"/>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h－台阶高度，1</w:t>
      </w:r>
      <w:r>
        <w:rPr>
          <w:rFonts w:hint="eastAsia" w:ascii="宋体" w:hAnsi="宋体" w:eastAsia="宋体" w:cs="宋体"/>
          <w:color w:val="auto"/>
          <w:spacing w:val="-2"/>
          <w:sz w:val="24"/>
          <w:szCs w:val="24"/>
          <w:lang w:val="en-US" w:eastAsia="zh-CN"/>
        </w:rPr>
        <w:t>0</w:t>
      </w:r>
      <w:r>
        <w:rPr>
          <w:rFonts w:hint="eastAsia" w:ascii="宋体" w:hAnsi="宋体" w:eastAsia="宋体" w:cs="宋体"/>
          <w:color w:val="auto"/>
          <w:spacing w:val="-2"/>
          <w:sz w:val="24"/>
          <w:szCs w:val="24"/>
          <w:lang w:val="zh-CN"/>
        </w:rPr>
        <w:t>m；</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经生产能力验证，矿山可以达到设计的</w:t>
      </w:r>
      <w:r>
        <w:rPr>
          <w:rFonts w:hint="eastAsia" w:ascii="宋体" w:hAnsi="宋体" w:eastAsia="宋体" w:cs="宋体"/>
          <w:color w:val="auto"/>
          <w:spacing w:val="-2"/>
          <w:sz w:val="24"/>
          <w:szCs w:val="24"/>
          <w:lang w:val="en-US" w:eastAsia="zh-CN"/>
        </w:rPr>
        <w:t>20</w:t>
      </w:r>
      <w:r>
        <w:rPr>
          <w:rFonts w:hint="eastAsia" w:ascii="宋体" w:hAnsi="宋体" w:eastAsia="宋体" w:cs="宋体"/>
          <w:color w:val="auto"/>
          <w:spacing w:val="-2"/>
          <w:sz w:val="24"/>
          <w:szCs w:val="24"/>
          <w:lang w:val="zh-CN"/>
        </w:rPr>
        <w:t>万</w:t>
      </w:r>
      <w:r>
        <w:rPr>
          <w:rFonts w:hint="eastAsia" w:ascii="宋体" w:hAnsi="宋体" w:eastAsia="宋体" w:cs="宋体"/>
          <w:color w:val="auto"/>
          <w:spacing w:val="-2"/>
          <w:sz w:val="24"/>
          <w:szCs w:val="24"/>
          <w:lang w:val="en-US" w:eastAsia="zh-CN"/>
        </w:rPr>
        <w:t>m³</w:t>
      </w:r>
      <w:r>
        <w:rPr>
          <w:rFonts w:hint="eastAsia" w:ascii="宋体" w:hAnsi="宋体" w:eastAsia="宋体" w:cs="宋体"/>
          <w:color w:val="auto"/>
          <w:spacing w:val="-2"/>
          <w:sz w:val="24"/>
          <w:szCs w:val="24"/>
          <w:lang w:val="zh-CN"/>
        </w:rPr>
        <w:t>/a的生产能力。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en-US" w:eastAsia="zh-CN"/>
        </w:rPr>
        <w:t>3</w:t>
      </w:r>
      <w:r>
        <w:rPr>
          <w:rFonts w:hint="eastAsia" w:ascii="宋体" w:hAnsi="宋体" w:eastAsia="宋体" w:cs="宋体"/>
          <w:color w:val="auto"/>
          <w:spacing w:val="-2"/>
          <w:sz w:val="24"/>
          <w:szCs w:val="24"/>
          <w:lang w:val="zh-CN" w:eastAsia="zh-CN"/>
        </w:rPr>
        <w:t>）</w:t>
      </w:r>
      <w:r>
        <w:rPr>
          <w:rFonts w:hint="eastAsia" w:ascii="宋体" w:hAnsi="宋体" w:eastAsia="宋体" w:cs="宋体"/>
          <w:color w:val="auto"/>
          <w:spacing w:val="-2"/>
          <w:sz w:val="24"/>
          <w:szCs w:val="24"/>
          <w:lang w:val="zh-CN"/>
        </w:rPr>
        <w:t>年剥离量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露天开采境界内平均剥采比</w:t>
      </w:r>
      <w:r>
        <w:rPr>
          <w:rFonts w:hint="eastAsia" w:ascii="宋体" w:hAnsi="宋体" w:eastAsia="宋体" w:cs="宋体"/>
          <w:color w:val="auto"/>
          <w:spacing w:val="-2"/>
          <w:sz w:val="24"/>
          <w:szCs w:val="24"/>
          <w:lang w:val="en-US" w:eastAsia="zh-CN"/>
        </w:rPr>
        <w:t>0.011</w:t>
      </w:r>
      <w:r>
        <w:rPr>
          <w:rFonts w:hint="eastAsia" w:ascii="宋体" w:hAnsi="宋体" w:eastAsia="宋体" w:cs="宋体"/>
          <w:color w:val="auto"/>
          <w:spacing w:val="-2"/>
          <w:sz w:val="24"/>
          <w:szCs w:val="24"/>
          <w:lang w:val="zh-CN"/>
        </w:rPr>
        <w:t>∶1m</w:t>
      </w:r>
      <w:r>
        <w:rPr>
          <w:rFonts w:hint="eastAsia" w:ascii="宋体" w:hAnsi="宋体" w:eastAsia="宋体" w:cs="宋体"/>
          <w:color w:val="auto"/>
          <w:spacing w:val="-2"/>
          <w:sz w:val="24"/>
          <w:szCs w:val="24"/>
          <w:vertAlign w:val="superscript"/>
          <w:lang w:val="zh-CN"/>
        </w:rPr>
        <w:t>3</w:t>
      </w:r>
      <w:r>
        <w:rPr>
          <w:rFonts w:hint="eastAsia" w:ascii="宋体" w:hAnsi="宋体" w:eastAsia="宋体" w:cs="宋体"/>
          <w:color w:val="auto"/>
          <w:spacing w:val="-2"/>
          <w:sz w:val="24"/>
          <w:szCs w:val="24"/>
          <w:lang w:val="zh-CN"/>
        </w:rPr>
        <w:t>/m</w:t>
      </w:r>
      <w:r>
        <w:rPr>
          <w:rFonts w:hint="eastAsia" w:ascii="宋体" w:hAnsi="宋体" w:eastAsia="宋体" w:cs="宋体"/>
          <w:color w:val="auto"/>
          <w:spacing w:val="-2"/>
          <w:sz w:val="24"/>
          <w:szCs w:val="24"/>
          <w:vertAlign w:val="superscript"/>
          <w:lang w:val="zh-CN"/>
        </w:rPr>
        <w:t>3</w:t>
      </w:r>
      <w:r>
        <w:rPr>
          <w:rFonts w:hint="eastAsia" w:ascii="宋体" w:hAnsi="宋体" w:eastAsia="宋体" w:cs="宋体"/>
          <w:color w:val="auto"/>
          <w:spacing w:val="-2"/>
          <w:sz w:val="24"/>
          <w:szCs w:val="24"/>
          <w:lang w:val="en-US" w:eastAsia="zh-CN"/>
        </w:rPr>
        <w:t>,普查报告未提供废石体重，本设计按照矿岩体重一致考虑</w:t>
      </w:r>
      <w:r>
        <w:rPr>
          <w:rFonts w:hint="eastAsia" w:ascii="宋体" w:hAnsi="宋体" w:eastAsia="宋体" w:cs="宋体"/>
          <w:color w:val="auto"/>
          <w:spacing w:val="-2"/>
          <w:sz w:val="24"/>
          <w:szCs w:val="24"/>
          <w:lang w:val="zh-CN"/>
        </w:rPr>
        <w:t>,生产剥采比系数按</w:t>
      </w:r>
      <w:r>
        <w:rPr>
          <w:rFonts w:hint="eastAsia" w:ascii="宋体" w:hAnsi="宋体" w:eastAsia="宋体" w:cs="宋体"/>
          <w:color w:val="auto"/>
          <w:spacing w:val="-2"/>
          <w:sz w:val="24"/>
          <w:szCs w:val="24"/>
          <w:lang w:val="en-US" w:eastAsia="zh-CN"/>
        </w:rPr>
        <w:t>1.50</w:t>
      </w:r>
      <w:r>
        <w:rPr>
          <w:rFonts w:hint="eastAsia" w:ascii="宋体" w:hAnsi="宋体" w:eastAsia="宋体" w:cs="宋体"/>
          <w:color w:val="auto"/>
          <w:spacing w:val="-2"/>
          <w:sz w:val="24"/>
          <w:szCs w:val="24"/>
          <w:lang w:val="zh-CN"/>
        </w:rPr>
        <w:t>选取，计算生产剥采比为</w:t>
      </w:r>
      <w:r>
        <w:rPr>
          <w:rFonts w:hint="eastAsia" w:ascii="宋体" w:hAnsi="宋体" w:eastAsia="宋体" w:cs="宋体"/>
          <w:color w:val="auto"/>
          <w:spacing w:val="-2"/>
          <w:sz w:val="24"/>
          <w:szCs w:val="24"/>
          <w:lang w:val="en-US" w:eastAsia="zh-CN"/>
        </w:rPr>
        <w:t>0.0165：1</w:t>
      </w:r>
      <w:r>
        <w:rPr>
          <w:rFonts w:hint="eastAsia" w:ascii="宋体" w:hAnsi="宋体" w:eastAsia="宋体" w:cs="宋体"/>
          <w:color w:val="auto"/>
          <w:spacing w:val="-2"/>
          <w:sz w:val="24"/>
          <w:szCs w:val="24"/>
          <w:lang w:val="zh-CN"/>
        </w:rPr>
        <w:t xml:space="preserve"> m</w:t>
      </w:r>
      <w:r>
        <w:rPr>
          <w:rFonts w:hint="eastAsia" w:ascii="宋体" w:hAnsi="宋体" w:eastAsia="宋体" w:cs="宋体"/>
          <w:color w:val="auto"/>
          <w:spacing w:val="-2"/>
          <w:sz w:val="24"/>
          <w:szCs w:val="24"/>
          <w:vertAlign w:val="superscript"/>
          <w:lang w:val="zh-CN"/>
        </w:rPr>
        <w:t>3</w:t>
      </w:r>
      <w:r>
        <w:rPr>
          <w:rFonts w:hint="eastAsia" w:ascii="宋体" w:hAnsi="宋体" w:eastAsia="宋体" w:cs="宋体"/>
          <w:color w:val="auto"/>
          <w:spacing w:val="-2"/>
          <w:sz w:val="24"/>
          <w:szCs w:val="24"/>
          <w:lang w:val="zh-CN"/>
        </w:rPr>
        <w:t>/m</w:t>
      </w:r>
      <w:r>
        <w:rPr>
          <w:rFonts w:hint="eastAsia" w:ascii="宋体" w:hAnsi="宋体" w:eastAsia="宋体" w:cs="宋体"/>
          <w:color w:val="auto"/>
          <w:spacing w:val="-2"/>
          <w:sz w:val="24"/>
          <w:szCs w:val="24"/>
          <w:vertAlign w:val="superscript"/>
          <w:lang w:val="zh-CN"/>
        </w:rPr>
        <w:t>3</w:t>
      </w:r>
      <w:r>
        <w:rPr>
          <w:rFonts w:hint="eastAsia" w:ascii="宋体" w:hAnsi="宋体" w:eastAsia="宋体" w:cs="宋体"/>
          <w:color w:val="auto"/>
          <w:spacing w:val="-2"/>
          <w:sz w:val="24"/>
          <w:szCs w:val="24"/>
          <w:lang w:val="zh-CN"/>
        </w:rPr>
        <w:t>。计算年采剥剥离量</w:t>
      </w:r>
      <w:r>
        <w:rPr>
          <w:rFonts w:hint="eastAsia" w:ascii="宋体" w:hAnsi="宋体" w:eastAsia="宋体" w:cs="宋体"/>
          <w:color w:val="auto"/>
          <w:spacing w:val="-2"/>
          <w:sz w:val="24"/>
          <w:szCs w:val="24"/>
          <w:lang w:val="en-US" w:eastAsia="zh-CN"/>
        </w:rPr>
        <w:t>0.33</w:t>
      </w:r>
      <w:r>
        <w:rPr>
          <w:rFonts w:hint="eastAsia" w:ascii="宋体" w:hAnsi="宋体" w:eastAsia="宋体" w:cs="宋体"/>
          <w:color w:val="auto"/>
          <w:spacing w:val="-2"/>
          <w:sz w:val="24"/>
          <w:szCs w:val="24"/>
          <w:lang w:val="zh-CN"/>
        </w:rPr>
        <w:t>万m</w:t>
      </w:r>
      <w:r>
        <w:rPr>
          <w:rFonts w:hint="eastAsia" w:ascii="宋体" w:hAnsi="宋体" w:eastAsia="宋体" w:cs="宋体"/>
          <w:color w:val="auto"/>
          <w:spacing w:val="-2"/>
          <w:sz w:val="24"/>
          <w:szCs w:val="24"/>
          <w:vertAlign w:val="superscript"/>
          <w:lang w:val="zh-CN"/>
        </w:rPr>
        <w:t>3</w:t>
      </w:r>
      <w:r>
        <w:rPr>
          <w:rFonts w:hint="eastAsia" w:ascii="宋体" w:hAnsi="宋体" w:eastAsia="宋体" w:cs="宋体"/>
          <w:color w:val="auto"/>
          <w:spacing w:val="-2"/>
          <w:sz w:val="24"/>
          <w:szCs w:val="24"/>
          <w:lang w:val="zh-CN"/>
        </w:rPr>
        <w:t>/a计算。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eastAsia="zh-CN"/>
        </w:rPr>
        <w:t>4）</w:t>
      </w:r>
      <w:r>
        <w:rPr>
          <w:rFonts w:hint="eastAsia" w:ascii="宋体" w:hAnsi="宋体" w:eastAsia="宋体" w:cs="宋体"/>
          <w:color w:val="auto"/>
          <w:spacing w:val="-2"/>
          <w:sz w:val="24"/>
          <w:szCs w:val="24"/>
          <w:lang w:val="zh-CN"/>
        </w:rPr>
        <w:t>年、日、班采矿量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2"/>
          <w:sz w:val="24"/>
          <w:szCs w:val="24"/>
          <w:lang w:val="zh-CN"/>
        </w:rPr>
        <w:t>年、日、班采矿量，详见表</w:t>
      </w:r>
      <w:r>
        <w:rPr>
          <w:rFonts w:hint="eastAsia" w:ascii="宋体" w:hAnsi="宋体" w:eastAsia="宋体" w:cs="宋体"/>
          <w:color w:val="auto"/>
          <w:spacing w:val="-2"/>
          <w:sz w:val="24"/>
          <w:szCs w:val="24"/>
          <w:lang w:val="en-US" w:eastAsia="zh-CN"/>
        </w:rPr>
        <w:t>2-3-3</w:t>
      </w:r>
      <w:r>
        <w:rPr>
          <w:rFonts w:hint="eastAsia" w:ascii="宋体" w:hAnsi="宋体" w:eastAsia="宋体" w:cs="宋体"/>
          <w:color w:val="auto"/>
          <w:spacing w:val="-2"/>
          <w:sz w:val="24"/>
          <w:szCs w:val="24"/>
          <w:lang w:val="zh-CN"/>
        </w:rPr>
        <w:t>。</w:t>
      </w:r>
    </w:p>
    <w:p>
      <w:pPr>
        <w:spacing w:line="240" w:lineRule="auto"/>
        <w:ind w:firstLine="422" w:firstLineChars="20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表2-3-3                 年、日、班采矿量表</w:t>
      </w:r>
    </w:p>
    <w:tbl>
      <w:tblPr>
        <w:tblStyle w:val="53"/>
        <w:tblW w:w="9030"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85"/>
        <w:gridCol w:w="1620"/>
        <w:gridCol w:w="1695"/>
        <w:gridCol w:w="207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7" w:hRule="exac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时间</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矿石量（m³）</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剥离量（m³）</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矿岩量（m³）</w:t>
            </w:r>
          </w:p>
        </w:tc>
        <w:tc>
          <w:tcPr>
            <w:tcW w:w="21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大块矿石量（m³）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7" w:hRule="exac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年采矿量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200000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3300</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203300</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top"/>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60990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7" w:hRule="exac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日采矿量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740.74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12.22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752.96</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top"/>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225.89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7" w:hRule="exact"/>
        </w:trPr>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班采矿量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740.74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12.22</w:t>
            </w:r>
          </w:p>
        </w:tc>
        <w:tc>
          <w:tcPr>
            <w:tcW w:w="20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top"/>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752.96</w:t>
            </w:r>
          </w:p>
        </w:tc>
        <w:tc>
          <w:tcPr>
            <w:tcW w:w="216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top"/>
              <w:rPr>
                <w:rFonts w:hint="default" w:ascii="宋体" w:hAnsi="宋体" w:eastAsia="宋体" w:cs="宋体"/>
                <w:b w:val="0"/>
                <w:bCs w:val="0"/>
                <w:i w:val="0"/>
                <w:iCs w:val="0"/>
                <w:color w:val="auto"/>
                <w:kern w:val="0"/>
                <w:sz w:val="21"/>
                <w:szCs w:val="21"/>
                <w:u w:val="none"/>
                <w:lang w:val="en-US" w:eastAsia="zh-CN" w:bidi="ar"/>
              </w:rPr>
            </w:pPr>
            <w:r>
              <w:rPr>
                <w:rFonts w:hint="default" w:ascii="宋体" w:hAnsi="宋体" w:eastAsia="宋体" w:cs="宋体"/>
                <w:b w:val="0"/>
                <w:bCs w:val="0"/>
                <w:i w:val="0"/>
                <w:iCs w:val="0"/>
                <w:color w:val="auto"/>
                <w:kern w:val="0"/>
                <w:sz w:val="21"/>
                <w:szCs w:val="21"/>
                <w:u w:val="none"/>
                <w:lang w:val="en-US" w:eastAsia="zh-CN" w:bidi="ar"/>
              </w:rPr>
              <w:t>225.89</w:t>
            </w:r>
          </w:p>
        </w:tc>
      </w:tr>
    </w:tbl>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（二）开拓方案及采矿方法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1、开拓运输方案选择原则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（1）基建时间短，早投产，早达产；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（2）生产工艺简单、可靠，生产环节少，管理方便；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（3）基建工程量少，施工方便；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（4）基建投资少；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（5）结合矿山地形条件及外部运输条件。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2、开拓运输方案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上山公路长</w:t>
      </w:r>
      <w:r>
        <w:rPr>
          <w:rFonts w:hint="eastAsia" w:ascii="宋体" w:hAnsi="宋体" w:eastAsia="宋体" w:cs="宋体"/>
          <w:bCs/>
          <w:color w:val="auto"/>
          <w:sz w:val="24"/>
          <w:szCs w:val="24"/>
          <w:highlight w:val="none"/>
          <w:lang w:val="en-US" w:eastAsia="zh-CN"/>
        </w:rPr>
        <w:t>1100</w:t>
      </w:r>
      <w:r>
        <w:rPr>
          <w:rFonts w:hint="eastAsia" w:ascii="宋体" w:hAnsi="宋体" w:eastAsia="宋体" w:cs="宋体"/>
          <w:bCs/>
          <w:color w:val="auto"/>
          <w:sz w:val="24"/>
          <w:szCs w:val="24"/>
          <w:highlight w:val="none"/>
        </w:rPr>
        <w:t>米，平均纵坡6%，最大纵坡8%。采用矿山三级公路，泥结碎石路面，</w:t>
      </w:r>
      <w:r>
        <w:rPr>
          <w:rFonts w:hint="eastAsia" w:ascii="宋体" w:hAnsi="宋体" w:eastAsia="宋体" w:cs="宋体"/>
          <w:bCs/>
          <w:color w:val="auto"/>
          <w:sz w:val="24"/>
          <w:szCs w:val="24"/>
          <w:highlight w:val="none"/>
          <w:lang w:val="en-US" w:eastAsia="zh-CN"/>
        </w:rPr>
        <w:t>双</w:t>
      </w:r>
      <w:r>
        <w:rPr>
          <w:rFonts w:hint="eastAsia" w:ascii="宋体" w:hAnsi="宋体" w:eastAsia="宋体" w:cs="宋体"/>
          <w:bCs/>
          <w:color w:val="auto"/>
          <w:sz w:val="24"/>
          <w:szCs w:val="24"/>
          <w:highlight w:val="none"/>
        </w:rPr>
        <w:t>车道，路面宽</w:t>
      </w:r>
      <w:r>
        <w:rPr>
          <w:rFonts w:hint="eastAsia" w:ascii="宋体" w:hAnsi="宋体" w:eastAsia="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米，最小转弯半径15米。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rPr>
        <w:t>3、采剥工作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采剥方法选择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根据地形地质条件、矿山生产规模及机械化程度，设计采用</w:t>
      </w:r>
      <w:r>
        <w:rPr>
          <w:rFonts w:hint="eastAsia" w:ascii="宋体" w:hAnsi="宋体" w:eastAsia="宋体" w:cs="宋体"/>
          <w:bCs/>
          <w:color w:val="auto"/>
          <w:sz w:val="24"/>
          <w:szCs w:val="24"/>
          <w:lang w:val="en-US" w:eastAsia="zh-CN"/>
        </w:rPr>
        <w:t>山坡-凹陷</w:t>
      </w:r>
      <w:r>
        <w:rPr>
          <w:rFonts w:hint="eastAsia" w:ascii="宋体" w:hAnsi="宋体" w:eastAsia="宋体" w:cs="宋体"/>
          <w:bCs/>
          <w:color w:val="auto"/>
          <w:sz w:val="24"/>
          <w:szCs w:val="24"/>
        </w:rPr>
        <w:t>露天开采方式，自上而下水平分层、台阶式采矿方法。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工作面布置及推进方向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根据地形地质条件，沿或斜交矿体走向掘开段沟，沿或斜交矿体走向布置采剥工作面，垂直或斜交矿体走向由上盘向下盘推进工作面。</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采剥工艺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矿体及围岩强度不大，挖掘机可直接采挖。</w:t>
      </w:r>
      <w:r>
        <w:rPr>
          <w:rFonts w:hint="eastAsia" w:ascii="宋体" w:hAnsi="宋体" w:eastAsia="宋体" w:cs="宋体"/>
          <w:bCs/>
          <w:color w:val="auto"/>
          <w:sz w:val="24"/>
          <w:szCs w:val="24"/>
        </w:rPr>
        <w:t>采剥最小工作平台宽度</w:t>
      </w:r>
      <w:r>
        <w:rPr>
          <w:rFonts w:hint="eastAsia" w:ascii="宋体" w:hAnsi="宋体" w:eastAsia="宋体" w:cs="宋体"/>
          <w:bCs/>
          <w:color w:val="auto"/>
          <w:sz w:val="24"/>
          <w:szCs w:val="24"/>
          <w:lang w:val="en-US" w:eastAsia="zh-CN"/>
        </w:rPr>
        <w:t>40</w:t>
      </w:r>
      <w:r>
        <w:rPr>
          <w:rFonts w:hint="eastAsia" w:ascii="宋体" w:hAnsi="宋体" w:eastAsia="宋体" w:cs="宋体"/>
          <w:bCs/>
          <w:color w:val="auto"/>
          <w:sz w:val="24"/>
          <w:szCs w:val="24"/>
        </w:rPr>
        <w:t>米，工作台阶高度</w:t>
      </w:r>
      <w:r>
        <w:rPr>
          <w:rFonts w:hint="eastAsia" w:ascii="宋体" w:hAnsi="宋体" w:eastAsia="宋体" w:cs="宋体"/>
          <w:bCs/>
          <w:color w:val="auto"/>
          <w:sz w:val="24"/>
          <w:szCs w:val="24"/>
          <w:lang w:val="en-US" w:eastAsia="zh-CN"/>
        </w:rPr>
        <w:t>10</w:t>
      </w:r>
      <w:r>
        <w:rPr>
          <w:rFonts w:hint="eastAsia" w:ascii="宋体" w:hAnsi="宋体" w:eastAsia="宋体" w:cs="宋体"/>
          <w:bCs/>
          <w:color w:val="auto"/>
          <w:sz w:val="24"/>
          <w:szCs w:val="24"/>
        </w:rPr>
        <w:t>米，工作台阶坡面角</w:t>
      </w:r>
      <w:r>
        <w:rPr>
          <w:rFonts w:hint="eastAsia" w:ascii="宋体" w:hAnsi="宋体" w:eastAsia="宋体" w:cs="宋体"/>
          <w:bCs/>
          <w:color w:val="auto"/>
          <w:sz w:val="24"/>
          <w:szCs w:val="24"/>
          <w:lang w:val="en-US" w:eastAsia="zh-CN"/>
        </w:rPr>
        <w:t>60</w:t>
      </w:r>
      <w:r>
        <w:rPr>
          <w:rFonts w:hint="eastAsia" w:ascii="宋体" w:hAnsi="宋体" w:eastAsia="宋体" w:cs="宋体"/>
          <w:bCs/>
          <w:color w:val="auto"/>
          <w:sz w:val="24"/>
          <w:szCs w:val="24"/>
        </w:rPr>
        <w:t>°。上部和下部台阶平行开采时，超前距离应大于50米。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采用挖掘机采装，自卸汽车运输</w:t>
      </w:r>
      <w:r>
        <w:rPr>
          <w:rFonts w:hint="eastAsia" w:ascii="宋体" w:hAnsi="宋体" w:eastAsia="宋体" w:cs="宋体"/>
          <w:bCs/>
          <w:color w:val="auto"/>
          <w:sz w:val="24"/>
          <w:szCs w:val="24"/>
          <w:lang w:val="en-US" w:eastAsia="zh-CN"/>
        </w:rPr>
        <w:t>表土及废石</w:t>
      </w:r>
      <w:r>
        <w:rPr>
          <w:rFonts w:hint="eastAsia" w:ascii="宋体" w:hAnsi="宋体" w:eastAsia="宋体" w:cs="宋体"/>
          <w:bCs/>
          <w:color w:val="auto"/>
          <w:sz w:val="24"/>
          <w:szCs w:val="24"/>
        </w:rPr>
        <w:t>。矿石装入自卸汽车外运，</w:t>
      </w:r>
      <w:r>
        <w:rPr>
          <w:rFonts w:hint="eastAsia" w:ascii="宋体" w:hAnsi="宋体" w:eastAsia="宋体" w:cs="宋体"/>
          <w:bCs/>
          <w:color w:val="auto"/>
          <w:sz w:val="24"/>
          <w:szCs w:val="24"/>
          <w:lang w:val="en-US" w:eastAsia="zh-CN"/>
        </w:rPr>
        <w:t>表土及</w:t>
      </w:r>
      <w:r>
        <w:rPr>
          <w:rFonts w:hint="eastAsia" w:ascii="宋体" w:hAnsi="宋体" w:eastAsia="宋体" w:cs="宋体"/>
          <w:bCs/>
          <w:color w:val="auto"/>
          <w:sz w:val="24"/>
          <w:szCs w:val="24"/>
        </w:rPr>
        <w:t>废石装入自卸汽车运至</w:t>
      </w:r>
      <w:r>
        <w:rPr>
          <w:rFonts w:hint="eastAsia" w:ascii="宋体" w:hAnsi="宋体" w:eastAsia="宋体" w:cs="宋体"/>
          <w:bCs/>
          <w:color w:val="auto"/>
          <w:sz w:val="24"/>
          <w:szCs w:val="24"/>
          <w:lang w:eastAsia="zh-CN"/>
        </w:rPr>
        <w:t>拟建</w:t>
      </w:r>
      <w:r>
        <w:rPr>
          <w:rFonts w:hint="eastAsia" w:ascii="宋体" w:hAnsi="宋体" w:eastAsia="宋体" w:cs="宋体"/>
          <w:bCs/>
          <w:color w:val="auto"/>
          <w:sz w:val="24"/>
          <w:szCs w:val="24"/>
          <w:lang w:val="en-US" w:eastAsia="zh-CN"/>
        </w:rPr>
        <w:t>功能区场所。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开采工艺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设计矿山采用挖掘机铲装→矿用自卸汽车运矿的开采工艺。</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（三）采场技术参数</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工作台阶高度：</w:t>
      </w:r>
      <w:r>
        <w:rPr>
          <w:rFonts w:hint="eastAsia" w:ascii="宋体" w:hAnsi="宋体" w:eastAsia="宋体" w:cs="宋体"/>
          <w:bCs/>
          <w:color w:val="auto"/>
          <w:sz w:val="24"/>
          <w:szCs w:val="24"/>
          <w:lang w:val="en-US" w:eastAsia="zh-CN"/>
        </w:rPr>
        <w:t>10</w:t>
      </w:r>
      <w:r>
        <w:rPr>
          <w:rFonts w:hint="eastAsia" w:ascii="宋体" w:hAnsi="宋体" w:eastAsia="宋体" w:cs="宋体"/>
          <w:bCs/>
          <w:color w:val="auto"/>
          <w:sz w:val="24"/>
          <w:szCs w:val="24"/>
          <w:lang w:eastAsia="zh-CN"/>
        </w:rPr>
        <w:t>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工作台阶坡面角：</w:t>
      </w:r>
      <w:r>
        <w:rPr>
          <w:rFonts w:hint="eastAsia" w:ascii="宋体" w:hAnsi="宋体" w:eastAsia="宋体" w:cs="宋体"/>
          <w:bCs/>
          <w:color w:val="auto"/>
          <w:sz w:val="24"/>
          <w:szCs w:val="24"/>
          <w:lang w:val="en-US" w:eastAsia="zh-CN"/>
        </w:rPr>
        <w:t>60</w:t>
      </w:r>
      <w:r>
        <w:rPr>
          <w:rFonts w:hint="eastAsia" w:ascii="宋体" w:hAnsi="宋体" w:eastAsia="宋体" w:cs="宋体"/>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工作平台最小宽度：</w:t>
      </w:r>
      <w:r>
        <w:rPr>
          <w:rFonts w:hint="eastAsia" w:ascii="宋体" w:hAnsi="宋体" w:eastAsia="宋体" w:cs="宋体"/>
          <w:bCs/>
          <w:color w:val="auto"/>
          <w:sz w:val="24"/>
          <w:szCs w:val="24"/>
          <w:lang w:val="en-US" w:eastAsia="zh-CN"/>
        </w:rPr>
        <w:t>40</w:t>
      </w:r>
      <w:r>
        <w:rPr>
          <w:rFonts w:hint="eastAsia" w:ascii="宋体" w:hAnsi="宋体" w:eastAsia="宋体" w:cs="宋体"/>
          <w:bCs/>
          <w:color w:val="auto"/>
          <w:sz w:val="24"/>
          <w:szCs w:val="24"/>
          <w:lang w:eastAsia="zh-CN"/>
        </w:rPr>
        <w:t>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工作平台最小长度：</w:t>
      </w:r>
      <w:r>
        <w:rPr>
          <w:rFonts w:hint="eastAsia" w:ascii="宋体" w:hAnsi="宋体" w:eastAsia="宋体" w:cs="宋体"/>
          <w:bCs/>
          <w:color w:val="auto"/>
          <w:sz w:val="24"/>
          <w:szCs w:val="24"/>
          <w:lang w:val="en-US" w:eastAsia="zh-CN"/>
        </w:rPr>
        <w:t>120</w:t>
      </w:r>
      <w:r>
        <w:rPr>
          <w:rFonts w:hint="eastAsia" w:ascii="宋体" w:hAnsi="宋体" w:eastAsia="宋体" w:cs="宋体"/>
          <w:bCs/>
          <w:color w:val="auto"/>
          <w:sz w:val="24"/>
          <w:szCs w:val="24"/>
          <w:lang w:eastAsia="zh-CN"/>
        </w:rPr>
        <w:t>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安全平台宽度：</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清扫</w:t>
      </w:r>
      <w:r>
        <w:rPr>
          <w:rFonts w:hint="eastAsia" w:ascii="宋体" w:hAnsi="宋体" w:eastAsia="宋体" w:cs="宋体"/>
          <w:bCs/>
          <w:color w:val="auto"/>
          <w:sz w:val="24"/>
          <w:szCs w:val="24"/>
          <w:lang w:eastAsia="zh-CN"/>
        </w:rPr>
        <w:t>平台宽度：</w:t>
      </w:r>
      <w:r>
        <w:rPr>
          <w:rFonts w:hint="eastAsia" w:ascii="宋体" w:hAnsi="宋体" w:eastAsia="宋体" w:cs="宋体"/>
          <w:bCs/>
          <w:color w:val="auto"/>
          <w:sz w:val="24"/>
          <w:szCs w:val="24"/>
          <w:lang w:val="en-US" w:eastAsia="zh-CN"/>
        </w:rPr>
        <w:t>8</w:t>
      </w:r>
      <w:r>
        <w:rPr>
          <w:rFonts w:hint="eastAsia" w:ascii="宋体" w:hAnsi="宋体" w:eastAsia="宋体" w:cs="宋体"/>
          <w:bCs/>
          <w:color w:val="auto"/>
          <w:sz w:val="24"/>
          <w:szCs w:val="24"/>
          <w:lang w:eastAsia="zh-CN"/>
        </w:rPr>
        <w:t>米。</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四</w:t>
      </w:r>
      <w:r>
        <w:rPr>
          <w:rFonts w:hint="eastAsia" w:ascii="Times New Roman" w:hAnsi="Times New Roman" w:eastAsia="宋体" w:cs="Times New Roman"/>
          <w:color w:val="auto"/>
          <w:sz w:val="28"/>
          <w:szCs w:val="28"/>
          <w:lang w:eastAsia="zh-CN"/>
        </w:rPr>
        <w:t>）设备选型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（1）设备选择原则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① 矿山附近无电网电源，选用柴油动力设备。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② 主要采装设备选用矿山型全液压挖掘机。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③ 辅助采装设备选用机动灵活的轮胎式装载机。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（2）设备选型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该矿属</w:t>
      </w:r>
      <w:r>
        <w:rPr>
          <w:rFonts w:hint="eastAsia" w:ascii="宋体" w:hAnsi="宋体" w:eastAsia="宋体" w:cs="宋体"/>
          <w:bCs/>
          <w:color w:val="auto"/>
          <w:sz w:val="24"/>
          <w:szCs w:val="24"/>
          <w:lang w:val="en-US" w:eastAsia="zh-CN"/>
        </w:rPr>
        <w:t>中</w:t>
      </w:r>
      <w:r>
        <w:rPr>
          <w:rFonts w:hint="eastAsia" w:ascii="宋体" w:hAnsi="宋体" w:eastAsia="宋体" w:cs="宋体"/>
          <w:bCs/>
          <w:color w:val="auto"/>
          <w:sz w:val="24"/>
          <w:szCs w:val="24"/>
        </w:rPr>
        <w:t>型生产规模矿山，矿岩硬度不大，主要采装设备设计选择具有先进技术水平的小松PC-460-11M0大型液压挖掘机</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斗容2.</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0m³,功率270Kw，最大挖掘高度10.78米。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该全液压挖掘机为</w:t>
      </w:r>
      <w:r>
        <w:rPr>
          <w:rFonts w:hint="eastAsia" w:ascii="宋体" w:hAnsi="宋体" w:eastAsia="宋体" w:cs="宋体"/>
          <w:bCs/>
          <w:color w:val="auto"/>
          <w:sz w:val="24"/>
          <w:szCs w:val="24"/>
          <w:lang w:val="en-US" w:eastAsia="zh-CN"/>
        </w:rPr>
        <w:t>小松</w:t>
      </w:r>
      <w:r>
        <w:rPr>
          <w:rFonts w:hint="eastAsia" w:ascii="宋体" w:hAnsi="宋体" w:eastAsia="宋体" w:cs="宋体"/>
          <w:bCs/>
          <w:color w:val="auto"/>
          <w:sz w:val="24"/>
          <w:szCs w:val="24"/>
        </w:rPr>
        <w:t>公司生产，技术先进，具有操作方便、挖掘力强、工作可靠、效率高等特点，是国内露天矿山理想的铲装设备。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（3）挖掘机数量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设计按年采剥总量</w:t>
      </w:r>
      <w:r>
        <w:rPr>
          <w:rFonts w:hint="eastAsia" w:ascii="宋体" w:hAnsi="宋体" w:eastAsia="宋体" w:cs="宋体"/>
          <w:bCs/>
          <w:color w:val="auto"/>
          <w:sz w:val="24"/>
          <w:szCs w:val="24"/>
          <w:lang w:val="en-US" w:eastAsia="zh-CN"/>
        </w:rPr>
        <w:t>20.33万m³</w:t>
      </w:r>
      <w:r>
        <w:rPr>
          <w:rFonts w:hint="eastAsia" w:ascii="宋体" w:hAnsi="宋体" w:eastAsia="宋体" w:cs="宋体"/>
          <w:bCs/>
          <w:color w:val="auto"/>
          <w:sz w:val="24"/>
          <w:szCs w:val="24"/>
        </w:rPr>
        <w:t>计算设备数量。矿山年作业天数</w:t>
      </w:r>
      <w:r>
        <w:rPr>
          <w:rFonts w:hint="eastAsia" w:ascii="宋体" w:hAnsi="宋体" w:eastAsia="宋体" w:cs="宋体"/>
          <w:bCs/>
          <w:color w:val="auto"/>
          <w:sz w:val="24"/>
          <w:szCs w:val="24"/>
          <w:lang w:val="en-US" w:eastAsia="zh-CN"/>
        </w:rPr>
        <w:t>270</w:t>
      </w:r>
      <w:r>
        <w:rPr>
          <w:rFonts w:hint="eastAsia" w:ascii="宋体" w:hAnsi="宋体" w:eastAsia="宋体" w:cs="宋体"/>
          <w:bCs/>
          <w:color w:val="auto"/>
          <w:sz w:val="24"/>
          <w:szCs w:val="24"/>
        </w:rPr>
        <w:t>天，每天</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班。PC-460-11M0型全液压挖掘机斗容2.</w:t>
      </w:r>
      <w:r>
        <w:rPr>
          <w:rFonts w:hint="eastAsia" w:ascii="宋体" w:hAnsi="宋体" w:eastAsia="宋体" w:cs="宋体"/>
          <w:bCs/>
          <w:color w:val="auto"/>
          <w:sz w:val="24"/>
          <w:szCs w:val="24"/>
          <w:lang w:val="en-US" w:eastAsia="zh-CN"/>
        </w:rPr>
        <w:t>60</w:t>
      </w:r>
      <w:r>
        <w:rPr>
          <w:rFonts w:hint="eastAsia" w:ascii="宋体" w:hAnsi="宋体" w:eastAsia="宋体" w:cs="宋体"/>
          <w:bCs/>
          <w:color w:val="auto"/>
          <w:sz w:val="24"/>
          <w:szCs w:val="24"/>
        </w:rPr>
        <w:t>m³，</w:t>
      </w: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rPr>
        <w:t>台PC-460-11M0型挖掘机全年可完成采剥总量，满足矿山的需求。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运输汽车</w:t>
      </w:r>
      <w:r>
        <w:rPr>
          <w:rFonts w:hint="eastAsia" w:ascii="宋体" w:hAnsi="宋体" w:eastAsia="宋体" w:cs="宋体"/>
          <w:bCs/>
          <w:color w:val="auto"/>
          <w:sz w:val="24"/>
          <w:szCs w:val="24"/>
        </w:rPr>
        <w:t>数量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kern w:val="0"/>
          <w:sz w:val="24"/>
        </w:rPr>
      </w:pPr>
      <w:r>
        <w:rPr>
          <w:rFonts w:hint="eastAsia" w:ascii="宋体" w:hAnsi="宋体" w:eastAsia="宋体" w:cs="宋体"/>
          <w:bCs/>
          <w:color w:val="auto"/>
          <w:sz w:val="24"/>
          <w:szCs w:val="24"/>
        </w:rPr>
        <w:t>设计选用</w:t>
      </w: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lang w:val="en-US" w:eastAsia="zh-CN"/>
        </w:rPr>
        <w:t>辆</w:t>
      </w:r>
      <w:r>
        <w:rPr>
          <w:rFonts w:hint="eastAsia" w:ascii="宋体" w:hAnsi="宋体" w:eastAsia="宋体" w:cs="宋体"/>
          <w:bCs/>
          <w:color w:val="auto"/>
          <w:sz w:val="24"/>
          <w:szCs w:val="24"/>
        </w:rPr>
        <w:t>载重</w:t>
      </w:r>
      <w:r>
        <w:rPr>
          <w:rFonts w:hint="eastAsia" w:ascii="宋体" w:hAnsi="宋体" w:eastAsia="宋体" w:cs="宋体"/>
          <w:bCs/>
          <w:color w:val="auto"/>
          <w:sz w:val="24"/>
          <w:szCs w:val="24"/>
          <w:lang w:val="en-US" w:eastAsia="zh-CN"/>
        </w:rPr>
        <w:t>30</w:t>
      </w:r>
      <w:r>
        <w:rPr>
          <w:rFonts w:hint="eastAsia" w:ascii="宋体" w:hAnsi="宋体" w:eastAsia="宋体" w:cs="宋体"/>
          <w:bCs/>
          <w:color w:val="auto"/>
          <w:sz w:val="24"/>
          <w:szCs w:val="24"/>
        </w:rPr>
        <w:t>t</w:t>
      </w:r>
      <w:r>
        <w:rPr>
          <w:rFonts w:hint="eastAsia" w:ascii="宋体" w:hAnsi="宋体" w:eastAsia="宋体" w:cs="宋体"/>
          <w:bCs/>
          <w:color w:val="auto"/>
          <w:sz w:val="24"/>
          <w:szCs w:val="24"/>
          <w:lang w:eastAsia="zh-CN"/>
        </w:rPr>
        <w:t>矿用</w:t>
      </w:r>
      <w:r>
        <w:rPr>
          <w:rFonts w:hint="eastAsia" w:ascii="宋体" w:hAnsi="宋体" w:eastAsia="宋体" w:cs="宋体"/>
          <w:bCs/>
          <w:color w:val="auto"/>
          <w:sz w:val="24"/>
          <w:szCs w:val="24"/>
        </w:rPr>
        <w:t>自卸式汽车</w:t>
      </w:r>
      <w:r>
        <w:rPr>
          <w:rFonts w:hint="eastAsia" w:ascii="宋体" w:hAnsi="宋体" w:eastAsia="宋体" w:cs="宋体"/>
          <w:bCs/>
          <w:color w:val="auto"/>
          <w:sz w:val="24"/>
          <w:szCs w:val="24"/>
          <w:lang w:val="en-US" w:eastAsia="zh-CN"/>
        </w:rPr>
        <w:t>用于运输岩石，矿石委托社会车辆。矿山每班需运输岩石量12.22m³，</w:t>
      </w:r>
      <w:r>
        <w:rPr>
          <w:rFonts w:hint="eastAsia" w:ascii="宋体" w:hAnsi="宋体" w:eastAsia="宋体" w:cs="宋体"/>
          <w:color w:val="auto"/>
          <w:kern w:val="0"/>
          <w:sz w:val="24"/>
        </w:rPr>
        <w:t>设计选取</w:t>
      </w:r>
      <w:r>
        <w:rPr>
          <w:rFonts w:hint="eastAsia" w:ascii="宋体" w:hAnsi="宋体" w:cs="宋体"/>
          <w:color w:val="auto"/>
          <w:kern w:val="0"/>
          <w:sz w:val="24"/>
          <w:lang w:val="en-US" w:eastAsia="zh-CN"/>
        </w:rPr>
        <w:t>2</w:t>
      </w:r>
      <w:r>
        <w:rPr>
          <w:rFonts w:hint="eastAsia" w:ascii="宋体" w:hAnsi="宋体" w:eastAsia="宋体" w:cs="宋体"/>
          <w:color w:val="auto"/>
          <w:kern w:val="0"/>
          <w:sz w:val="24"/>
        </w:rPr>
        <w:t>台</w:t>
      </w:r>
      <w:r>
        <w:rPr>
          <w:rFonts w:hint="eastAsia" w:ascii="宋体" w:hAnsi="宋体" w:eastAsia="宋体" w:cs="宋体"/>
          <w:color w:val="auto"/>
          <w:kern w:val="0"/>
          <w:sz w:val="24"/>
          <w:lang w:val="en-US" w:eastAsia="zh-CN"/>
        </w:rPr>
        <w:t>30</w:t>
      </w:r>
      <w:r>
        <w:rPr>
          <w:rFonts w:hint="eastAsia" w:ascii="宋体" w:hAnsi="宋体" w:eastAsia="宋体" w:cs="宋体"/>
          <w:color w:val="auto"/>
          <w:kern w:val="0"/>
          <w:sz w:val="24"/>
        </w:rPr>
        <w:t>t</w:t>
      </w:r>
      <w:r>
        <w:rPr>
          <w:rFonts w:hint="eastAsia" w:ascii="宋体" w:hAnsi="宋体" w:eastAsia="宋体" w:cs="宋体"/>
          <w:color w:val="auto"/>
          <w:kern w:val="0"/>
          <w:sz w:val="24"/>
          <w:lang w:eastAsia="zh-CN"/>
        </w:rPr>
        <w:t>矿用</w:t>
      </w:r>
      <w:r>
        <w:rPr>
          <w:rFonts w:hint="eastAsia" w:ascii="宋体" w:hAnsi="宋体" w:eastAsia="宋体" w:cs="宋体"/>
          <w:color w:val="auto"/>
          <w:kern w:val="0"/>
          <w:sz w:val="24"/>
        </w:rPr>
        <w:t>自卸汽车</w:t>
      </w:r>
      <w:r>
        <w:rPr>
          <w:rFonts w:hint="eastAsia" w:ascii="宋体" w:hAnsi="宋体" w:eastAsia="宋体" w:cs="宋体"/>
          <w:color w:val="auto"/>
          <w:kern w:val="0"/>
          <w:sz w:val="24"/>
          <w:lang w:eastAsia="zh-CN"/>
        </w:rPr>
        <w:t>满足运输要求</w:t>
      </w:r>
      <w:r>
        <w:rPr>
          <w:rFonts w:hint="eastAsia" w:ascii="宋体" w:hAnsi="宋体" w:eastAsia="宋体" w:cs="宋体"/>
          <w:color w:val="auto"/>
          <w:kern w:val="0"/>
          <w:sz w:val="24"/>
        </w:rPr>
        <w:t>。</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五</w:t>
      </w:r>
      <w:r>
        <w:rPr>
          <w:rFonts w:hint="eastAsia" w:ascii="Times New Roman" w:hAnsi="Times New Roman" w:eastAsia="宋体" w:cs="Times New Roman"/>
          <w:color w:val="auto"/>
          <w:sz w:val="28"/>
          <w:szCs w:val="28"/>
          <w:lang w:eastAsia="zh-CN"/>
        </w:rPr>
        <w:t>）矿山基建</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1</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基建水平</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根据矿床地质条件、矿山建设规模</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开采境界圈定结果</w:t>
      </w:r>
      <w:r>
        <w:rPr>
          <w:rFonts w:hint="eastAsia" w:ascii="宋体" w:hAnsi="宋体" w:eastAsia="宋体" w:cs="宋体"/>
          <w:color w:val="auto"/>
          <w:kern w:val="0"/>
          <w:sz w:val="24"/>
          <w:lang w:val="en-US" w:eastAsia="zh-CN"/>
        </w:rPr>
        <w:t>及矿区开采顺序</w:t>
      </w:r>
      <w:r>
        <w:rPr>
          <w:rFonts w:hint="eastAsia" w:ascii="宋体" w:hAnsi="宋体" w:eastAsia="宋体" w:cs="宋体"/>
          <w:color w:val="auto"/>
          <w:kern w:val="0"/>
          <w:sz w:val="24"/>
        </w:rPr>
        <w:t>，确定</w:t>
      </w:r>
      <w:r>
        <w:rPr>
          <w:rFonts w:hint="eastAsia" w:ascii="宋体" w:hAnsi="宋体" w:eastAsia="宋体" w:cs="宋体"/>
          <w:color w:val="auto"/>
          <w:kern w:val="0"/>
          <w:sz w:val="24"/>
          <w:lang w:val="en-US" w:eastAsia="zh-CN"/>
        </w:rPr>
        <w:t>以北部开采面的1240、1230、1220</w:t>
      </w:r>
      <w:r>
        <w:rPr>
          <w:rFonts w:hint="eastAsia" w:ascii="宋体" w:hAnsi="宋体" w:eastAsia="宋体" w:cs="宋体"/>
          <w:color w:val="auto"/>
          <w:kern w:val="0"/>
          <w:sz w:val="24"/>
        </w:rPr>
        <w:t>米台阶为基建水平。</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基建剥离工程量为剥离废石：</w:t>
      </w:r>
      <w:r>
        <w:rPr>
          <w:rFonts w:hint="eastAsia" w:ascii="宋体" w:hAnsi="宋体" w:eastAsia="宋体" w:cs="宋体"/>
          <w:color w:val="auto"/>
          <w:kern w:val="0"/>
          <w:sz w:val="24"/>
          <w:lang w:val="en-US" w:eastAsia="zh-CN"/>
        </w:rPr>
        <w:t>0.30万m³</w:t>
      </w:r>
      <w:r>
        <w:rPr>
          <w:rFonts w:hint="eastAsia" w:ascii="宋体" w:hAnsi="宋体" w:eastAsia="宋体" w:cs="宋体"/>
          <w:color w:val="auto"/>
          <w:kern w:val="0"/>
          <w:sz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修筑道路</w:t>
      </w:r>
      <w:r>
        <w:rPr>
          <w:rFonts w:hint="eastAsia" w:ascii="宋体" w:hAnsi="宋体" w:eastAsia="宋体" w:cs="宋体"/>
          <w:color w:val="auto"/>
          <w:kern w:val="0"/>
          <w:sz w:val="24"/>
          <w:lang w:val="en-US" w:eastAsia="zh-CN"/>
        </w:rPr>
        <w:t>1100</w:t>
      </w:r>
      <w:r>
        <w:rPr>
          <w:rFonts w:hint="eastAsia" w:ascii="宋体" w:hAnsi="宋体" w:eastAsia="宋体" w:cs="宋体"/>
          <w:color w:val="auto"/>
          <w:kern w:val="0"/>
          <w:sz w:val="24"/>
        </w:rPr>
        <w:t>m。</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2</w:t>
      </w:r>
      <w:r>
        <w:rPr>
          <w:rFonts w:hint="eastAsia" w:ascii="宋体" w:hAnsi="宋体" w:eastAsia="宋体" w:cs="宋体"/>
          <w:color w:val="auto"/>
          <w:kern w:val="0"/>
          <w:sz w:val="24"/>
          <w:lang w:eastAsia="zh-CN"/>
        </w:rPr>
        <w:t>）二级矿量</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完成上述基建工程形成的二级矿量如下：</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开拓矿量：</w:t>
      </w:r>
      <w:r>
        <w:rPr>
          <w:rFonts w:hint="eastAsia" w:ascii="宋体" w:hAnsi="宋体" w:eastAsia="宋体" w:cs="宋体"/>
          <w:color w:val="auto"/>
          <w:kern w:val="0"/>
          <w:sz w:val="24"/>
          <w:lang w:val="en-US" w:eastAsia="zh-CN"/>
        </w:rPr>
        <w:t>25.26</w:t>
      </w:r>
      <w:r>
        <w:rPr>
          <w:rFonts w:hint="eastAsia" w:ascii="宋体" w:hAnsi="宋体" w:eastAsia="宋体" w:cs="宋体"/>
          <w:color w:val="auto"/>
          <w:kern w:val="0"/>
          <w:sz w:val="24"/>
          <w:lang w:eastAsia="zh-CN"/>
        </w:rPr>
        <w:t>万</w:t>
      </w:r>
      <w:r>
        <w:rPr>
          <w:rFonts w:hint="eastAsia" w:ascii="宋体" w:hAnsi="宋体" w:eastAsia="宋体" w:cs="宋体"/>
          <w:color w:val="auto"/>
          <w:kern w:val="0"/>
          <w:sz w:val="24"/>
          <w:lang w:val="en-US" w:eastAsia="zh-CN"/>
        </w:rPr>
        <w:t>m³</w:t>
      </w:r>
      <w:r>
        <w:rPr>
          <w:rFonts w:hint="eastAsia" w:ascii="宋体" w:hAnsi="宋体" w:eastAsia="宋体" w:cs="宋体"/>
          <w:color w:val="auto"/>
          <w:kern w:val="0"/>
          <w:sz w:val="24"/>
          <w:lang w:eastAsia="zh-CN"/>
        </w:rPr>
        <w:t xml:space="preserve">  </w:t>
      </w:r>
      <w:r>
        <w:rPr>
          <w:rFonts w:hint="eastAsia" w:ascii="宋体" w:hAnsi="宋体" w:eastAsia="宋体" w:cs="宋体"/>
          <w:color w:val="auto"/>
          <w:kern w:val="0"/>
          <w:sz w:val="24"/>
          <w:lang w:eastAsia="zh-CN"/>
        </w:rPr>
        <w:tab/>
      </w:r>
      <w:r>
        <w:rPr>
          <w:rFonts w:hint="eastAsia" w:ascii="宋体" w:hAnsi="宋体" w:eastAsia="宋体" w:cs="宋体"/>
          <w:color w:val="auto"/>
          <w:kern w:val="0"/>
          <w:sz w:val="24"/>
          <w:lang w:eastAsia="zh-CN"/>
        </w:rPr>
        <w:tab/>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eastAsia="zh-CN"/>
        </w:rPr>
        <w:t>保有期：</w:t>
      </w:r>
      <w:r>
        <w:rPr>
          <w:rFonts w:hint="eastAsia" w:ascii="宋体" w:hAnsi="宋体" w:eastAsia="宋体" w:cs="宋体"/>
          <w:color w:val="auto"/>
          <w:kern w:val="0"/>
          <w:sz w:val="24"/>
          <w:lang w:val="en-US" w:eastAsia="zh-CN"/>
        </w:rPr>
        <w:t>1.24</w:t>
      </w:r>
      <w:r>
        <w:rPr>
          <w:rFonts w:hint="eastAsia" w:ascii="宋体" w:hAnsi="宋体" w:eastAsia="宋体" w:cs="宋体"/>
          <w:color w:val="auto"/>
          <w:kern w:val="0"/>
          <w:sz w:val="24"/>
          <w:lang w:eastAsia="zh-CN"/>
        </w:rPr>
        <w:t>a；</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备采矿量：</w:t>
      </w:r>
      <w:r>
        <w:rPr>
          <w:rFonts w:hint="eastAsia" w:ascii="宋体" w:hAnsi="宋体" w:eastAsia="宋体" w:cs="宋体"/>
          <w:color w:val="auto"/>
          <w:kern w:val="0"/>
          <w:sz w:val="24"/>
          <w:lang w:val="en-US" w:eastAsia="zh-CN"/>
        </w:rPr>
        <w:t>17.55</w:t>
      </w:r>
      <w:r>
        <w:rPr>
          <w:rFonts w:hint="eastAsia" w:ascii="宋体" w:hAnsi="宋体" w:eastAsia="宋体" w:cs="宋体"/>
          <w:color w:val="auto"/>
          <w:kern w:val="0"/>
          <w:sz w:val="24"/>
          <w:lang w:eastAsia="zh-CN"/>
        </w:rPr>
        <w:t>万</w:t>
      </w:r>
      <w:r>
        <w:rPr>
          <w:rFonts w:hint="eastAsia" w:ascii="宋体" w:hAnsi="宋体" w:eastAsia="宋体" w:cs="宋体"/>
          <w:color w:val="auto"/>
          <w:kern w:val="0"/>
          <w:sz w:val="24"/>
          <w:lang w:val="en-US" w:eastAsia="zh-CN"/>
        </w:rPr>
        <w:t>m³</w:t>
      </w:r>
      <w:r>
        <w:rPr>
          <w:rFonts w:hint="eastAsia" w:ascii="宋体" w:hAnsi="宋体" w:eastAsia="宋体" w:cs="宋体"/>
          <w:color w:val="auto"/>
          <w:kern w:val="0"/>
          <w:sz w:val="24"/>
          <w:lang w:eastAsia="zh-CN"/>
        </w:rPr>
        <w:tab/>
      </w:r>
      <w:r>
        <w:rPr>
          <w:rFonts w:hint="eastAsia" w:ascii="宋体" w:hAnsi="宋体" w:eastAsia="宋体" w:cs="宋体"/>
          <w:color w:val="auto"/>
          <w:kern w:val="0"/>
          <w:sz w:val="24"/>
          <w:lang w:eastAsia="zh-CN"/>
        </w:rPr>
        <w:tab/>
      </w:r>
      <w:r>
        <w:rPr>
          <w:rFonts w:hint="eastAsia" w:ascii="宋体" w:hAnsi="宋体" w:eastAsia="宋体" w:cs="宋体"/>
          <w:color w:val="auto"/>
          <w:kern w:val="0"/>
          <w:sz w:val="24"/>
          <w:lang w:eastAsia="zh-CN"/>
        </w:rPr>
        <w:tab/>
      </w:r>
      <w:r>
        <w:rPr>
          <w:rFonts w:hint="eastAsia" w:ascii="宋体" w:hAnsi="宋体" w:eastAsia="宋体" w:cs="宋体"/>
          <w:color w:val="auto"/>
          <w:kern w:val="0"/>
          <w:sz w:val="24"/>
          <w:lang w:val="en-US" w:eastAsia="zh-CN"/>
        </w:rPr>
        <w:t xml:space="preserve">   </w:t>
      </w:r>
      <w:r>
        <w:rPr>
          <w:rFonts w:hint="eastAsia" w:ascii="宋体" w:hAnsi="宋体" w:eastAsia="宋体" w:cs="宋体"/>
          <w:color w:val="auto"/>
          <w:kern w:val="0"/>
          <w:sz w:val="24"/>
          <w:lang w:eastAsia="zh-CN"/>
        </w:rPr>
        <w:t>保有期：0.</w:t>
      </w:r>
      <w:r>
        <w:rPr>
          <w:rFonts w:hint="eastAsia" w:ascii="宋体" w:hAnsi="宋体" w:eastAsia="宋体" w:cs="宋体"/>
          <w:color w:val="auto"/>
          <w:kern w:val="0"/>
          <w:sz w:val="24"/>
          <w:lang w:val="en-US" w:eastAsia="zh-CN"/>
        </w:rPr>
        <w:t>86</w:t>
      </w:r>
      <w:r>
        <w:rPr>
          <w:rFonts w:hint="eastAsia" w:ascii="宋体" w:hAnsi="宋体" w:eastAsia="宋体" w:cs="宋体"/>
          <w:color w:val="auto"/>
          <w:kern w:val="0"/>
          <w:sz w:val="24"/>
          <w:lang w:eastAsia="zh-CN"/>
        </w:rPr>
        <w:t>a。</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lang w:eastAsia="zh-CN"/>
        </w:rPr>
        <w:t>（</w:t>
      </w:r>
      <w:r>
        <w:rPr>
          <w:rFonts w:hint="eastAsia" w:ascii="宋体" w:hAnsi="宋体" w:eastAsia="宋体" w:cs="宋体"/>
          <w:color w:val="auto"/>
          <w:kern w:val="0"/>
          <w:sz w:val="24"/>
          <w:lang w:val="en-US" w:eastAsia="zh-CN"/>
        </w:rPr>
        <w:t>3</w:t>
      </w:r>
      <w:r>
        <w:rPr>
          <w:rFonts w:hint="eastAsia" w:ascii="宋体" w:hAnsi="宋体" w:eastAsia="宋体" w:cs="宋体"/>
          <w:color w:val="auto"/>
          <w:kern w:val="0"/>
          <w:sz w:val="24"/>
          <w:lang w:eastAsia="zh-CN"/>
        </w:rPr>
        <w:t>）</w:t>
      </w:r>
      <w:r>
        <w:rPr>
          <w:rFonts w:hint="eastAsia" w:ascii="宋体" w:hAnsi="宋体" w:eastAsia="宋体" w:cs="宋体"/>
          <w:color w:val="auto"/>
          <w:kern w:val="0"/>
          <w:sz w:val="24"/>
        </w:rPr>
        <w:t>基建时间及投产比例</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rPr>
      </w:pPr>
      <w:r>
        <w:rPr>
          <w:rFonts w:hint="eastAsia" w:ascii="宋体" w:hAnsi="宋体" w:eastAsia="宋体" w:cs="宋体"/>
          <w:color w:val="auto"/>
          <w:kern w:val="0"/>
          <w:sz w:val="24"/>
        </w:rPr>
        <w:t>矿山基建</w:t>
      </w:r>
      <w:r>
        <w:rPr>
          <w:rFonts w:hint="eastAsia" w:ascii="宋体" w:hAnsi="宋体" w:eastAsia="宋体" w:cs="宋体"/>
          <w:color w:val="auto"/>
          <w:kern w:val="0"/>
          <w:sz w:val="24"/>
          <w:lang w:val="en-US" w:eastAsia="zh-CN"/>
        </w:rPr>
        <w:t>需具有资质的施工单位进行施工</w:t>
      </w:r>
      <w:r>
        <w:rPr>
          <w:rFonts w:hint="eastAsia" w:ascii="宋体" w:hAnsi="宋体" w:eastAsia="宋体" w:cs="宋体"/>
          <w:color w:val="auto"/>
          <w:kern w:val="0"/>
          <w:sz w:val="24"/>
        </w:rPr>
        <w:t>。按矿山公路施工与采场基建顺序进行考虑，矿山总基建时间</w:t>
      </w:r>
      <w:r>
        <w:rPr>
          <w:rFonts w:hint="eastAsia" w:ascii="宋体" w:hAnsi="宋体" w:eastAsia="宋体" w:cs="宋体"/>
          <w:color w:val="auto"/>
          <w:kern w:val="0"/>
          <w:sz w:val="24"/>
          <w:lang w:val="en-US" w:eastAsia="zh-CN"/>
        </w:rPr>
        <w:t>1年</w:t>
      </w:r>
      <w:r>
        <w:rPr>
          <w:rFonts w:hint="eastAsia" w:ascii="宋体" w:hAnsi="宋体" w:eastAsia="宋体" w:cs="宋体"/>
          <w:color w:val="auto"/>
          <w:kern w:val="0"/>
          <w:sz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573"/>
        <w:jc w:val="both"/>
        <w:textAlignment w:val="auto"/>
        <w:rPr>
          <w:rFonts w:hint="eastAsia" w:ascii="宋体" w:hAnsi="宋体" w:eastAsia="宋体" w:cs="宋体"/>
          <w:color w:val="auto"/>
          <w:kern w:val="0"/>
          <w:sz w:val="24"/>
          <w:lang w:eastAsia="zh-CN"/>
        </w:rPr>
      </w:pPr>
      <w:r>
        <w:rPr>
          <w:rFonts w:hint="eastAsia" w:ascii="宋体" w:hAnsi="宋体" w:eastAsia="宋体" w:cs="宋体"/>
          <w:color w:val="auto"/>
          <w:kern w:val="0"/>
          <w:sz w:val="24"/>
          <w:lang w:eastAsia="zh-CN"/>
        </w:rPr>
        <w:t>矿山投产第一年达到设计产量，年产</w:t>
      </w:r>
      <w:r>
        <w:rPr>
          <w:rFonts w:hint="eastAsia" w:ascii="宋体" w:hAnsi="宋体" w:eastAsia="宋体" w:cs="宋体"/>
          <w:color w:val="auto"/>
          <w:kern w:val="0"/>
          <w:sz w:val="24"/>
          <w:lang w:val="en-US" w:eastAsia="zh-CN"/>
        </w:rPr>
        <w:t>砖瓦用页岩矿</w:t>
      </w:r>
      <w:r>
        <w:rPr>
          <w:rFonts w:hint="eastAsia" w:ascii="宋体" w:hAnsi="宋体" w:eastAsia="宋体" w:cs="宋体"/>
          <w:color w:val="auto"/>
          <w:kern w:val="0"/>
          <w:sz w:val="24"/>
          <w:lang w:eastAsia="zh-CN"/>
        </w:rPr>
        <w:t>石</w:t>
      </w:r>
      <w:r>
        <w:rPr>
          <w:rFonts w:hint="eastAsia" w:ascii="宋体" w:hAnsi="宋体" w:eastAsia="宋体" w:cs="宋体"/>
          <w:color w:val="auto"/>
          <w:kern w:val="0"/>
          <w:sz w:val="24"/>
          <w:lang w:val="en-US" w:eastAsia="zh-CN"/>
        </w:rPr>
        <w:t>20.00万m³</w:t>
      </w:r>
      <w:r>
        <w:rPr>
          <w:rFonts w:hint="eastAsia" w:ascii="宋体" w:hAnsi="宋体" w:eastAsia="宋体" w:cs="宋体"/>
          <w:color w:val="auto"/>
          <w:kern w:val="0"/>
          <w:sz w:val="24"/>
          <w:lang w:eastAsia="zh-CN"/>
        </w:rPr>
        <w:t>。</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六</w:t>
      </w:r>
      <w:r>
        <w:rPr>
          <w:rFonts w:hint="eastAsia" w:ascii="Times New Roman" w:hAnsi="Times New Roman" w:eastAsia="宋体" w:cs="Times New Roman"/>
          <w:color w:val="auto"/>
          <w:sz w:val="28"/>
          <w:szCs w:val="28"/>
          <w:lang w:eastAsia="zh-CN"/>
        </w:rPr>
        <w:t>）矿岩运输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外部运输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矿山外部运输包括矿石的外运，生产、生活物资运进等。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矿区到</w:t>
      </w:r>
      <w:r>
        <w:rPr>
          <w:rFonts w:hint="eastAsia" w:ascii="宋体" w:hAnsi="宋体" w:eastAsia="宋体" w:cs="宋体"/>
          <w:bCs/>
          <w:color w:val="auto"/>
          <w:sz w:val="24"/>
          <w:szCs w:val="24"/>
          <w:lang w:val="en-US" w:eastAsia="zh-CN"/>
        </w:rPr>
        <w:t>伽师县</w:t>
      </w:r>
      <w:r>
        <w:rPr>
          <w:rFonts w:hint="eastAsia" w:ascii="宋体" w:hAnsi="宋体" w:eastAsia="宋体" w:cs="宋体"/>
          <w:bCs/>
          <w:color w:val="auto"/>
          <w:sz w:val="24"/>
          <w:szCs w:val="24"/>
        </w:rPr>
        <w:t>已有公路相通，矿石的外运及生产、生活物资运进较为方便。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采出的矿石</w:t>
      </w:r>
      <w:r>
        <w:rPr>
          <w:rFonts w:hint="eastAsia" w:ascii="宋体" w:hAnsi="宋体" w:eastAsia="宋体" w:cs="宋体"/>
          <w:bCs/>
          <w:color w:val="auto"/>
          <w:sz w:val="24"/>
          <w:szCs w:val="24"/>
          <w:lang w:eastAsia="zh-CN"/>
        </w:rPr>
        <w:t>外部</w:t>
      </w:r>
      <w:r>
        <w:rPr>
          <w:rFonts w:hint="eastAsia" w:ascii="宋体" w:hAnsi="宋体" w:eastAsia="宋体" w:cs="宋体"/>
          <w:bCs/>
          <w:color w:val="auto"/>
          <w:sz w:val="24"/>
          <w:szCs w:val="24"/>
        </w:rPr>
        <w:t>运输委托运输单位承担，采用自卸汽车拉运矿石，矿山仅负责装车工作。矿石运输过程中严禁车辆超载，6级以上大风和大雪、大雨天气应停止作业。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矿山所需的生产、生活物资，均由运矿汽车运进。为了方便日常业务和应急需要，设计矿山配备1辆</w:t>
      </w:r>
      <w:r>
        <w:rPr>
          <w:rFonts w:hint="eastAsia" w:ascii="宋体" w:hAnsi="宋体" w:eastAsia="宋体" w:cs="宋体"/>
          <w:bCs/>
          <w:color w:val="auto"/>
          <w:sz w:val="24"/>
          <w:szCs w:val="24"/>
          <w:lang w:val="en-US" w:eastAsia="zh-CN"/>
        </w:rPr>
        <w:t>公务车</w:t>
      </w:r>
      <w:r>
        <w:rPr>
          <w:rFonts w:hint="eastAsia" w:ascii="宋体" w:hAnsi="宋体" w:eastAsia="宋体" w:cs="宋体"/>
          <w:bCs/>
          <w:color w:val="auto"/>
          <w:sz w:val="24"/>
          <w:szCs w:val="24"/>
        </w:rPr>
        <w:t>作为应急车辆。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（2）</w:t>
      </w:r>
      <w:r>
        <w:rPr>
          <w:rFonts w:hint="eastAsia" w:ascii="宋体" w:hAnsi="宋体" w:eastAsia="宋体" w:cs="宋体"/>
          <w:bCs/>
          <w:color w:val="auto"/>
          <w:sz w:val="24"/>
          <w:szCs w:val="24"/>
        </w:rPr>
        <w:t>内部运输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lang w:val="en-US" w:eastAsia="zh-CN"/>
        </w:rPr>
        <w:t>岩石及表土</w:t>
      </w:r>
      <w:r>
        <w:rPr>
          <w:rFonts w:hint="eastAsia" w:ascii="宋体" w:hAnsi="宋体" w:eastAsia="宋体" w:cs="宋体"/>
          <w:bCs/>
          <w:color w:val="auto"/>
          <w:sz w:val="24"/>
          <w:szCs w:val="24"/>
        </w:rPr>
        <w:t>运输：该矿系山坡</w:t>
      </w:r>
      <w:r>
        <w:rPr>
          <w:rFonts w:hint="eastAsia" w:ascii="宋体" w:hAnsi="宋体" w:eastAsia="宋体" w:cs="宋体"/>
          <w:bCs/>
          <w:color w:val="auto"/>
          <w:sz w:val="24"/>
          <w:szCs w:val="24"/>
          <w:lang w:val="en-US" w:eastAsia="zh-CN"/>
        </w:rPr>
        <w:t>-凹陷</w:t>
      </w:r>
      <w:r>
        <w:rPr>
          <w:rFonts w:hint="eastAsia" w:ascii="宋体" w:hAnsi="宋体" w:eastAsia="宋体" w:cs="宋体"/>
          <w:bCs/>
          <w:color w:val="auto"/>
          <w:sz w:val="24"/>
          <w:szCs w:val="24"/>
        </w:rPr>
        <w:t>露天矿，</w:t>
      </w:r>
      <w:r>
        <w:rPr>
          <w:rFonts w:hint="eastAsia" w:ascii="宋体" w:hAnsi="宋体" w:eastAsia="宋体" w:cs="宋体"/>
          <w:bCs/>
          <w:color w:val="auto"/>
          <w:sz w:val="24"/>
          <w:szCs w:val="24"/>
          <w:lang w:val="en-US" w:eastAsia="zh-CN"/>
        </w:rPr>
        <w:t>岩石及表土</w:t>
      </w:r>
      <w:r>
        <w:rPr>
          <w:rFonts w:hint="eastAsia" w:ascii="宋体" w:hAnsi="宋体" w:eastAsia="宋体" w:cs="宋体"/>
          <w:bCs/>
          <w:color w:val="auto"/>
          <w:sz w:val="24"/>
          <w:szCs w:val="24"/>
        </w:rPr>
        <w:t>运输采用自卸汽车，</w:t>
      </w:r>
      <w:r>
        <w:rPr>
          <w:rFonts w:hint="eastAsia" w:ascii="宋体" w:hAnsi="宋体" w:eastAsia="宋体" w:cs="宋体"/>
          <w:bCs/>
          <w:color w:val="auto"/>
          <w:sz w:val="24"/>
          <w:szCs w:val="24"/>
          <w:lang w:val="en-US" w:eastAsia="zh-CN"/>
        </w:rPr>
        <w:t>岩石及表土</w:t>
      </w:r>
      <w:r>
        <w:rPr>
          <w:rFonts w:hint="eastAsia" w:ascii="宋体" w:hAnsi="宋体" w:eastAsia="宋体" w:cs="宋体"/>
          <w:bCs/>
          <w:color w:val="auto"/>
          <w:sz w:val="24"/>
          <w:szCs w:val="24"/>
        </w:rPr>
        <w:t>装车后直接外运</w:t>
      </w:r>
      <w:r>
        <w:rPr>
          <w:rFonts w:hint="eastAsia" w:ascii="宋体" w:hAnsi="宋体" w:eastAsia="宋体" w:cs="宋体"/>
          <w:bCs/>
          <w:color w:val="auto"/>
          <w:sz w:val="24"/>
          <w:szCs w:val="24"/>
          <w:lang w:val="en-US" w:eastAsia="zh-CN"/>
        </w:rPr>
        <w:t>至相应区域</w:t>
      </w:r>
      <w:r>
        <w:rPr>
          <w:rFonts w:hint="eastAsia" w:ascii="宋体" w:hAnsi="宋体" w:eastAsia="宋体" w:cs="宋体"/>
          <w:bCs/>
          <w:color w:val="auto"/>
          <w:sz w:val="24"/>
          <w:szCs w:val="24"/>
        </w:rPr>
        <w:t>。</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七</w:t>
      </w:r>
      <w:r>
        <w:rPr>
          <w:rFonts w:hint="eastAsia" w:ascii="Times New Roman" w:hAnsi="Times New Roman" w:eastAsia="宋体" w:cs="Times New Roman"/>
          <w:color w:val="auto"/>
          <w:sz w:val="28"/>
          <w:szCs w:val="28"/>
          <w:lang w:eastAsia="zh-CN"/>
        </w:rPr>
        <w:t>）采矿场主要设备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采场主要设备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
          <w:color w:val="auto"/>
          <w:sz w:val="24"/>
          <w:szCs w:val="24"/>
        </w:rPr>
      </w:pPr>
      <w:r>
        <w:rPr>
          <w:rFonts w:hint="eastAsia" w:ascii="宋体" w:hAnsi="宋体" w:eastAsia="宋体" w:cs="宋体"/>
          <w:bCs/>
          <w:color w:val="auto"/>
          <w:sz w:val="24"/>
          <w:szCs w:val="24"/>
        </w:rPr>
        <w:t>采矿场主要设备，详见</w:t>
      </w:r>
      <w:r>
        <w:rPr>
          <w:rFonts w:hint="eastAsia" w:ascii="宋体" w:hAnsi="宋体" w:eastAsia="宋体" w:cs="宋体"/>
          <w:bCs/>
          <w:color w:val="auto"/>
          <w:sz w:val="24"/>
          <w:szCs w:val="24"/>
          <w:lang w:eastAsia="zh-CN"/>
        </w:rPr>
        <w:t>附表</w:t>
      </w:r>
      <w:r>
        <w:rPr>
          <w:rFonts w:hint="eastAsia" w:ascii="宋体" w:hAnsi="宋体" w:eastAsia="宋体" w:cs="宋体"/>
          <w:bCs/>
          <w:color w:val="auto"/>
          <w:sz w:val="24"/>
          <w:szCs w:val="24"/>
        </w:rPr>
        <w:t>2-3</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w:t>
      </w:r>
    </w:p>
    <w:p>
      <w:pPr>
        <w:spacing w:line="240" w:lineRule="auto"/>
        <w:ind w:firstLine="422" w:firstLineChars="20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表2-3-4  采矿场主要设备表</w:t>
      </w:r>
    </w:p>
    <w:tbl>
      <w:tblPr>
        <w:tblStyle w:val="53"/>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8"/>
        <w:gridCol w:w="1520"/>
        <w:gridCol w:w="5209"/>
        <w:gridCol w:w="1095"/>
        <w:gridCol w:w="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52" w:hRule="atLeast"/>
          <w:tblHeader/>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名　称</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规格型号</w:t>
            </w:r>
          </w:p>
        </w:tc>
        <w:tc>
          <w:tcPr>
            <w:tcW w:w="109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数量(台)</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液压破碎锤</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JM1500S液压破碎锤，直径150毫米</w:t>
            </w:r>
          </w:p>
        </w:tc>
        <w:tc>
          <w:tcPr>
            <w:tcW w:w="109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柴油挖掘机</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小松PC-200型液压挖掘机，与液压破碎锤配套</w:t>
            </w:r>
          </w:p>
        </w:tc>
        <w:tc>
          <w:tcPr>
            <w:tcW w:w="109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柴油挖掘机</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小松PC-460-11M0大型液压挖掘机斗容2.6m³,功率270Kw，最大挖掘高度10.78米</w:t>
            </w:r>
          </w:p>
        </w:tc>
        <w:tc>
          <w:tcPr>
            <w:tcW w:w="109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矿用自卸汽车</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30吨</w:t>
            </w:r>
          </w:p>
        </w:tc>
        <w:tc>
          <w:tcPr>
            <w:tcW w:w="109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2</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9167" w:type="dxa"/>
            <w:gridSpan w:val="5"/>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采矿辅助生产设备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名　称</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规格型号</w:t>
            </w:r>
          </w:p>
        </w:tc>
        <w:tc>
          <w:tcPr>
            <w:tcW w:w="109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数量(台)</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潜水排污泵</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KWQ200-500-30-40，流量500m³/h，扬程30m</w:t>
            </w:r>
          </w:p>
        </w:tc>
        <w:tc>
          <w:tcPr>
            <w:tcW w:w="109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直流电焊机</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ZX7400K，电压380V，功率2kW</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交流电焊机</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BX1-630，电压380V，功率2kW</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车床</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CA6140，功率9kW</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刨床</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B665，功率6kW</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钻床</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Z3050，功率5kW</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砂轮机</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Φ300×400×Φ75，电压380V，功率1kW</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洒水车</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8m³</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锅炉</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5立方米</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交通车</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19座</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公务车</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5座</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5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生活服务车</w:t>
            </w:r>
          </w:p>
        </w:tc>
        <w:tc>
          <w:tcPr>
            <w:tcW w:w="520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1吨</w:t>
            </w:r>
          </w:p>
        </w:tc>
        <w:tc>
          <w:tcPr>
            <w:tcW w:w="109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bl>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lang w:val="en-US" w:eastAsia="zh-CN"/>
        </w:rPr>
      </w:pPr>
      <w:bookmarkStart w:id="121" w:name="_Toc12365"/>
      <w:bookmarkStart w:id="122" w:name="_Toc6824"/>
      <w:r>
        <w:rPr>
          <w:rFonts w:hint="eastAsia" w:ascii="宋体" w:hAnsi="宋体" w:eastAsia="宋体" w:cs="宋体"/>
          <w:b/>
          <w:color w:val="auto"/>
          <w:sz w:val="30"/>
          <w:szCs w:val="30"/>
          <w:highlight w:val="none"/>
          <w:lang w:val="en-US" w:eastAsia="zh-CN"/>
        </w:rPr>
        <w:t>四、全矿劳动定员</w:t>
      </w:r>
      <w:bookmarkEnd w:id="121"/>
      <w:bookmarkEnd w:id="12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根据矿区气候条件和生产规模，矿山年工作日数为</w:t>
      </w:r>
      <w:r>
        <w:rPr>
          <w:rFonts w:hint="eastAsia" w:ascii="宋体" w:hAnsi="宋体" w:eastAsia="宋体" w:cs="宋体"/>
          <w:bCs/>
          <w:color w:val="auto"/>
          <w:sz w:val="24"/>
          <w:szCs w:val="24"/>
          <w:lang w:val="en-US" w:eastAsia="zh-CN"/>
        </w:rPr>
        <w:t>270</w:t>
      </w:r>
      <w:r>
        <w:rPr>
          <w:rFonts w:hint="eastAsia" w:ascii="宋体" w:hAnsi="宋体" w:eastAsia="宋体" w:cs="宋体"/>
          <w:bCs/>
          <w:color w:val="auto"/>
          <w:sz w:val="24"/>
          <w:szCs w:val="24"/>
        </w:rPr>
        <w:t>天，每天工作</w:t>
      </w:r>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rPr>
        <w:t>班，每班工作8小时。</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矿山采矿</w:t>
      </w:r>
      <w:r>
        <w:rPr>
          <w:rFonts w:hint="eastAsia" w:ascii="宋体" w:hAnsi="宋体" w:eastAsia="宋体" w:cs="宋体"/>
          <w:bCs/>
          <w:color w:val="auto"/>
          <w:sz w:val="24"/>
          <w:szCs w:val="24"/>
        </w:rPr>
        <w:t>劳动定员为</w:t>
      </w:r>
      <w:r>
        <w:rPr>
          <w:rFonts w:hint="eastAsia" w:ascii="宋体" w:hAnsi="宋体" w:eastAsia="宋体" w:cs="宋体"/>
          <w:bCs/>
          <w:color w:val="auto"/>
          <w:sz w:val="24"/>
          <w:szCs w:val="24"/>
          <w:lang w:val="en-US" w:eastAsia="zh-CN"/>
        </w:rPr>
        <w:t>20</w:t>
      </w:r>
      <w:r>
        <w:rPr>
          <w:rFonts w:hint="eastAsia" w:ascii="宋体" w:hAnsi="宋体" w:eastAsia="宋体" w:cs="宋体"/>
          <w:bCs/>
          <w:color w:val="auto"/>
          <w:sz w:val="24"/>
          <w:szCs w:val="24"/>
        </w:rPr>
        <w:t>人，其中管理人员</w:t>
      </w:r>
      <w:r>
        <w:rPr>
          <w:rFonts w:hint="eastAsia" w:ascii="宋体" w:hAnsi="宋体" w:eastAsia="宋体" w:cs="宋体"/>
          <w:bCs/>
          <w:color w:val="auto"/>
          <w:sz w:val="24"/>
          <w:szCs w:val="24"/>
          <w:lang w:val="en-US" w:eastAsia="zh-CN"/>
        </w:rPr>
        <w:t>9</w:t>
      </w:r>
      <w:r>
        <w:rPr>
          <w:rFonts w:hint="eastAsia" w:ascii="宋体" w:hAnsi="宋体" w:eastAsia="宋体" w:cs="宋体"/>
          <w:bCs/>
          <w:color w:val="auto"/>
          <w:sz w:val="24"/>
          <w:szCs w:val="24"/>
        </w:rPr>
        <w:t>人，生产人员</w:t>
      </w:r>
      <w:r>
        <w:rPr>
          <w:rFonts w:hint="eastAsia" w:ascii="宋体" w:hAnsi="宋体" w:eastAsia="宋体" w:cs="宋体"/>
          <w:bCs/>
          <w:color w:val="auto"/>
          <w:sz w:val="24"/>
          <w:szCs w:val="24"/>
          <w:lang w:val="en-US" w:eastAsia="zh-CN"/>
        </w:rPr>
        <w:t>11</w:t>
      </w:r>
      <w:r>
        <w:rPr>
          <w:rFonts w:hint="eastAsia" w:ascii="宋体" w:hAnsi="宋体" w:eastAsia="宋体" w:cs="宋体"/>
          <w:bCs/>
          <w:color w:val="auto"/>
          <w:sz w:val="24"/>
          <w:szCs w:val="24"/>
        </w:rPr>
        <w:t>人。矿山具体劳动定员见下表2-</w:t>
      </w:r>
      <w:r>
        <w:rPr>
          <w:rFonts w:hint="eastAsia" w:ascii="宋体" w:hAnsi="宋体" w:eastAsia="宋体" w:cs="宋体"/>
          <w:bCs/>
          <w:color w:val="auto"/>
          <w:sz w:val="24"/>
          <w:szCs w:val="24"/>
          <w:lang w:val="en-US" w:eastAsia="zh-CN"/>
        </w:rPr>
        <w:t>4-1</w:t>
      </w:r>
      <w:r>
        <w:rPr>
          <w:rFonts w:hint="eastAsia" w:ascii="宋体" w:hAnsi="宋体" w:eastAsia="宋体" w:cs="宋体"/>
          <w:bCs/>
          <w:color w:val="auto"/>
          <w:sz w:val="24"/>
          <w:szCs w:val="24"/>
        </w:rPr>
        <w:t>。</w:t>
      </w:r>
    </w:p>
    <w:p>
      <w:pPr>
        <w:spacing w:line="240" w:lineRule="auto"/>
        <w:ind w:firstLine="422" w:firstLineChars="20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表2-4-1   全矿劳动定员表</w:t>
      </w:r>
    </w:p>
    <w:tbl>
      <w:tblPr>
        <w:tblStyle w:val="53"/>
        <w:tblW w:w="91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7"/>
        <w:gridCol w:w="1914"/>
        <w:gridCol w:w="906"/>
        <w:gridCol w:w="944"/>
        <w:gridCol w:w="1023"/>
        <w:gridCol w:w="906"/>
        <w:gridCol w:w="920"/>
        <w:gridCol w:w="944"/>
        <w:gridCol w:w="9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6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19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工作单位及工种</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岗位分类</w:t>
            </w:r>
          </w:p>
        </w:tc>
        <w:tc>
          <w:tcPr>
            <w:tcW w:w="379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工作班次及人数</w:t>
            </w:r>
          </w:p>
        </w:tc>
        <w:tc>
          <w:tcPr>
            <w:tcW w:w="9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在册系数</w:t>
            </w:r>
          </w:p>
        </w:tc>
        <w:tc>
          <w:tcPr>
            <w:tcW w:w="9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在册人数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w:t>
            </w: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w:t>
            </w:r>
          </w:p>
        </w:tc>
        <w:tc>
          <w:tcPr>
            <w:tcW w:w="920"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小计</w:t>
            </w:r>
          </w:p>
        </w:tc>
        <w:tc>
          <w:tcPr>
            <w:tcW w:w="9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生产系统</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914"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挖掘机司机</w:t>
            </w:r>
          </w:p>
        </w:tc>
        <w:tc>
          <w:tcPr>
            <w:tcW w:w="906"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914"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液压碎石机工</w:t>
            </w:r>
          </w:p>
        </w:tc>
        <w:tc>
          <w:tcPr>
            <w:tcW w:w="906"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914"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汽车司机</w:t>
            </w:r>
          </w:p>
        </w:tc>
        <w:tc>
          <w:tcPr>
            <w:tcW w:w="906"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914"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电工</w:t>
            </w:r>
          </w:p>
        </w:tc>
        <w:tc>
          <w:tcPr>
            <w:tcW w:w="906"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914"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机修工</w:t>
            </w:r>
          </w:p>
        </w:tc>
        <w:tc>
          <w:tcPr>
            <w:tcW w:w="906"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914"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洒水车司机</w:t>
            </w:r>
          </w:p>
        </w:tc>
        <w:tc>
          <w:tcPr>
            <w:tcW w:w="906"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w:t>
            </w:r>
          </w:p>
        </w:tc>
        <w:tc>
          <w:tcPr>
            <w:tcW w:w="1914" w:type="dxa"/>
            <w:tcBorders>
              <w:top w:val="nil"/>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厂管理部门</w:t>
            </w:r>
          </w:p>
        </w:tc>
        <w:tc>
          <w:tcPr>
            <w:tcW w:w="906"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906"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944"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6" w:type="dxa"/>
            <w:tcBorders>
              <w:top w:val="single" w:color="000000" w:sz="4" w:space="0"/>
              <w:left w:val="single" w:color="000000" w:sz="4" w:space="0"/>
              <w:bottom w:val="nil"/>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矿长</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注册安全工程师</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财务人员</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地质技术员</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采矿技术员</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测量技术员</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机电技术员</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锅炉及洗浴工</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食堂工作人员</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697"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91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安保</w:t>
            </w:r>
          </w:p>
        </w:tc>
        <w:tc>
          <w:tcPr>
            <w:tcW w:w="906"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w:t>
            </w:r>
          </w:p>
        </w:tc>
        <w:tc>
          <w:tcPr>
            <w:tcW w:w="944" w:type="dxa"/>
            <w:tcBorders>
              <w:top w:val="single" w:color="000000" w:sz="4" w:space="0"/>
              <w:left w:val="single" w:color="000000" w:sz="4" w:space="0"/>
              <w:bottom w:val="single" w:color="000000" w:sz="4" w:space="0"/>
              <w:right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nil"/>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697"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14" w:type="dxa"/>
            <w:tcBorders>
              <w:top w:val="nil"/>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全厂定员合计</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bl>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lang w:val="en-US" w:eastAsia="zh-CN"/>
        </w:rPr>
      </w:pPr>
      <w:bookmarkStart w:id="123" w:name="_Toc15679"/>
      <w:bookmarkStart w:id="124" w:name="_Toc32021"/>
      <w:r>
        <w:rPr>
          <w:rFonts w:hint="eastAsia" w:ascii="宋体" w:hAnsi="宋体" w:eastAsia="宋体" w:cs="宋体"/>
          <w:b/>
          <w:color w:val="auto"/>
          <w:sz w:val="30"/>
          <w:szCs w:val="30"/>
          <w:highlight w:val="none"/>
          <w:lang w:val="en-US" w:eastAsia="zh-CN"/>
        </w:rPr>
        <w:t>五、辅助生产设施及土建工程</w:t>
      </w:r>
      <w:bookmarkEnd w:id="123"/>
      <w:bookmarkEnd w:id="12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矿山供电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矿山基建前对矿区引入电网，为生活区提供供电电源</w:t>
      </w:r>
      <w:r>
        <w:rPr>
          <w:rFonts w:hint="eastAsia" w:ascii="宋体" w:hAnsi="宋体" w:eastAsia="宋体" w:cs="宋体"/>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矿山</w:t>
      </w:r>
      <w:r>
        <w:rPr>
          <w:rFonts w:hint="eastAsia" w:ascii="宋体" w:hAnsi="宋体" w:eastAsia="宋体" w:cs="宋体"/>
          <w:bCs/>
          <w:color w:val="auto"/>
          <w:sz w:val="24"/>
          <w:szCs w:val="24"/>
          <w:lang w:val="en-US" w:eastAsia="zh-CN"/>
        </w:rPr>
        <w:t>开采</w:t>
      </w:r>
      <w:r>
        <w:rPr>
          <w:rFonts w:hint="eastAsia" w:ascii="宋体" w:hAnsi="宋体" w:eastAsia="宋体" w:cs="宋体"/>
          <w:bCs/>
          <w:color w:val="auto"/>
          <w:sz w:val="24"/>
          <w:szCs w:val="24"/>
        </w:rPr>
        <w:t>主要生产设备均采用柴油动力。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经统计，采矿场所用设备均为柴油设备，用电负荷为0；矿部生活区用电负荷111Kw。</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矿山供排水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1）矿山供水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（1）矿山供水水源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矿区生活及生产用水取自</w:t>
      </w:r>
      <w:r>
        <w:rPr>
          <w:rFonts w:hint="eastAsia" w:ascii="宋体" w:hAnsi="宋体" w:cs="宋体"/>
          <w:bCs/>
          <w:color w:val="auto"/>
          <w:sz w:val="24"/>
          <w:szCs w:val="24"/>
          <w:lang w:val="en-US" w:eastAsia="zh-CN"/>
        </w:rPr>
        <w:t>西克尔镇</w:t>
      </w:r>
      <w:r>
        <w:rPr>
          <w:rFonts w:hint="eastAsia" w:ascii="宋体" w:hAnsi="宋体" w:eastAsia="宋体" w:cs="宋体"/>
          <w:bCs/>
          <w:color w:val="auto"/>
          <w:sz w:val="24"/>
          <w:szCs w:val="24"/>
        </w:rPr>
        <w:t>采用汽车拉运。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（2）矿山需水量及供水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矿山生产用水量</w:t>
      </w:r>
      <w:r>
        <w:rPr>
          <w:rFonts w:hint="eastAsia" w:ascii="宋体" w:hAnsi="宋体" w:eastAsia="宋体" w:cs="宋体"/>
          <w:bCs/>
          <w:color w:val="auto"/>
          <w:sz w:val="24"/>
          <w:szCs w:val="24"/>
          <w:lang w:val="en-US" w:eastAsia="zh-CN"/>
        </w:rPr>
        <w:t>13m³</w:t>
      </w:r>
      <w:r>
        <w:rPr>
          <w:rFonts w:hint="eastAsia" w:ascii="宋体" w:hAnsi="宋体" w:eastAsia="宋体" w:cs="宋体"/>
          <w:bCs/>
          <w:color w:val="auto"/>
          <w:sz w:val="24"/>
          <w:szCs w:val="24"/>
        </w:rPr>
        <w:t>/日，主要为降尘等用水。矿部生活用水量</w:t>
      </w:r>
      <w:r>
        <w:rPr>
          <w:rFonts w:hint="eastAsia" w:ascii="宋体" w:hAnsi="宋体" w:eastAsia="宋体" w:cs="宋体"/>
          <w:bCs/>
          <w:color w:val="auto"/>
          <w:sz w:val="24"/>
          <w:szCs w:val="24"/>
          <w:lang w:val="en-US" w:eastAsia="zh-CN"/>
        </w:rPr>
        <w:t>2.00m³</w:t>
      </w:r>
      <w:r>
        <w:rPr>
          <w:rFonts w:hint="eastAsia" w:ascii="宋体" w:hAnsi="宋体" w:eastAsia="宋体" w:cs="宋体"/>
          <w:bCs/>
          <w:color w:val="auto"/>
          <w:sz w:val="24"/>
          <w:szCs w:val="24"/>
        </w:rPr>
        <w:t>/日。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2）矿山排水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（1）露天采矿场排水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矿山生产用水量小</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主要为洒水降尘用</w:t>
      </w:r>
      <w:r>
        <w:rPr>
          <w:rFonts w:hint="eastAsia" w:ascii="宋体" w:hAnsi="宋体" w:eastAsia="宋体" w:cs="宋体"/>
          <w:bCs/>
          <w:color w:val="auto"/>
          <w:sz w:val="24"/>
          <w:szCs w:val="24"/>
        </w:rPr>
        <w:t>。矿区蒸发量远远大于降雨量，大气降水仅有少部分降水渗入地下补给地下水。地表水对矿床无补给，地下水对矿床也无补给。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山坡露天采矿场各台阶平台设置简易排水沟</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沿排水沟自流排至开采境界外</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凹陷</w:t>
      </w:r>
      <w:r>
        <w:rPr>
          <w:rFonts w:hint="eastAsia" w:ascii="宋体" w:hAnsi="宋体" w:eastAsia="宋体" w:cs="宋体"/>
          <w:bCs/>
          <w:color w:val="auto"/>
          <w:sz w:val="24"/>
          <w:szCs w:val="24"/>
        </w:rPr>
        <w:t>采矿场积水和汇水</w:t>
      </w:r>
      <w:r>
        <w:rPr>
          <w:rFonts w:hint="eastAsia" w:ascii="宋体" w:hAnsi="宋体" w:eastAsia="宋体" w:cs="宋体"/>
          <w:bCs/>
          <w:color w:val="auto"/>
          <w:sz w:val="24"/>
          <w:szCs w:val="24"/>
          <w:lang w:val="en-US" w:eastAsia="zh-CN"/>
        </w:rPr>
        <w:t>采用KWQ200-500-30-40（流量500m³/h，扬程30m）型潜水泵进行疏干排水</w:t>
      </w:r>
      <w:r>
        <w:rPr>
          <w:rFonts w:hint="eastAsia" w:ascii="宋体" w:hAnsi="宋体" w:eastAsia="宋体" w:cs="宋体"/>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（2）矿部生活区排水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矿部生活用水量</w:t>
      </w:r>
      <w:r>
        <w:rPr>
          <w:rFonts w:hint="eastAsia" w:ascii="宋体" w:hAnsi="宋体" w:eastAsia="宋体" w:cs="宋体"/>
          <w:bCs/>
          <w:color w:val="auto"/>
          <w:sz w:val="24"/>
          <w:szCs w:val="24"/>
          <w:lang w:val="en-US" w:eastAsia="zh-CN"/>
        </w:rPr>
        <w:t>2.00m³</w:t>
      </w:r>
      <w:r>
        <w:rPr>
          <w:rFonts w:hint="eastAsia" w:ascii="宋体" w:hAnsi="宋体" w:eastAsia="宋体" w:cs="宋体"/>
          <w:bCs/>
          <w:color w:val="auto"/>
          <w:sz w:val="24"/>
          <w:szCs w:val="24"/>
        </w:rPr>
        <w:t>/日，矿山建造化粪池一座，容积</w:t>
      </w:r>
      <w:r>
        <w:rPr>
          <w:rFonts w:hint="eastAsia" w:ascii="宋体" w:hAnsi="宋体" w:eastAsia="宋体" w:cs="宋体"/>
          <w:bCs/>
          <w:color w:val="auto"/>
          <w:sz w:val="24"/>
          <w:szCs w:val="24"/>
          <w:lang w:val="en-US" w:eastAsia="zh-CN"/>
        </w:rPr>
        <w:t>30</w:t>
      </w:r>
      <w:r>
        <w:rPr>
          <w:rFonts w:hint="eastAsia" w:ascii="宋体" w:hAnsi="宋体" w:eastAsia="宋体" w:cs="宋体"/>
          <w:bCs/>
          <w:color w:val="auto"/>
          <w:sz w:val="24"/>
          <w:szCs w:val="24"/>
        </w:rPr>
        <w:t>立方米，生活污水排入化粪池</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经处理达标后进行外排</w:t>
      </w:r>
      <w:r>
        <w:rPr>
          <w:rFonts w:hint="eastAsia" w:ascii="宋体" w:hAnsi="宋体" w:eastAsia="宋体" w:cs="宋体"/>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矿山供热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矿区</w:t>
      </w:r>
      <w:r>
        <w:rPr>
          <w:rFonts w:hint="eastAsia" w:ascii="宋体" w:hAnsi="宋体" w:eastAsia="宋体" w:cs="宋体"/>
          <w:bCs/>
          <w:color w:val="auto"/>
          <w:sz w:val="24"/>
          <w:szCs w:val="24"/>
          <w:lang w:eastAsia="zh-CN"/>
        </w:rPr>
        <w:t>冬季不生产。工作人员</w:t>
      </w:r>
      <w:r>
        <w:rPr>
          <w:rFonts w:hint="eastAsia" w:ascii="宋体" w:hAnsi="宋体" w:eastAsia="宋体" w:cs="宋体"/>
          <w:bCs/>
          <w:color w:val="auto"/>
          <w:sz w:val="24"/>
          <w:szCs w:val="24"/>
        </w:rPr>
        <w:t>洗浴，选用</w:t>
      </w:r>
      <w:r>
        <w:rPr>
          <w:rFonts w:hint="eastAsia" w:ascii="宋体" w:hAnsi="宋体" w:eastAsia="宋体" w:cs="宋体"/>
          <w:bCs/>
          <w:color w:val="auto"/>
          <w:sz w:val="24"/>
          <w:szCs w:val="24"/>
          <w:lang w:eastAsia="zh-CN"/>
        </w:rPr>
        <w:t>太阳能热水器供给</w:t>
      </w:r>
      <w:r>
        <w:rPr>
          <w:rFonts w:hint="eastAsia" w:ascii="宋体" w:hAnsi="宋体" w:eastAsia="宋体" w:cs="宋体"/>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矿山机修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矿山生产建设规模</w:t>
      </w:r>
      <w:r>
        <w:rPr>
          <w:rFonts w:hint="eastAsia" w:ascii="宋体" w:hAnsi="宋体" w:eastAsia="宋体" w:cs="宋体"/>
          <w:bCs/>
          <w:color w:val="auto"/>
          <w:sz w:val="24"/>
          <w:szCs w:val="24"/>
          <w:lang w:val="en-US" w:eastAsia="zh-CN"/>
        </w:rPr>
        <w:t>20.00万m³</w:t>
      </w:r>
      <w:r>
        <w:rPr>
          <w:rFonts w:hint="eastAsia" w:ascii="宋体" w:hAnsi="宋体" w:eastAsia="宋体" w:cs="宋体"/>
          <w:bCs/>
          <w:color w:val="auto"/>
          <w:sz w:val="24"/>
          <w:szCs w:val="24"/>
        </w:rPr>
        <w:t>/年，属于</w:t>
      </w:r>
      <w:r>
        <w:rPr>
          <w:rFonts w:hint="eastAsia" w:ascii="宋体" w:hAnsi="宋体" w:eastAsia="宋体" w:cs="宋体"/>
          <w:bCs/>
          <w:color w:val="auto"/>
          <w:sz w:val="24"/>
          <w:szCs w:val="24"/>
          <w:lang w:val="en-US" w:eastAsia="zh-CN"/>
        </w:rPr>
        <w:t>中</w:t>
      </w:r>
      <w:r>
        <w:rPr>
          <w:rFonts w:hint="eastAsia" w:ascii="宋体" w:hAnsi="宋体" w:eastAsia="宋体" w:cs="宋体"/>
          <w:bCs/>
          <w:color w:val="auto"/>
          <w:sz w:val="24"/>
          <w:szCs w:val="24"/>
        </w:rPr>
        <w:t>型生产规模矿山。为维持矿山的正常生产，需对矿山的生产设备及辅助设备、运输设备进行维护、修理，并应存储部分油料、材料和机械备件，以满足矿山生产的需要。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矿山设备均为标准化产品，机械加工件很少。在矿区工业场地建机汽修间，承担矿山生产设备的简单维修和小修，矿山机械设备的大中修委托专业检修机构或协作单位承担。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rPr>
      </w:pPr>
      <w:r>
        <w:rPr>
          <w:rFonts w:hint="eastAsia" w:ascii="宋体" w:hAnsi="宋体" w:eastAsia="宋体" w:cs="宋体"/>
          <w:bCs/>
          <w:color w:val="auto"/>
          <w:sz w:val="24"/>
          <w:szCs w:val="24"/>
        </w:rPr>
        <w:t>修理车间负责矿山生产设备及辅助生产设备的检修任务，主要更换设备易损零、配件，修复少量机械零件、配件。设备修理所需的零、配件外购或委托加工。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rPr>
        <w:t>矿山通信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矿区内有移动和联通信号，设计矿山对外联系采用移动电话，矿山人员均配备移动电话</w:t>
      </w:r>
      <w:r>
        <w:rPr>
          <w:rFonts w:hint="eastAsia" w:ascii="宋体" w:hAnsi="宋体" w:eastAsia="宋体" w:cs="宋体"/>
          <w:bCs/>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lang w:eastAsia="zh-CN"/>
        </w:rPr>
        <w:t>、</w:t>
      </w:r>
      <w:r>
        <w:rPr>
          <w:rFonts w:hint="eastAsia" w:ascii="宋体" w:hAnsi="宋体" w:eastAsia="宋体" w:cs="宋体"/>
          <w:b/>
          <w:color w:val="auto"/>
          <w:sz w:val="24"/>
          <w:szCs w:val="24"/>
          <w:lang w:val="en-US" w:eastAsia="zh-CN"/>
        </w:rPr>
        <w:t>矿山建筑工程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 w:val="0"/>
          <w:bCs w:val="0"/>
          <w:color w:val="auto"/>
          <w:sz w:val="24"/>
          <w:szCs w:val="24"/>
        </w:rPr>
        <w:t>矿部生活区布置在矿区</w:t>
      </w:r>
      <w:r>
        <w:rPr>
          <w:rFonts w:hint="eastAsia" w:ascii="宋体" w:hAnsi="宋体" w:eastAsia="宋体" w:cs="宋体"/>
          <w:b w:val="0"/>
          <w:bCs w:val="0"/>
          <w:color w:val="auto"/>
          <w:sz w:val="24"/>
          <w:szCs w:val="24"/>
          <w:lang w:val="en-US" w:eastAsia="zh-CN"/>
        </w:rPr>
        <w:t>外东北</w:t>
      </w:r>
      <w:r>
        <w:rPr>
          <w:rFonts w:hint="eastAsia" w:ascii="宋体" w:hAnsi="宋体" w:eastAsia="宋体" w:cs="宋体"/>
          <w:b w:val="0"/>
          <w:bCs w:val="0"/>
          <w:color w:val="auto"/>
          <w:sz w:val="24"/>
          <w:szCs w:val="24"/>
        </w:rPr>
        <w:t>部</w:t>
      </w:r>
      <w:r>
        <w:rPr>
          <w:rFonts w:hint="eastAsia" w:ascii="宋体" w:hAnsi="宋体" w:eastAsia="宋体" w:cs="宋体"/>
          <w:b w:val="0"/>
          <w:bCs w:val="0"/>
          <w:color w:val="auto"/>
          <w:sz w:val="24"/>
          <w:szCs w:val="24"/>
          <w:lang w:val="en-US" w:eastAsia="zh-CN"/>
        </w:rPr>
        <w:t>600m外</w:t>
      </w:r>
      <w:r>
        <w:rPr>
          <w:rFonts w:hint="eastAsia" w:ascii="宋体" w:hAnsi="宋体" w:eastAsia="宋体" w:cs="宋体"/>
          <w:b w:val="0"/>
          <w:bCs w:val="0"/>
          <w:color w:val="auto"/>
          <w:sz w:val="24"/>
          <w:szCs w:val="24"/>
        </w:rPr>
        <w:t>平坦开阔场地，</w:t>
      </w:r>
      <w:r>
        <w:rPr>
          <w:rFonts w:hint="eastAsia" w:ascii="宋体" w:hAnsi="宋体" w:eastAsia="宋体" w:cs="宋体"/>
          <w:b w:val="0"/>
          <w:bCs w:val="0"/>
          <w:color w:val="auto"/>
          <w:sz w:val="24"/>
          <w:szCs w:val="24"/>
          <w:lang w:val="en-US" w:eastAsia="zh-CN"/>
        </w:rPr>
        <w:t>占地面积945平方米，</w:t>
      </w:r>
      <w:r>
        <w:rPr>
          <w:rFonts w:hint="eastAsia" w:ascii="宋体" w:hAnsi="宋体" w:eastAsia="宋体" w:cs="宋体"/>
          <w:b w:val="0"/>
          <w:bCs w:val="0"/>
          <w:color w:val="auto"/>
          <w:sz w:val="24"/>
          <w:szCs w:val="24"/>
        </w:rPr>
        <w:t>与采矿场最近距离</w:t>
      </w:r>
      <w:r>
        <w:rPr>
          <w:rFonts w:hint="eastAsia" w:ascii="宋体" w:hAnsi="宋体" w:eastAsia="宋体" w:cs="宋体"/>
          <w:b w:val="0"/>
          <w:bCs w:val="0"/>
          <w:color w:val="auto"/>
          <w:sz w:val="24"/>
          <w:szCs w:val="24"/>
          <w:lang w:val="en-US" w:eastAsia="zh-CN"/>
        </w:rPr>
        <w:t>160</w:t>
      </w:r>
      <w:r>
        <w:rPr>
          <w:rFonts w:hint="eastAsia" w:ascii="宋体" w:hAnsi="宋体" w:eastAsia="宋体" w:cs="宋体"/>
          <w:b w:val="0"/>
          <w:bCs w:val="0"/>
          <w:color w:val="auto"/>
          <w:sz w:val="24"/>
          <w:szCs w:val="24"/>
        </w:rPr>
        <w:t>米</w:t>
      </w:r>
      <w:r>
        <w:rPr>
          <w:rFonts w:hint="eastAsia" w:ascii="宋体" w:hAnsi="宋体" w:eastAsia="宋体" w:cs="宋体"/>
          <w:b w:val="0"/>
          <w:bCs w:val="0"/>
          <w:color w:val="auto"/>
          <w:sz w:val="24"/>
          <w:szCs w:val="24"/>
          <w:lang w:eastAsia="zh-CN"/>
        </w:rPr>
        <w:t>。矿部生活区布置办公室、宿舍、食堂、活动室、浴室、机修间、库房等</w:t>
      </w:r>
      <w:r>
        <w:rPr>
          <w:rFonts w:hint="eastAsia" w:ascii="宋体" w:hAnsi="宋体" w:eastAsia="宋体" w:cs="宋体"/>
          <w:b w:val="0"/>
          <w:bCs w:val="0"/>
          <w:color w:val="auto"/>
          <w:sz w:val="24"/>
          <w:szCs w:val="24"/>
          <w:lang w:val="en-US" w:eastAsia="zh-CN"/>
        </w:rPr>
        <w:t>砖混</w:t>
      </w:r>
      <w:r>
        <w:rPr>
          <w:rFonts w:hint="eastAsia" w:ascii="宋体" w:hAnsi="宋体" w:eastAsia="宋体" w:cs="宋体"/>
          <w:b w:val="0"/>
          <w:bCs w:val="0"/>
          <w:color w:val="auto"/>
          <w:sz w:val="24"/>
          <w:szCs w:val="24"/>
          <w:lang w:eastAsia="zh-CN"/>
        </w:rPr>
        <w:t>建构筑物，建筑面积</w:t>
      </w:r>
      <w:r>
        <w:rPr>
          <w:rFonts w:hint="eastAsia" w:ascii="宋体" w:hAnsi="宋体" w:eastAsia="宋体" w:cs="宋体"/>
          <w:b w:val="0"/>
          <w:bCs w:val="0"/>
          <w:color w:val="auto"/>
          <w:sz w:val="24"/>
          <w:szCs w:val="24"/>
          <w:lang w:val="en-US" w:eastAsia="zh-CN"/>
        </w:rPr>
        <w:t>389</w:t>
      </w:r>
      <w:r>
        <w:rPr>
          <w:rFonts w:hint="eastAsia" w:ascii="宋体" w:hAnsi="宋体" w:eastAsia="宋体" w:cs="宋体"/>
          <w:b w:val="0"/>
          <w:bCs w:val="0"/>
          <w:color w:val="auto"/>
          <w:sz w:val="24"/>
          <w:szCs w:val="24"/>
          <w:lang w:eastAsia="zh-CN"/>
        </w:rPr>
        <w:t>平方米。矿部生活区场地岩性为第四系，地形坡度</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lang w:eastAsia="zh-CN"/>
        </w:rPr>
        <w:t>°</w:t>
      </w:r>
      <w:r>
        <w:rPr>
          <w:rFonts w:hint="eastAsia" w:ascii="宋体" w:hAnsi="宋体" w:eastAsia="宋体" w:cs="宋体"/>
          <w:bCs/>
          <w:color w:val="auto"/>
          <w:sz w:val="24"/>
          <w:szCs w:val="24"/>
          <w:lang w:eastAsia="zh-CN"/>
        </w:rPr>
        <w:t>。</w:t>
      </w:r>
    </w:p>
    <w:p>
      <w:pPr>
        <w:spacing w:line="240" w:lineRule="auto"/>
        <w:ind w:firstLine="422" w:firstLineChars="20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表2-5-1  建构筑物一览表</w:t>
      </w:r>
    </w:p>
    <w:tbl>
      <w:tblPr>
        <w:tblStyle w:val="53"/>
        <w:tblW w:w="916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5"/>
        <w:gridCol w:w="1825"/>
        <w:gridCol w:w="919"/>
        <w:gridCol w:w="1524"/>
        <w:gridCol w:w="1832"/>
        <w:gridCol w:w="21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16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建筑物名称</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建筑面积</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结构类型</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宿舍</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办公室</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81</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食堂</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锅炉房</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浴室</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材料库房</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活动室</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厕所</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维修间</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警卫室</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维修车间</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w:t>
            </w:r>
            <w:r>
              <w:rPr>
                <w:rFonts w:hint="eastAsia" w:ascii="宋体" w:hAnsi="宋体" w:eastAsia="宋体" w:cs="宋体"/>
                <w:b w:val="0"/>
                <w:bCs w:val="0"/>
                <w:color w:val="auto"/>
                <w:sz w:val="21"/>
                <w:szCs w:val="21"/>
                <w:vertAlign w:val="superscript"/>
                <w:lang w:val="en-US" w:eastAsia="zh-CN"/>
              </w:rPr>
              <w:t>2</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合计</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389</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16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名称</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工程量</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生活水池</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钢混</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生产水池</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钢混</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场地硬化</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混凝土</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附属工程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绿化工程</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混凝土</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覆土植树植草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围墙</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16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开拓工程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cs="宋体"/>
                <w:b w:val="0"/>
                <w:bCs w:val="0"/>
                <w:color w:val="auto"/>
                <w:sz w:val="21"/>
                <w:szCs w:val="21"/>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矿山道路</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m</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1100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岩石风化层</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16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cs="宋体"/>
                <w:b w:val="0"/>
                <w:bCs w:val="0"/>
                <w:color w:val="auto"/>
                <w:sz w:val="21"/>
                <w:szCs w:val="21"/>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采准工程</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m³</w:t>
            </w:r>
          </w:p>
        </w:tc>
        <w:tc>
          <w:tcPr>
            <w:tcW w:w="15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3000</w:t>
            </w:r>
          </w:p>
        </w:tc>
        <w:tc>
          <w:tcPr>
            <w:tcW w:w="18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矿岩</w:t>
            </w:r>
          </w:p>
        </w:tc>
        <w:tc>
          <w:tcPr>
            <w:tcW w:w="21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p>
        </w:tc>
      </w:tr>
    </w:tbl>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lang w:val="en-US" w:eastAsia="zh-CN"/>
        </w:rPr>
      </w:pPr>
      <w:bookmarkStart w:id="125" w:name="_Toc10687"/>
      <w:bookmarkStart w:id="126" w:name="_Toc20004"/>
      <w:r>
        <w:rPr>
          <w:rFonts w:hint="eastAsia" w:ascii="宋体" w:hAnsi="宋体" w:eastAsia="宋体" w:cs="宋体"/>
          <w:b/>
          <w:color w:val="auto"/>
          <w:sz w:val="30"/>
          <w:szCs w:val="30"/>
          <w:highlight w:val="none"/>
          <w:lang w:val="en-US" w:eastAsia="zh-CN"/>
        </w:rPr>
        <w:t>六、矿山固体废弃物和废水排放</w:t>
      </w:r>
      <w:bookmarkEnd w:id="125"/>
      <w:bookmarkEnd w:id="12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1、固体废弃物排放量及处置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矿区内固体废弃物包括露天采剥产生的废石和生活区排放的生活垃圾。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（1）开采产生的废石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lang w:val="zh-CN"/>
        </w:rPr>
        <w:t>矿山生产过程中的废石来源于采矿过程中产生的剥离物。根据</w:t>
      </w:r>
      <w:r>
        <w:rPr>
          <w:rFonts w:hint="eastAsia" w:ascii="宋体" w:hAnsi="宋体" w:eastAsia="宋体" w:cs="宋体"/>
          <w:bCs/>
          <w:color w:val="auto"/>
          <w:sz w:val="24"/>
          <w:szCs w:val="24"/>
          <w:lang w:val="en-US" w:eastAsia="zh-CN"/>
        </w:rPr>
        <w:t>计算圈定境界内共产生</w:t>
      </w:r>
      <w:r>
        <w:rPr>
          <w:rFonts w:hint="eastAsia" w:ascii="宋体" w:hAnsi="宋体" w:eastAsia="宋体" w:cs="宋体"/>
          <w:bCs/>
          <w:color w:val="auto"/>
          <w:sz w:val="24"/>
          <w:szCs w:val="24"/>
          <w:lang w:val="zh-CN"/>
        </w:rPr>
        <w:t>废石量为</w:t>
      </w:r>
      <w:r>
        <w:rPr>
          <w:rFonts w:hint="eastAsia" w:ascii="宋体" w:hAnsi="宋体" w:eastAsia="宋体" w:cs="宋体"/>
          <w:bCs/>
          <w:color w:val="auto"/>
          <w:sz w:val="24"/>
          <w:szCs w:val="24"/>
          <w:highlight w:val="none"/>
          <w:lang w:val="en-US" w:eastAsia="zh-CN"/>
        </w:rPr>
        <w:t>6.36万m³。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（2）生活垃圾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矿山全矿定员</w:t>
      </w:r>
      <w:r>
        <w:rPr>
          <w:rFonts w:hint="eastAsia" w:ascii="宋体" w:hAnsi="宋体" w:eastAsia="宋体" w:cs="宋体"/>
          <w:bCs/>
          <w:color w:val="auto"/>
          <w:sz w:val="24"/>
          <w:szCs w:val="24"/>
          <w:lang w:val="en-US" w:eastAsia="zh-CN"/>
        </w:rPr>
        <w:t>20</w:t>
      </w:r>
      <w:r>
        <w:rPr>
          <w:rFonts w:hint="eastAsia" w:ascii="宋体" w:hAnsi="宋体" w:eastAsia="宋体" w:cs="宋体"/>
          <w:bCs/>
          <w:color w:val="auto"/>
          <w:sz w:val="24"/>
          <w:szCs w:val="24"/>
        </w:rPr>
        <w:t>人，按工作制度</w:t>
      </w:r>
      <w:r>
        <w:rPr>
          <w:rFonts w:hint="eastAsia" w:ascii="宋体" w:hAnsi="宋体" w:eastAsia="宋体" w:cs="宋体"/>
          <w:bCs/>
          <w:color w:val="auto"/>
          <w:sz w:val="24"/>
          <w:szCs w:val="24"/>
          <w:lang w:val="en-US" w:eastAsia="zh-CN"/>
        </w:rPr>
        <w:t>270</w:t>
      </w:r>
      <w:r>
        <w:rPr>
          <w:rFonts w:hint="eastAsia" w:ascii="宋体" w:hAnsi="宋体" w:eastAsia="宋体" w:cs="宋体"/>
          <w:bCs/>
          <w:color w:val="auto"/>
          <w:sz w:val="24"/>
          <w:szCs w:val="24"/>
        </w:rPr>
        <w:t>天/年计算，按每天每人排放生活垃圾约1.0千克计算，生活垃圾年排放量为</w:t>
      </w:r>
      <w:r>
        <w:rPr>
          <w:rFonts w:hint="eastAsia" w:ascii="宋体" w:hAnsi="宋体" w:eastAsia="宋体" w:cs="宋体"/>
          <w:bCs/>
          <w:color w:val="auto"/>
          <w:sz w:val="24"/>
          <w:szCs w:val="24"/>
          <w:lang w:val="en-US" w:eastAsia="zh-CN"/>
        </w:rPr>
        <w:t>5.40</w:t>
      </w:r>
      <w:r>
        <w:rPr>
          <w:rFonts w:hint="eastAsia" w:ascii="宋体" w:hAnsi="宋体" w:eastAsia="宋体" w:cs="宋体"/>
          <w:bCs/>
          <w:color w:val="auto"/>
          <w:sz w:val="24"/>
          <w:szCs w:val="24"/>
        </w:rPr>
        <w:t>吨，体积</w:t>
      </w:r>
      <w:r>
        <w:rPr>
          <w:rFonts w:hint="eastAsia" w:ascii="宋体" w:hAnsi="宋体" w:eastAsia="宋体" w:cs="宋体"/>
          <w:bCs/>
          <w:color w:val="auto"/>
          <w:sz w:val="24"/>
          <w:szCs w:val="24"/>
          <w:lang w:val="en-US" w:eastAsia="zh-CN"/>
        </w:rPr>
        <w:t>10.80m³</w:t>
      </w:r>
      <w:r>
        <w:rPr>
          <w:rFonts w:hint="eastAsia" w:ascii="宋体" w:hAnsi="宋体" w:eastAsia="宋体" w:cs="宋体"/>
          <w:bCs/>
          <w:color w:val="auto"/>
          <w:sz w:val="24"/>
          <w:szCs w:val="24"/>
        </w:rPr>
        <w:t>（生活垃圾按0.5吨/</w:t>
      </w:r>
      <w:r>
        <w:rPr>
          <w:rFonts w:hint="eastAsia" w:ascii="宋体" w:hAnsi="宋体" w:eastAsia="宋体" w:cs="宋体"/>
          <w:bCs/>
          <w:color w:val="auto"/>
          <w:sz w:val="24"/>
          <w:szCs w:val="24"/>
          <w:lang w:val="en-US" w:eastAsia="zh-CN"/>
        </w:rPr>
        <w:t>m³</w:t>
      </w:r>
      <w:r>
        <w:rPr>
          <w:rFonts w:hint="eastAsia" w:ascii="宋体" w:hAnsi="宋体" w:eastAsia="宋体" w:cs="宋体"/>
          <w:bCs/>
          <w:color w:val="auto"/>
          <w:sz w:val="24"/>
          <w:szCs w:val="24"/>
        </w:rPr>
        <w:t>）。预计矿山服务年限内生活垃圾排放总量约为</w:t>
      </w:r>
      <w:r>
        <w:rPr>
          <w:rFonts w:hint="eastAsia" w:ascii="宋体" w:hAnsi="宋体" w:eastAsia="宋体" w:cs="宋体"/>
          <w:bCs/>
          <w:color w:val="auto"/>
          <w:sz w:val="24"/>
          <w:szCs w:val="24"/>
          <w:lang w:val="en-US" w:eastAsia="zh-CN"/>
        </w:rPr>
        <w:t>146.88</w:t>
      </w:r>
      <w:r>
        <w:rPr>
          <w:rFonts w:hint="eastAsia" w:ascii="宋体" w:hAnsi="宋体" w:eastAsia="宋体" w:cs="宋体"/>
          <w:bCs/>
          <w:color w:val="auto"/>
          <w:sz w:val="24"/>
          <w:szCs w:val="24"/>
        </w:rPr>
        <w:t>吨，体积约</w:t>
      </w:r>
      <w:r>
        <w:rPr>
          <w:rFonts w:hint="eastAsia" w:ascii="宋体" w:hAnsi="宋体" w:eastAsia="宋体" w:cs="宋体"/>
          <w:bCs/>
          <w:color w:val="auto"/>
          <w:sz w:val="24"/>
          <w:szCs w:val="24"/>
          <w:lang w:val="en-US" w:eastAsia="zh-CN"/>
        </w:rPr>
        <w:t>293.76m³</w:t>
      </w:r>
      <w:r>
        <w:rPr>
          <w:rFonts w:hint="eastAsia" w:ascii="宋体" w:hAnsi="宋体" w:eastAsia="宋体" w:cs="宋体"/>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生活区内生活垃圾成分以厨余垃圾、塑料、纸类为主，含有微生物、有机污染物，将生活垃圾临时放置于生活区内垃圾箱，并及时清理运</w:t>
      </w:r>
      <w:r>
        <w:rPr>
          <w:rFonts w:hint="eastAsia" w:ascii="宋体" w:hAnsi="宋体" w:eastAsia="宋体" w:cs="宋体"/>
          <w:bCs/>
          <w:color w:val="auto"/>
          <w:sz w:val="24"/>
          <w:szCs w:val="24"/>
          <w:lang w:val="en-US" w:eastAsia="zh-CN"/>
        </w:rPr>
        <w:t>至伽师县垃圾填埋场</w:t>
      </w:r>
      <w:r>
        <w:rPr>
          <w:rFonts w:hint="eastAsia" w:ascii="宋体" w:hAnsi="宋体" w:eastAsia="宋体" w:cs="宋体"/>
          <w:bCs/>
          <w:color w:val="auto"/>
          <w:sz w:val="24"/>
          <w:szCs w:val="24"/>
        </w:rPr>
        <w:t>进行处理。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2、废水排放及处置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矿山排放废水主要为生活废水。矿坑涌水由于量小，且采矿为</w:t>
      </w:r>
      <w:r>
        <w:rPr>
          <w:rFonts w:hint="eastAsia" w:ascii="宋体" w:hAnsi="宋体" w:eastAsia="宋体" w:cs="宋体"/>
          <w:bCs/>
          <w:color w:val="auto"/>
          <w:sz w:val="24"/>
          <w:szCs w:val="24"/>
          <w:lang w:val="en-US" w:eastAsia="zh-CN"/>
        </w:rPr>
        <w:t>山坡-凹陷</w:t>
      </w:r>
      <w:r>
        <w:rPr>
          <w:rFonts w:hint="eastAsia" w:ascii="宋体" w:hAnsi="宋体" w:eastAsia="宋体" w:cs="宋体"/>
          <w:bCs/>
          <w:color w:val="auto"/>
          <w:sz w:val="24"/>
          <w:szCs w:val="24"/>
        </w:rPr>
        <w:t>型，结合采矿底部地形条件，</w:t>
      </w:r>
      <w:r>
        <w:rPr>
          <w:rFonts w:hint="eastAsia" w:ascii="宋体" w:hAnsi="宋体" w:eastAsia="宋体" w:cs="宋体"/>
          <w:bCs/>
          <w:color w:val="auto"/>
          <w:sz w:val="24"/>
          <w:szCs w:val="24"/>
          <w:lang w:val="en-US" w:eastAsia="zh-CN"/>
        </w:rPr>
        <w:t>采用</w:t>
      </w:r>
      <w:r>
        <w:rPr>
          <w:rFonts w:hint="eastAsia" w:ascii="宋体" w:hAnsi="宋体" w:eastAsia="宋体" w:cs="宋体"/>
          <w:bCs/>
          <w:color w:val="auto"/>
          <w:sz w:val="24"/>
          <w:szCs w:val="24"/>
        </w:rPr>
        <w:t>自然</w:t>
      </w:r>
      <w:r>
        <w:rPr>
          <w:rFonts w:hint="eastAsia" w:ascii="宋体" w:hAnsi="宋体" w:eastAsia="宋体" w:cs="宋体"/>
          <w:bCs/>
          <w:color w:val="auto"/>
          <w:sz w:val="24"/>
          <w:szCs w:val="24"/>
          <w:lang w:val="en-US" w:eastAsia="zh-CN"/>
        </w:rPr>
        <w:t>及机械</w:t>
      </w:r>
      <w:r>
        <w:rPr>
          <w:rFonts w:hint="eastAsia" w:ascii="宋体" w:hAnsi="宋体" w:eastAsia="宋体" w:cs="宋体"/>
          <w:bCs/>
          <w:color w:val="auto"/>
          <w:sz w:val="24"/>
          <w:szCs w:val="24"/>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（1）生产废水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矿山生产用水全部消耗殆尽，采矿场内无废水外排。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（2）生活污水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矿山全矿定员</w:t>
      </w:r>
      <w:r>
        <w:rPr>
          <w:rFonts w:hint="eastAsia" w:ascii="宋体" w:hAnsi="宋体" w:eastAsia="宋体" w:cs="宋体"/>
          <w:bCs/>
          <w:color w:val="auto"/>
          <w:sz w:val="24"/>
          <w:szCs w:val="24"/>
          <w:lang w:val="en-US" w:eastAsia="zh-CN"/>
        </w:rPr>
        <w:t>20</w:t>
      </w:r>
      <w:r>
        <w:rPr>
          <w:rFonts w:hint="eastAsia" w:ascii="宋体" w:hAnsi="宋体" w:eastAsia="宋体" w:cs="宋体"/>
          <w:bCs/>
          <w:color w:val="auto"/>
          <w:sz w:val="24"/>
          <w:szCs w:val="24"/>
        </w:rPr>
        <w:t>人，按工作制度</w:t>
      </w:r>
      <w:r>
        <w:rPr>
          <w:rFonts w:hint="eastAsia" w:ascii="宋体" w:hAnsi="宋体" w:eastAsia="宋体" w:cs="宋体"/>
          <w:bCs/>
          <w:color w:val="auto"/>
          <w:sz w:val="24"/>
          <w:szCs w:val="24"/>
          <w:lang w:val="en-US" w:eastAsia="zh-CN"/>
        </w:rPr>
        <w:t>270</w:t>
      </w:r>
      <w:r>
        <w:rPr>
          <w:rFonts w:hint="eastAsia" w:ascii="宋体" w:hAnsi="宋体" w:eastAsia="宋体" w:cs="宋体"/>
          <w:bCs/>
          <w:color w:val="auto"/>
          <w:sz w:val="24"/>
          <w:szCs w:val="24"/>
        </w:rPr>
        <w:t>天/年计算，按照每人用水0.1</w:t>
      </w:r>
      <w:r>
        <w:rPr>
          <w:rFonts w:hint="eastAsia" w:ascii="宋体" w:hAnsi="宋体" w:eastAsia="宋体" w:cs="宋体"/>
          <w:bCs/>
          <w:color w:val="auto"/>
          <w:sz w:val="24"/>
          <w:szCs w:val="24"/>
          <w:lang w:val="en-US" w:eastAsia="zh-CN"/>
        </w:rPr>
        <w:t>m³</w:t>
      </w:r>
      <w:r>
        <w:rPr>
          <w:rFonts w:hint="eastAsia" w:ascii="宋体" w:hAnsi="宋体" w:eastAsia="宋体" w:cs="宋体"/>
          <w:bCs/>
          <w:color w:val="auto"/>
          <w:sz w:val="24"/>
          <w:szCs w:val="24"/>
        </w:rPr>
        <w:t>/天，生活污水产生率80%计算，每年污水排放量约</w:t>
      </w:r>
      <w:r>
        <w:rPr>
          <w:rFonts w:hint="eastAsia" w:ascii="宋体" w:hAnsi="宋体" w:eastAsia="宋体" w:cs="宋体"/>
          <w:bCs/>
          <w:color w:val="auto"/>
          <w:sz w:val="24"/>
          <w:szCs w:val="24"/>
          <w:lang w:val="en-US" w:eastAsia="zh-CN"/>
        </w:rPr>
        <w:t>432m³</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预计矿山服务年限内污水排放总量约为</w:t>
      </w:r>
      <w:r>
        <w:rPr>
          <w:rFonts w:hint="eastAsia" w:ascii="宋体" w:hAnsi="宋体" w:eastAsia="宋体" w:cs="宋体"/>
          <w:bCs/>
          <w:color w:val="auto"/>
          <w:sz w:val="24"/>
          <w:szCs w:val="24"/>
          <w:lang w:val="en-US" w:eastAsia="zh-CN"/>
        </w:rPr>
        <w:t>11750.4m³</w:t>
      </w:r>
      <w:r>
        <w:rPr>
          <w:rFonts w:hint="eastAsia" w:ascii="宋体" w:hAnsi="宋体" w:eastAsia="宋体" w:cs="宋体"/>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矿山后期产生的生活废水，主要用于生活区周边及道路洒水降尘，无外排。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生活污水中主要含有有机污染物、有毒污染物（如合成洗涤剂）及生物污染物（如有害微生物）等，生活污水经污水处理池处理达到《农村生活污水处理排放标准》（DB654275-2019）二级标准，经加药消毒后主要用于道路洒水降尘及自然排放。</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bookmarkStart w:id="127" w:name="_Toc10531"/>
      <w:bookmarkStart w:id="128" w:name="_Toc7605"/>
      <w:r>
        <w:rPr>
          <w:rFonts w:hint="eastAsia" w:ascii="宋体" w:hAnsi="宋体" w:eastAsia="宋体" w:cs="宋体"/>
          <w:b/>
          <w:color w:val="auto"/>
          <w:sz w:val="30"/>
          <w:szCs w:val="30"/>
          <w:highlight w:val="none"/>
          <w:lang w:val="en-US" w:eastAsia="zh-CN"/>
        </w:rPr>
        <w:t>七</w:t>
      </w:r>
      <w:r>
        <w:rPr>
          <w:rFonts w:hint="eastAsia" w:ascii="宋体" w:hAnsi="宋体" w:eastAsia="宋体" w:cs="宋体"/>
          <w:b/>
          <w:color w:val="auto"/>
          <w:sz w:val="30"/>
          <w:szCs w:val="30"/>
          <w:highlight w:val="none"/>
        </w:rPr>
        <w:t>、矿山安全与卫生</w:t>
      </w:r>
      <w:bookmarkEnd w:id="127"/>
      <w:bookmarkEnd w:id="128"/>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（一）矿山安全管理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矿山必须贯彻“安全第一，预防为主</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综合治理</w:t>
      </w:r>
      <w:r>
        <w:rPr>
          <w:rFonts w:hint="eastAsia" w:ascii="宋体" w:hAnsi="宋体" w:eastAsia="宋体" w:cs="宋体"/>
          <w:color w:val="auto"/>
          <w:sz w:val="24"/>
          <w:szCs w:val="24"/>
        </w:rPr>
        <w:t>”的安全生产方针。实现安全管理科学化、标准化。</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1、建立、健全安全生产责任制，生产岗位责任制和岗位技术操作规程。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2、认真做好安全生产和劳动保护教育，普及安全知识和安全法规知识，进行技术和业务培训。</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3、安全员、电工、挖掘机、装载机和汽车司机等进行专业培训，持证上岗。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4、矿山设专职安全管理人员。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5、要害岗位、重要设备、设施及危险区设置防护设施和警示标志。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6、及时发放劳保用品，职工作业时必须按规定穿戴劳动用品。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7、定期进行健康检查。</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（二）矿山安全措施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1、地质灾害事故的预防与治理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（1）开采到一定标高时应进行边坡监测工作。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（2）及时清除边坡上的危石。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（3）在可能发生地质灾害区段设置警示标志。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（4）进行科学、合理的采剥。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（5）及时了解地震信息。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2、矿山防水与防火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（1）在开采境界外修建截水沟，拦截地表水进入采场。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）生活区设置消防器材。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）挖掘机、装载机和汽车配备灭火器。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）禁止使用汽油擦洗设备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、采装及运输作业安全措施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（1）机械设备作业时，禁止机前</w:t>
      </w:r>
      <w:r>
        <w:rPr>
          <w:rFonts w:hint="eastAsia" w:ascii="宋体" w:hAnsi="宋体" w:eastAsia="宋体" w:cs="宋体"/>
          <w:color w:val="auto"/>
          <w:sz w:val="24"/>
          <w:szCs w:val="24"/>
          <w:lang w:eastAsia="zh-CN"/>
        </w:rPr>
        <w:t>进行其他</w:t>
      </w:r>
      <w:r>
        <w:rPr>
          <w:rFonts w:hint="eastAsia" w:ascii="宋体" w:hAnsi="宋体" w:eastAsia="宋体" w:cs="宋体"/>
          <w:color w:val="auto"/>
          <w:sz w:val="24"/>
          <w:szCs w:val="24"/>
        </w:rPr>
        <w:t>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（2）大雾、大雨、暴风雨时应停止作业。</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（3）自卸汽车驾驶室外踏板及车斗不准载人。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（4）冬天道路积雪和结冰，必须采取防滑措施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、防机械伤害</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（1）严格遵守机械设备操作规程。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（2）设备运转时，禁止对转动零部件作检修、注油和清扫。</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（3）设备移动时，禁止人员上下。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、电气安全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（1）对裸露于地面和人身容易触及的带电设备，应采取可靠的防护措施。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（2）设备的带电部分与地面及其他带电部分应保持一定的安全距离。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（3）易产生过电压的电力系统，应有避雷针、避雷线、避雷器、保护间隙等过程电压保护装置。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（4）低压电力系统应有接地、接零保护装置。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（5）对各种高压用电设备应采取装设高压熔断器和断路器等不同类型的保护措施;对低压用电设备应采用相应的</w:t>
      </w:r>
      <w:r>
        <w:rPr>
          <w:rFonts w:hint="eastAsia" w:ascii="宋体" w:hAnsi="宋体" w:eastAsia="宋体" w:cs="宋体"/>
          <w:color w:val="auto"/>
          <w:sz w:val="24"/>
          <w:szCs w:val="24"/>
          <w:lang w:eastAsia="zh-CN"/>
        </w:rPr>
        <w:t>低电压保护</w:t>
      </w:r>
      <w:r>
        <w:rPr>
          <w:rFonts w:hint="eastAsia" w:ascii="宋体" w:hAnsi="宋体" w:eastAsia="宋体" w:cs="宋体"/>
          <w:color w:val="auto"/>
          <w:sz w:val="24"/>
          <w:szCs w:val="24"/>
        </w:rPr>
        <w:t>措施进行保护。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（6）在电气设备的安装地点应</w:t>
      </w:r>
      <w:r>
        <w:rPr>
          <w:rFonts w:hint="eastAsia" w:ascii="宋体" w:hAnsi="宋体" w:eastAsia="宋体" w:cs="宋体"/>
          <w:color w:val="auto"/>
          <w:sz w:val="24"/>
          <w:szCs w:val="24"/>
          <w:lang w:eastAsia="zh-CN"/>
        </w:rPr>
        <w:t>设置</w:t>
      </w:r>
      <w:r>
        <w:rPr>
          <w:rFonts w:hint="eastAsia" w:ascii="宋体" w:hAnsi="宋体" w:eastAsia="宋体" w:cs="宋体"/>
          <w:color w:val="auto"/>
          <w:sz w:val="24"/>
          <w:szCs w:val="24"/>
        </w:rPr>
        <w:t>安全标志。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（7）根据某些电气设备的特性和要求，应采取特殊的安全措施。</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（三）工业卫生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1、防尘</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（1）喷雾洒水，降低采装时产尘量。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（2）道路洒水或提高路面等级。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（3）加强个体防护，如作业人员戴防尘口罩，加强采装、运输设备操作室的密封。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2、噪声治理与防护</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（1）内燃动力设备采用吸声材料作隔离罩。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（2）选用低噪声设备。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（3）对设备及时保养和维修，使设备处于良好的技术状态。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（4）加强个体防护。如环噪</w:t>
      </w:r>
      <w:r>
        <w:rPr>
          <w:rFonts w:hint="eastAsia" w:ascii="宋体" w:hAnsi="宋体" w:eastAsia="宋体" w:cs="宋体"/>
          <w:color w:val="auto"/>
          <w:sz w:val="24"/>
          <w:szCs w:val="24"/>
          <w:lang w:eastAsia="zh-CN"/>
        </w:rPr>
        <w:t>环境</w:t>
      </w:r>
      <w:r>
        <w:rPr>
          <w:rFonts w:hint="eastAsia" w:ascii="宋体" w:hAnsi="宋体" w:eastAsia="宋体" w:cs="宋体"/>
          <w:color w:val="auto"/>
          <w:sz w:val="24"/>
          <w:szCs w:val="24"/>
        </w:rPr>
        <w:t>中的操作人员佩戴耳罩。</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3、废水、污水处理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修建化粪池，生活污水及生活垃圾发酵后作绿化用肥。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4、其他措施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矿山应配备必要的急救药品及常用药品。</w:t>
      </w:r>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bookmarkStart w:id="129" w:name="_Toc22338"/>
      <w:bookmarkStart w:id="130" w:name="_Toc27637"/>
      <w:r>
        <w:rPr>
          <w:rFonts w:hint="eastAsia" w:ascii="宋体" w:hAnsi="宋体" w:eastAsia="宋体" w:cs="宋体"/>
          <w:b/>
          <w:color w:val="auto"/>
          <w:sz w:val="30"/>
          <w:szCs w:val="30"/>
          <w:highlight w:val="none"/>
          <w:lang w:val="en-US" w:eastAsia="zh-CN"/>
        </w:rPr>
        <w:t>八</w:t>
      </w:r>
      <w:r>
        <w:rPr>
          <w:rFonts w:hint="eastAsia" w:ascii="宋体" w:hAnsi="宋体" w:eastAsia="宋体" w:cs="宋体"/>
          <w:b/>
          <w:color w:val="auto"/>
          <w:sz w:val="30"/>
          <w:szCs w:val="30"/>
          <w:highlight w:val="none"/>
        </w:rPr>
        <w:t>、绿色矿山建设</w:t>
      </w:r>
      <w:bookmarkEnd w:id="129"/>
      <w:bookmarkEnd w:id="130"/>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（一）绿色矿山建设的必要性</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建设绿色矿山是新形势下保证矿业可持续健康发展的必由之路，是实现科学发展、社会和谐的必然选择。大力推进绿色矿山建设是贯彻落实科学发展观，实现资源利用与矿山发展相协调的重要举措，对建设资源节约型和环境友好型社会具有重要意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同时绿色矿山建设是企业履行责任、谋求自身可持续发展、主动适应国家生态文明要求和经济高质量发展的必然选择。</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（二）绿色矿山建设的主要内容</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根据《非金属行业绿色矿山建设规范》（DZ/T0312-2018），绿色矿山建设内容主要包括以下</w:t>
      </w:r>
      <w:r>
        <w:rPr>
          <w:rFonts w:hint="eastAsia" w:ascii="宋体" w:hAnsi="宋体" w:eastAsia="宋体" w:cs="宋体"/>
          <w:color w:val="auto"/>
          <w:sz w:val="24"/>
          <w:szCs w:val="24"/>
          <w:lang w:eastAsia="zh-CN"/>
        </w:rPr>
        <w:t>几项</w:t>
      </w:r>
      <w:r>
        <w:rPr>
          <w:rFonts w:hint="eastAsia" w:ascii="宋体" w:hAnsi="宋体" w:eastAsia="宋体" w:cs="宋体"/>
          <w:color w:val="auto"/>
          <w:sz w:val="24"/>
          <w:szCs w:val="24"/>
        </w:rPr>
        <w:t>内容：</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1、企业管理与形象</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企业应树立全员诚信意识、构建企业诚信文化。通过在企业内部加强诚信的宣传教育，丰富职工的诚信知识提高他们经营的诚信水平形成“诚实守信”的企业文化。</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建立企业诚信管理制度。企业内部应建立专门的诚信管理部门把诚信建设的理念准则等形成文件，使企业的诚信管理工作既有专人负责又有章可循、有法可依。</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加强监督工作保障企业内部诚信建设的顺利进行。在企业内部建立和完善</w:t>
      </w:r>
      <w:r>
        <w:rPr>
          <w:rFonts w:hint="eastAsia" w:ascii="宋体" w:hAnsi="宋体" w:eastAsia="宋体" w:cs="宋体"/>
          <w:color w:val="auto"/>
          <w:sz w:val="24"/>
          <w:szCs w:val="24"/>
          <w:lang w:eastAsia="zh-CN"/>
        </w:rPr>
        <w:t>自上而下</w:t>
      </w:r>
      <w:r>
        <w:rPr>
          <w:rFonts w:hint="eastAsia" w:ascii="宋体" w:hAnsi="宋体" w:eastAsia="宋体" w:cs="宋体"/>
          <w:color w:val="auto"/>
          <w:sz w:val="24"/>
          <w:szCs w:val="24"/>
        </w:rPr>
        <w:t>、自下而上的诚信责任监督管理系统</w:t>
      </w:r>
      <w:r>
        <w:rPr>
          <w:rFonts w:hint="eastAsia" w:ascii="宋体" w:hAnsi="宋体" w:eastAsia="宋体" w:cs="宋体"/>
          <w:color w:val="auto"/>
          <w:sz w:val="24"/>
          <w:szCs w:val="24"/>
          <w:lang w:eastAsia="zh-CN"/>
        </w:rPr>
        <w:t>，把</w:t>
      </w:r>
      <w:r>
        <w:rPr>
          <w:rFonts w:hint="eastAsia" w:ascii="宋体" w:hAnsi="宋体" w:eastAsia="宋体" w:cs="宋体"/>
          <w:color w:val="auto"/>
          <w:sz w:val="24"/>
          <w:szCs w:val="24"/>
        </w:rPr>
        <w:t>企业诚信全方位地责任分解，层层落实诚信责任，做到环环相扣、分工明确、责任到位。确保形成诚信责任链，保证内部诚信建设的顺利进行。</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2、资源开发方式</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矿山开采：</w:t>
      </w:r>
      <w:r>
        <w:rPr>
          <w:rFonts w:hint="eastAsia" w:ascii="宋体" w:hAnsi="宋体" w:eastAsia="宋体" w:cs="宋体"/>
          <w:color w:val="auto"/>
          <w:sz w:val="24"/>
          <w:szCs w:val="24"/>
        </w:rPr>
        <w:t>矿山开采前应取得矿山开采许可证、安全生产许可证等相关证件；按照矿山开采设计的开拓运输方式、采矿方法、工艺流程等进行矿石开采；按照“安全、节能、环保、高效”的原则对矿山开采运输等设备进行选型，对矿区所产生的废水、废石进行合理化处理；贯彻“采剥并举、剥离先行、贫富兼采”的方针，矿石开采回采率需达到9</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%以上；生产过程应严格按照相关规范规程进行安全标准化作业等。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3、矿区环境</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矿山在生产期间及服务期满后，应对矿山各个功能区进行生态保护和恢复治理，最大限度消除地质灾害隐患，结合矿山实际情况，对矿山进行因地制宜化的土地恢复，达到与周边自然环境、景观相协调。</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4、矿产资源开发“三率”指标</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（1）采矿回采率（资源利用率）</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依据自然资源部关于《粉石英等36种矿产资源合理开发利用“三率”最低指标要求（试行）》的公告（自然资源部公告 2021年第21号文），结合绿色露天开采回采率应不小于95％。</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本次方案设计矿山回采率为98％，符合指标要求。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（2）选矿回收率</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该矿最终产品为砖瓦用页岩原矿，不涉及选矿作业。</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（3）尾矿综合利用率</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该矿无选矿作业，不产生尾矿。</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（4）伴生资源利用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未发现其它有价值的矿产资源。</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（5）固体废弃物利用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本矿山固体废弃物处置率可达到100%，部分用于修建道路和回填采坑，剩余部分待闭坑后回填采坑。</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矿容矿貌</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矿区按照生产区、生活区等功能分区，生产、生活等功能区设有相应的管理机构和管理制度，做到了运行有序、管理规范。</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矿区地面运输、供水、供电、卫生、环保等配套设施正在建设中；各矿建设施计划设置操作提示牌、说明牌、线路示意牌等标牌；在道路交叉口、采场、工业场地等需警示安全的区域均设置安全标志。</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在采矿作业面、矿区道路、工业广场采取喷雾、洒水降尘；保持矿区环境整洁，工作场所粉尘浓度要符合GBZ2.1规定的粉尘容许浓度要求。 </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矿区生产废水及生活污水分开收集进行净化处理，污水排放达标率指标为100％。</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为降低噪声影响，使企业噪声排放限值符合GB12348的规定，所有设备均采取降噪处理措施；地表设施均设在建筑物之内，降低噪声排放</w:t>
      </w:r>
      <w:r>
        <w:rPr>
          <w:rFonts w:hint="eastAsia" w:ascii="宋体" w:hAnsi="宋体" w:eastAsia="宋体" w:cs="宋体"/>
          <w:color w:val="auto"/>
          <w:sz w:val="24"/>
          <w:szCs w:val="24"/>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节能减排</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能源是现代社会建设的主要物质基础，节约能源，合理利用能源是非常重要的，本矿山节能设计遵循《非金属行业绿色矿山建设规范》（DZ/T0312-2018）限定值和准入指标进行设计。设计采取的节能减排措施有：设计采用生产效率高，损失率低的采矿方法及采矿设备</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7、数字矿山</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lang w:val="en-US" w:eastAsia="zh-CN"/>
        </w:rPr>
        <w:t>数字化矿山信息建设情况：新的信息化模式正在快速推进传统产业转型升级。随着现代化企业改革的不断深入，该矿感受到以计算机网络和移动互联网技术为基础的企业信息化建设的重要性和迫切性，建设了企业微信群，方便企业的管理：能够及时地进行日常事务与相关政策信息的上传下达，方便员工及时获取信息；对出现的问题能够及时地汇总，发挥集体智慧群策群力，更好地解决生产与生活中的问题，从而提高工作效率。</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8、矿区绿化覆盖</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根据现场调查，矿区属温带大陆性气候，区内地表基本为第四系覆盖，矿区中部植被较为稀疏，总体上地表植被较发育，可见常见有驼绒篱、萱蒿、猪毛菜等草本类植物。经核实，矿区及其可能影响范围内无珍稀、濒危的野生动、植物分布，人类的采矿活动对野生动、植物的活动影响一般。</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矿区现状区内土壤发育程度低，因此现阶段矿区暂未实施绿化工程，结合矿山实际环境状况，做到矿区可绿化面积的覆盖率达到100%，做到环境整洁美观，改善矿区及周边大气、水、土壤等生态环境质量。</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0" w:leftChars="0" w:right="0" w:rightChars="0" w:firstLine="482" w:firstLineChars="200"/>
        <w:jc w:val="both"/>
        <w:textAlignment w:val="auto"/>
        <w:rPr>
          <w:rFonts w:hint="eastAsia" w:ascii="宋体" w:hAnsi="宋体" w:eastAsia="宋体" w:cs="宋体"/>
          <w:b/>
          <w:color w:val="auto"/>
          <w:sz w:val="24"/>
          <w:szCs w:val="24"/>
          <w:lang w:val="en-US" w:eastAsia="zh-CN"/>
        </w:rPr>
      </w:pPr>
      <w:r>
        <w:rPr>
          <w:rFonts w:hint="eastAsia" w:ascii="宋体" w:hAnsi="宋体" w:eastAsia="宋体" w:cs="宋体"/>
          <w:b/>
          <w:color w:val="auto"/>
          <w:sz w:val="24"/>
          <w:szCs w:val="24"/>
          <w:lang w:val="en-US" w:eastAsia="zh-CN"/>
        </w:rPr>
        <w:t>科技创新</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default" w:ascii="宋体" w:hAnsi="宋体" w:cs="宋体"/>
          <w:color w:val="auto"/>
          <w:kern w:val="0"/>
          <w:sz w:val="24"/>
          <w:szCs w:val="24"/>
          <w:lang w:val="en-US" w:eastAsia="zh-CN"/>
        </w:rPr>
      </w:pPr>
      <w:r>
        <w:rPr>
          <w:rFonts w:hint="eastAsia" w:ascii="宋体" w:hAnsi="宋体" w:eastAsia="宋体" w:cs="宋体"/>
          <w:color w:val="auto"/>
          <w:kern w:val="0"/>
          <w:sz w:val="24"/>
          <w:szCs w:val="24"/>
          <w:lang w:val="en-US" w:eastAsia="zh-CN"/>
        </w:rPr>
        <w:t>根据相关政策要求，矿山企业设置专项绿色矿山建设资金，按照矿山销售收入的1.50%进行计提，初步计算年计提9.29万元，该项资金用于绿色矿山建设相关建设内容，包括科技创新投入（建设集中管控平台，能够将远程监控系统、自动控制系统、储量管理系统、生态环境监测管理系统等集中在大屏幕展示。此项费用从年计提费用中提取）。</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w:t>
      </w:r>
      <w:r>
        <w:rPr>
          <w:rFonts w:hint="eastAsia" w:ascii="Times New Roman" w:hAnsi="Times New Roman" w:eastAsia="宋体" w:cs="Times New Roman"/>
          <w:color w:val="auto"/>
          <w:sz w:val="28"/>
          <w:szCs w:val="28"/>
          <w:lang w:val="en-US" w:eastAsia="zh-CN"/>
        </w:rPr>
        <w:t>三</w:t>
      </w:r>
      <w:r>
        <w:rPr>
          <w:rFonts w:hint="eastAsia" w:ascii="Times New Roman" w:hAnsi="Times New Roman" w:eastAsia="宋体" w:cs="Times New Roman"/>
          <w:color w:val="auto"/>
          <w:sz w:val="28"/>
          <w:szCs w:val="28"/>
          <w:lang w:eastAsia="zh-CN"/>
        </w:rPr>
        <w:t>）保障措施</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矿山健全相关管理机构和组织，加强组织、资金与技术保障。对绿色矿山建设每年计提部分资金用作矿山绿色建设费用等。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kern w:val="0"/>
          <w:sz w:val="24"/>
          <w:szCs w:val="24"/>
          <w:lang w:val="en-US" w:eastAsia="zh-CN"/>
        </w:rPr>
        <w:sectPr>
          <w:pgSz w:w="11910" w:h="16840"/>
          <w:pgMar w:top="1440" w:right="1400" w:bottom="1440" w:left="1559" w:header="0" w:footer="1117" w:gutter="0"/>
          <w:pgBorders>
            <w:top w:val="none" w:sz="0" w:space="0"/>
            <w:left w:val="none" w:sz="0" w:space="0"/>
            <w:bottom w:val="none" w:sz="0" w:space="0"/>
            <w:right w:val="none" w:sz="0" w:space="0"/>
          </w:pgBorders>
          <w:cols w:space="0" w:num="1"/>
        </w:sectPr>
      </w:pPr>
    </w:p>
    <w:p>
      <w:pPr>
        <w:pStyle w:val="2"/>
        <w:spacing w:before="360" w:beforeLines="150" w:after="240" w:afterLines="100" w:afterAutospacing="0" w:line="360" w:lineRule="auto"/>
        <w:jc w:val="center"/>
        <w:rPr>
          <w:rFonts w:hint="eastAsia" w:ascii="宋体" w:hAnsi="宋体" w:eastAsia="宋体" w:cs="宋体"/>
          <w:b/>
          <w:bCs w:val="0"/>
          <w:color w:val="auto"/>
        </w:rPr>
      </w:pPr>
      <w:bookmarkStart w:id="131" w:name="_Toc5942"/>
      <w:r>
        <w:rPr>
          <w:rFonts w:hint="eastAsia" w:ascii="宋体" w:hAnsi="宋体" w:eastAsia="宋体" w:cs="宋体"/>
          <w:b/>
          <w:bCs w:val="0"/>
          <w:color w:val="auto"/>
        </w:rPr>
        <w:t>第三章  矿山地质环境影响与土地损毁评估</w:t>
      </w:r>
      <w:bookmarkEnd w:id="131"/>
    </w:p>
    <w:p>
      <w:pPr>
        <w:keepNext w:val="0"/>
        <w:keepLines w:val="0"/>
        <w:pageBreakBefore w:val="0"/>
        <w:widowControl/>
        <w:kinsoku/>
        <w:wordWrap/>
        <w:overflowPunct/>
        <w:topLinePunct w:val="0"/>
        <w:autoSpaceDE/>
        <w:autoSpaceDN/>
        <w:bidi w:val="0"/>
        <w:adjustRightInd/>
        <w:snapToGrid/>
        <w:spacing w:line="360" w:lineRule="auto"/>
        <w:ind w:firstLine="602" w:firstLineChars="200"/>
        <w:jc w:val="both"/>
        <w:textAlignment w:val="auto"/>
        <w:outlineLvl w:val="1"/>
        <w:rPr>
          <w:rFonts w:hint="eastAsia" w:ascii="宋体" w:hAnsi="宋体" w:eastAsia="宋体" w:cs="宋体"/>
          <w:b/>
          <w:color w:val="auto"/>
          <w:sz w:val="30"/>
          <w:szCs w:val="30"/>
          <w:highlight w:val="none"/>
        </w:rPr>
      </w:pPr>
      <w:bookmarkStart w:id="132" w:name="_Toc19156"/>
      <w:r>
        <w:rPr>
          <w:rFonts w:hint="eastAsia" w:ascii="宋体" w:hAnsi="宋体" w:eastAsia="宋体" w:cs="宋体"/>
          <w:b/>
          <w:color w:val="auto"/>
          <w:sz w:val="30"/>
          <w:szCs w:val="30"/>
          <w:highlight w:val="none"/>
        </w:rPr>
        <w:t>一、矿山地质环境</w:t>
      </w:r>
      <w:bookmarkEnd w:id="102"/>
      <w:bookmarkEnd w:id="103"/>
      <w:bookmarkEnd w:id="104"/>
      <w:bookmarkEnd w:id="105"/>
      <w:bookmarkEnd w:id="106"/>
      <w:bookmarkEnd w:id="107"/>
      <w:r>
        <w:rPr>
          <w:rFonts w:hint="eastAsia" w:ascii="宋体" w:hAnsi="宋体" w:eastAsia="宋体" w:cs="宋体"/>
          <w:b/>
          <w:color w:val="auto"/>
          <w:sz w:val="30"/>
          <w:szCs w:val="30"/>
          <w:highlight w:val="none"/>
        </w:rPr>
        <w:t>影响评估</w:t>
      </w:r>
      <w:bookmarkEnd w:id="132"/>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（一）评估范围和评估级别</w:t>
      </w:r>
    </w:p>
    <w:p>
      <w:pPr>
        <w:pStyle w:val="63"/>
        <w:keepNext w:val="0"/>
        <w:keepLines w:val="0"/>
        <w:pageBreakBefore w:val="0"/>
        <w:widowControl w:val="0"/>
        <w:kinsoku/>
        <w:wordWrap/>
        <w:overflowPunct/>
        <w:topLinePunct/>
        <w:autoSpaceDE/>
        <w:autoSpaceDN/>
        <w:bidi w:val="0"/>
        <w:adjustRightInd/>
        <w:snapToGrid/>
        <w:textAlignment w:val="auto"/>
        <w:rPr>
          <w:rFonts w:hint="eastAsia" w:ascii="宋体" w:hAnsi="宋体" w:eastAsia="宋体" w:cs="宋体"/>
          <w:b/>
          <w:bCs/>
          <w:color w:val="auto"/>
        </w:rPr>
      </w:pPr>
      <w:r>
        <w:rPr>
          <w:rFonts w:hint="eastAsia" w:ascii="宋体" w:hAnsi="宋体" w:eastAsia="宋体" w:cs="宋体"/>
          <w:b/>
          <w:bCs/>
          <w:color w:val="auto"/>
        </w:rPr>
        <w:t>1、评估范围的确定</w:t>
      </w:r>
    </w:p>
    <w:p>
      <w:pPr>
        <w:pStyle w:val="63"/>
        <w:keepNext w:val="0"/>
        <w:keepLines w:val="0"/>
        <w:pageBreakBefore w:val="0"/>
        <w:widowControl w:val="0"/>
        <w:kinsoku/>
        <w:wordWrap/>
        <w:overflowPunct/>
        <w:topLinePunct/>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rPr>
        <w:t>依据《地质灾害危险性评估规范》（</w:t>
      </w:r>
      <w:r>
        <w:rPr>
          <w:rFonts w:hint="eastAsia" w:cs="宋体"/>
          <w:color w:val="auto"/>
          <w:lang w:val="en-US" w:eastAsia="zh-CN"/>
        </w:rPr>
        <w:t>GB</w:t>
      </w:r>
      <w:r>
        <w:rPr>
          <w:rFonts w:hint="eastAsia" w:ascii="宋体" w:hAnsi="宋体" w:eastAsia="宋体" w:cs="宋体"/>
          <w:color w:val="auto"/>
        </w:rPr>
        <w:t>/T</w:t>
      </w:r>
      <w:r>
        <w:rPr>
          <w:rFonts w:hint="eastAsia" w:cs="宋体"/>
          <w:color w:val="auto"/>
          <w:lang w:val="en-US" w:eastAsia="zh-CN"/>
        </w:rPr>
        <w:t>40112</w:t>
      </w:r>
      <w:r>
        <w:rPr>
          <w:rFonts w:hint="eastAsia" w:ascii="宋体" w:hAnsi="宋体" w:eastAsia="宋体" w:cs="宋体"/>
          <w:color w:val="auto"/>
        </w:rPr>
        <w:t>—20</w:t>
      </w:r>
      <w:r>
        <w:rPr>
          <w:rFonts w:hint="eastAsia" w:cs="宋体"/>
          <w:color w:val="auto"/>
          <w:lang w:val="en-US" w:eastAsia="zh-CN"/>
        </w:rPr>
        <w:t>21</w:t>
      </w:r>
      <w:r>
        <w:rPr>
          <w:rFonts w:hint="eastAsia" w:ascii="宋体" w:hAnsi="宋体" w:eastAsia="宋体" w:cs="宋体"/>
          <w:color w:val="auto"/>
        </w:rPr>
        <w:t>）的有关要求，评估区范围应根据矿山地质环境调查结果分析确定，包括采矿登记范围和采矿活动可能影响到的范围。矿区面积为</w:t>
      </w:r>
      <w:r>
        <w:rPr>
          <w:rFonts w:hint="eastAsia" w:ascii="宋体" w:hAnsi="宋体" w:cs="宋体"/>
          <w:color w:val="auto"/>
          <w:sz w:val="24"/>
          <w:szCs w:val="24"/>
          <w:highlight w:val="none"/>
          <w:lang w:val="en-US" w:eastAsia="zh-CN"/>
        </w:rPr>
        <w:t>****</w:t>
      </w:r>
      <w:r>
        <w:rPr>
          <w:rFonts w:hint="eastAsia" w:ascii="宋体" w:hAnsi="宋体" w:eastAsia="宋体" w:cs="宋体"/>
          <w:color w:val="auto"/>
        </w:rPr>
        <w:t>平方千米，矿山设计采用露天开采，根据矿区水文地质、工程地质及环境地质等特点，结合地质灾害影响范围、含水层影响范围、地形地貌景观影响范围、水土环境污染、大气污染范围确定评估区范围。</w:t>
      </w:r>
    </w:p>
    <w:p>
      <w:pPr>
        <w:pStyle w:val="63"/>
        <w:keepNext w:val="0"/>
        <w:keepLines w:val="0"/>
        <w:pageBreakBefore w:val="0"/>
        <w:widowControl w:val="0"/>
        <w:kinsoku/>
        <w:wordWrap/>
        <w:overflowPunct/>
        <w:topLinePunct/>
        <w:autoSpaceDE/>
        <w:autoSpaceDN/>
        <w:bidi w:val="0"/>
        <w:adjustRightInd/>
        <w:snapToGrid/>
        <w:textAlignment w:val="auto"/>
        <w:rPr>
          <w:rFonts w:hint="eastAsia" w:ascii="宋体" w:hAnsi="宋体" w:eastAsia="宋体" w:cs="宋体"/>
          <w:color w:val="auto"/>
        </w:rPr>
      </w:pPr>
      <w:r>
        <w:rPr>
          <w:rFonts w:hint="eastAsia" w:ascii="宋体" w:hAnsi="宋体" w:eastAsia="宋体" w:cs="宋体"/>
          <w:color w:val="auto"/>
        </w:rPr>
        <w:t>根据矿区范围、矿山布局及开采影响范围，四周外扩30米，结合矿山平面布置图确定评估区范围，总评估面</w:t>
      </w:r>
      <w:r>
        <w:rPr>
          <w:rFonts w:hint="eastAsia" w:ascii="宋体" w:hAnsi="宋体" w:eastAsia="宋体" w:cs="宋体"/>
          <w:color w:val="auto"/>
          <w:highlight w:val="none"/>
        </w:rPr>
        <w:t>积</w:t>
      </w:r>
      <w:r>
        <w:rPr>
          <w:rFonts w:hint="eastAsia" w:ascii="宋体" w:hAnsi="宋体" w:cs="宋体"/>
          <w:color w:val="auto"/>
          <w:sz w:val="24"/>
          <w:szCs w:val="24"/>
          <w:highlight w:val="none"/>
          <w:lang w:val="en-US" w:eastAsia="zh-CN"/>
        </w:rPr>
        <w:t>****</w:t>
      </w:r>
      <w:r>
        <w:rPr>
          <w:rFonts w:hint="eastAsia" w:ascii="宋体" w:hAnsi="宋体" w:eastAsia="宋体" w:cs="宋体"/>
          <w:color w:val="auto"/>
          <w:highlight w:val="none"/>
        </w:rPr>
        <w:t>平</w:t>
      </w:r>
      <w:r>
        <w:rPr>
          <w:rFonts w:hint="eastAsia" w:ascii="宋体" w:hAnsi="宋体" w:eastAsia="宋体" w:cs="宋体"/>
          <w:color w:val="auto"/>
        </w:rPr>
        <w:t>方千米。评估区范围由</w:t>
      </w:r>
      <w:r>
        <w:rPr>
          <w:rFonts w:hint="eastAsia" w:cs="宋体"/>
          <w:color w:val="auto"/>
          <w:lang w:val="en-US" w:eastAsia="zh-CN"/>
        </w:rPr>
        <w:t>12</w:t>
      </w:r>
      <w:r>
        <w:rPr>
          <w:rFonts w:hint="eastAsia" w:ascii="宋体" w:hAnsi="宋体" w:eastAsia="宋体" w:cs="宋体"/>
          <w:color w:val="auto"/>
        </w:rPr>
        <w:t>个拐点圈定（见表3-1），评估区范围示意图（见图3-1）。</w:t>
      </w:r>
    </w:p>
    <w:p>
      <w:pPr>
        <w:pStyle w:val="99"/>
        <w:widowControl/>
        <w:numPr>
          <w:ilvl w:val="0"/>
          <w:numId w:val="0"/>
        </w:numPr>
        <w:adjustRightInd w:val="0"/>
        <w:snapToGrid w:val="0"/>
        <w:ind w:leftChars="0"/>
        <w:jc w:val="center"/>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lang w:val="en-US" w:eastAsia="zh-CN"/>
        </w:rPr>
        <w:t xml:space="preserve">表3-1    </w:t>
      </w:r>
      <w:r>
        <w:rPr>
          <w:rFonts w:hint="eastAsia" w:ascii="宋体" w:hAnsi="宋体" w:eastAsia="宋体" w:cs="宋体"/>
          <w:b/>
          <w:bCs/>
          <w:color w:val="auto"/>
          <w:sz w:val="21"/>
          <w:szCs w:val="21"/>
          <w:highlight w:val="none"/>
        </w:rPr>
        <w:t>评估区范围拐点坐标表</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CGCS2000坐标系</w:t>
      </w:r>
      <w:r>
        <w:rPr>
          <w:rFonts w:hint="eastAsia" w:ascii="宋体" w:hAnsi="宋体" w:cs="宋体"/>
          <w:b/>
          <w:bCs/>
          <w:color w:val="auto"/>
          <w:sz w:val="21"/>
          <w:szCs w:val="21"/>
          <w:highlight w:val="none"/>
          <w:lang w:eastAsia="zh-CN"/>
        </w:rPr>
        <w:t>）</w:t>
      </w:r>
    </w:p>
    <w:tbl>
      <w:tblPr>
        <w:tblStyle w:val="53"/>
        <w:tblW w:w="7781"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6"/>
        <w:gridCol w:w="1515"/>
        <w:gridCol w:w="1380"/>
        <w:gridCol w:w="1995"/>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5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Y</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东经</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北纬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P3</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P4</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P5</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P6</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P7</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P8</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P9</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P10</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P11</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jc w:val="center"/>
        </w:trPr>
        <w:tc>
          <w:tcPr>
            <w:tcW w:w="8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P12</w:t>
            </w:r>
          </w:p>
        </w:tc>
        <w:tc>
          <w:tcPr>
            <w:tcW w:w="1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color w:val="auto"/>
                <w:sz w:val="24"/>
                <w:szCs w:val="24"/>
                <w:highlight w:val="none"/>
                <w:lang w:val="en-US" w:eastAsia="zh-CN"/>
              </w:rPr>
              <w:t>********</w:t>
            </w:r>
          </w:p>
        </w:tc>
      </w:tr>
    </w:tbl>
    <w:p>
      <w:pPr>
        <w:pStyle w:val="99"/>
        <w:widowControl/>
        <w:numPr>
          <w:ilvl w:val="0"/>
          <w:numId w:val="0"/>
        </w:numPr>
        <w:adjustRightInd w:val="0"/>
        <w:snapToGrid w:val="0"/>
        <w:ind w:leftChars="0"/>
        <w:jc w:val="center"/>
        <w:rPr>
          <w:rFonts w:hint="eastAsia" w:ascii="宋体" w:hAnsi="宋体" w:eastAsia="宋体" w:cs="宋体"/>
          <w:b/>
          <w:bCs/>
          <w:color w:val="auto"/>
          <w:sz w:val="21"/>
          <w:szCs w:val="21"/>
          <w:highlight w:val="yellow"/>
        </w:rPr>
      </w:pPr>
    </w:p>
    <w:p>
      <w:pPr>
        <w:pStyle w:val="21"/>
        <w:snapToGrid w:val="0"/>
        <w:ind w:firstLine="0" w:firstLineChars="0"/>
        <w:jc w:val="center"/>
        <w:rPr>
          <w:rFonts w:hint="eastAsia" w:ascii="宋体" w:hAnsi="宋体" w:eastAsia="宋体" w:cs="宋体"/>
          <w:color w:val="auto"/>
          <w:lang w:eastAsia="zh-CN"/>
        </w:rPr>
      </w:pPr>
    </w:p>
    <w:p>
      <w:pPr>
        <w:pStyle w:val="99"/>
        <w:widowControl/>
        <w:numPr>
          <w:ilvl w:val="0"/>
          <w:numId w:val="0"/>
        </w:numPr>
        <w:adjustRightInd w:val="0"/>
        <w:snapToGrid w:val="0"/>
        <w:ind w:leftChars="0"/>
        <w:jc w:val="center"/>
        <w:rPr>
          <w:rFonts w:hint="eastAsia" w:ascii="宋体" w:hAnsi="宋体" w:cs="宋体"/>
          <w:b/>
          <w:bCs/>
          <w:color w:val="auto"/>
          <w:sz w:val="21"/>
          <w:szCs w:val="21"/>
          <w:highlight w:val="none"/>
          <w:lang w:val="en-US" w:eastAsia="zh-CN"/>
        </w:rPr>
      </w:pPr>
      <w:r>
        <w:rPr>
          <w:rFonts w:hint="eastAsia" w:ascii="宋体" w:hAnsi="宋体" w:cs="宋体"/>
          <w:b/>
          <w:bCs/>
          <w:color w:val="auto"/>
          <w:sz w:val="21"/>
          <w:szCs w:val="21"/>
          <w:highlight w:val="none"/>
          <w:lang w:val="en-US" w:eastAsia="zh-CN"/>
        </w:rPr>
        <w:t>图3-1 评估区范围示意图</w:t>
      </w:r>
    </w:p>
    <w:p>
      <w:pPr>
        <w:pStyle w:val="63"/>
        <w:keepNext w:val="0"/>
        <w:keepLines w:val="0"/>
        <w:pageBreakBefore w:val="0"/>
        <w:widowControl w:val="0"/>
        <w:kinsoku/>
        <w:wordWrap/>
        <w:overflowPunct/>
        <w:topLinePunct/>
        <w:autoSpaceDE/>
        <w:autoSpaceDN/>
        <w:bidi w:val="0"/>
        <w:adjustRightInd/>
        <w:snapToGrid/>
        <w:textAlignment w:val="auto"/>
        <w:rPr>
          <w:rFonts w:hint="eastAsia" w:ascii="宋体" w:hAnsi="宋体" w:eastAsia="宋体" w:cs="宋体"/>
          <w:b/>
          <w:bCs/>
          <w:color w:val="auto"/>
        </w:rPr>
      </w:pPr>
      <w:r>
        <w:rPr>
          <w:rFonts w:hint="eastAsia" w:ascii="宋体" w:hAnsi="宋体" w:eastAsia="宋体" w:cs="宋体"/>
          <w:b/>
          <w:bCs/>
          <w:color w:val="auto"/>
          <w:lang w:val="en-US" w:eastAsia="zh-CN"/>
        </w:rPr>
        <w:t>2、</w:t>
      </w:r>
      <w:r>
        <w:rPr>
          <w:rFonts w:hint="eastAsia" w:ascii="宋体" w:hAnsi="宋体" w:eastAsia="宋体" w:cs="宋体"/>
          <w:b/>
          <w:bCs/>
          <w:color w:val="auto"/>
        </w:rPr>
        <w:t>评估级别</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根据《矿山地质环境保护与恢复治理方案编制规范》（DZ/T0223-2011），矿山地质环境影响评估级别依据评估区重要程度、矿山生产建设规模、矿山地质环境条件复杂程度综合确定。</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（1）评估区重要程度的确定</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1）评估区内矿山劳动定员总</w:t>
      </w:r>
      <w:r>
        <w:rPr>
          <w:rFonts w:hint="eastAsia" w:ascii="宋体" w:hAnsi="宋体" w:eastAsia="宋体" w:cs="宋体"/>
          <w:color w:val="auto"/>
          <w:sz w:val="24"/>
          <w:szCs w:val="24"/>
          <w:highlight w:val="none"/>
        </w:rPr>
        <w:t>数为20人，</w:t>
      </w:r>
      <w:r>
        <w:rPr>
          <w:rFonts w:hint="eastAsia" w:ascii="宋体" w:hAnsi="宋体" w:eastAsia="宋体" w:cs="宋体"/>
          <w:color w:val="auto"/>
          <w:sz w:val="24"/>
          <w:szCs w:val="24"/>
        </w:rPr>
        <w:t>区内无其他居民及牧民；</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2）区内交通以简易道路为主，区内无高速公路、一级公路、铁路、水利设施、电力工程及其他重要建筑物；</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3）区内无自然保护区、风景旅游点和文物古迹保护单位；</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4）区内无重要水源地；</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5）矿山设施占用土地利用类型为裸土地。</w:t>
      </w:r>
    </w:p>
    <w:p>
      <w:pPr>
        <w:keepNext w:val="0"/>
        <w:keepLines w:val="0"/>
        <w:pageBreakBefore w:val="0"/>
        <w:widowControl/>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根据《矿山地质环境保护与恢复治理方案编制规范》（DZ/T0223-2011）“附录表B.1 评估区重要程度分级表”（表3-</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）可知，评估区重要程度分级属“</w:t>
      </w:r>
      <w:r>
        <w:rPr>
          <w:rFonts w:hint="eastAsia" w:ascii="宋体" w:hAnsi="宋体" w:eastAsia="宋体" w:cs="宋体"/>
          <w:b/>
          <w:bCs/>
          <w:color w:val="auto"/>
          <w:sz w:val="24"/>
          <w:szCs w:val="24"/>
        </w:rPr>
        <w:t>一般区</w:t>
      </w:r>
      <w:r>
        <w:rPr>
          <w:rFonts w:hint="eastAsia" w:ascii="宋体" w:hAnsi="宋体" w:eastAsia="宋体" w:cs="宋体"/>
          <w:color w:val="auto"/>
          <w:sz w:val="24"/>
          <w:szCs w:val="24"/>
        </w:rPr>
        <w:t>”。</w:t>
      </w:r>
    </w:p>
    <w:p>
      <w:pPr>
        <w:ind w:firstLine="422" w:firstLineChars="200"/>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表3-</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评估区重要程度分级表</w:t>
      </w:r>
    </w:p>
    <w:tbl>
      <w:tblPr>
        <w:tblStyle w:val="53"/>
        <w:tblW w:w="90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7"/>
        <w:gridCol w:w="2911"/>
        <w:gridCol w:w="29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tblHeader/>
          <w:jc w:val="center"/>
        </w:trPr>
        <w:tc>
          <w:tcPr>
            <w:tcW w:w="3137"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重要区</w:t>
            </w:r>
          </w:p>
        </w:tc>
        <w:tc>
          <w:tcPr>
            <w:tcW w:w="2911"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较重要区</w:t>
            </w:r>
          </w:p>
        </w:tc>
        <w:tc>
          <w:tcPr>
            <w:tcW w:w="2966" w:type="dxa"/>
            <w:vAlign w:val="center"/>
          </w:tcPr>
          <w:p>
            <w:pPr>
              <w:jc w:val="center"/>
              <w:rPr>
                <w:rFonts w:hint="eastAsia" w:ascii="宋体" w:hAnsi="宋体" w:eastAsia="宋体" w:cs="宋体"/>
                <w:color w:val="auto"/>
                <w:sz w:val="18"/>
                <w:szCs w:val="18"/>
              </w:rPr>
            </w:pPr>
            <w:r>
              <w:rPr>
                <w:rFonts w:hint="eastAsia" w:ascii="宋体" w:hAnsi="宋体" w:eastAsia="宋体" w:cs="宋体"/>
                <w:b/>
                <w:bCs/>
                <w:color w:val="auto"/>
                <w:sz w:val="18"/>
                <w:szCs w:val="18"/>
              </w:rPr>
              <w:t>一般区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7" w:hRule="atLeast"/>
          <w:jc w:val="center"/>
        </w:trPr>
        <w:tc>
          <w:tcPr>
            <w:tcW w:w="313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1.分布有500人以上的居民集中居住区；</w:t>
            </w:r>
          </w:p>
        </w:tc>
        <w:tc>
          <w:tcPr>
            <w:tcW w:w="291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1.分布有200～500人的居民集中居住区；</w:t>
            </w:r>
          </w:p>
        </w:tc>
        <w:tc>
          <w:tcPr>
            <w:tcW w:w="2966" w:type="dxa"/>
            <w:vAlign w:val="center"/>
          </w:tcPr>
          <w:p>
            <w:pPr>
              <w:ind w:firstLine="361" w:firstLineChars="200"/>
              <w:rPr>
                <w:rFonts w:hint="eastAsia" w:ascii="宋体" w:hAnsi="宋体" w:eastAsia="宋体" w:cs="宋体"/>
                <w:b/>
                <w:bCs/>
                <w:color w:val="auto"/>
                <w:sz w:val="18"/>
                <w:szCs w:val="18"/>
              </w:rPr>
            </w:pPr>
            <w:r>
              <w:rPr>
                <w:rFonts w:hint="eastAsia" w:ascii="宋体" w:hAnsi="宋体" w:eastAsia="宋体" w:cs="宋体"/>
                <w:b/>
                <w:bCs/>
                <w:color w:val="auto"/>
                <w:sz w:val="18"/>
                <w:szCs w:val="18"/>
              </w:rPr>
              <w:t>1.居民居住分散，居民集中居住区人口在200人以下；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8" w:hRule="atLeast"/>
          <w:jc w:val="center"/>
        </w:trPr>
        <w:tc>
          <w:tcPr>
            <w:tcW w:w="313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2.分布有高速公路、一级公路、铁路、中型以上水利、电力工程或其他重要建筑设施；</w:t>
            </w:r>
          </w:p>
        </w:tc>
        <w:tc>
          <w:tcPr>
            <w:tcW w:w="291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2.分布有二级公路、小型水利、电力工程或其他较重要建筑设施；</w:t>
            </w:r>
          </w:p>
        </w:tc>
        <w:tc>
          <w:tcPr>
            <w:tcW w:w="2966" w:type="dxa"/>
            <w:vAlign w:val="center"/>
          </w:tcPr>
          <w:p>
            <w:pPr>
              <w:ind w:firstLine="361" w:firstLineChars="200"/>
              <w:rPr>
                <w:rFonts w:hint="eastAsia" w:ascii="宋体" w:hAnsi="宋体" w:eastAsia="宋体" w:cs="宋体"/>
                <w:b/>
                <w:bCs/>
                <w:color w:val="auto"/>
                <w:sz w:val="18"/>
                <w:szCs w:val="18"/>
              </w:rPr>
            </w:pPr>
            <w:r>
              <w:rPr>
                <w:rFonts w:hint="eastAsia" w:ascii="宋体" w:hAnsi="宋体" w:eastAsia="宋体" w:cs="宋体"/>
                <w:b/>
                <w:bCs/>
                <w:color w:val="auto"/>
                <w:sz w:val="18"/>
                <w:szCs w:val="18"/>
              </w:rPr>
              <w:t>2.无重要交通要道或建筑设施；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313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3.矿区紧邻国家级自然保护区（含地质公园、风景名胜区等）或重要旅游景区（点）；</w:t>
            </w:r>
          </w:p>
        </w:tc>
        <w:tc>
          <w:tcPr>
            <w:tcW w:w="291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3.紧邻省级、县级自然保护区或重要旅游景区（点）；</w:t>
            </w:r>
          </w:p>
        </w:tc>
        <w:tc>
          <w:tcPr>
            <w:tcW w:w="2966" w:type="dxa"/>
            <w:vAlign w:val="center"/>
          </w:tcPr>
          <w:p>
            <w:pPr>
              <w:ind w:firstLine="361" w:firstLineChars="200"/>
              <w:rPr>
                <w:rFonts w:hint="eastAsia" w:ascii="宋体" w:hAnsi="宋体" w:eastAsia="宋体" w:cs="宋体"/>
                <w:b/>
                <w:bCs/>
                <w:color w:val="auto"/>
                <w:sz w:val="18"/>
                <w:szCs w:val="18"/>
              </w:rPr>
            </w:pPr>
            <w:r>
              <w:rPr>
                <w:rFonts w:hint="eastAsia" w:ascii="宋体" w:hAnsi="宋体" w:eastAsia="宋体" w:cs="宋体"/>
                <w:b/>
                <w:bCs/>
                <w:color w:val="auto"/>
                <w:sz w:val="18"/>
                <w:szCs w:val="18"/>
              </w:rPr>
              <w:t>3.远离各级自然保护区及旅游景区（点）；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7" w:hRule="atLeast"/>
          <w:jc w:val="center"/>
        </w:trPr>
        <w:tc>
          <w:tcPr>
            <w:tcW w:w="313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4.有重要水源地；</w:t>
            </w:r>
          </w:p>
        </w:tc>
        <w:tc>
          <w:tcPr>
            <w:tcW w:w="291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4.有较重要水源地；</w:t>
            </w:r>
          </w:p>
        </w:tc>
        <w:tc>
          <w:tcPr>
            <w:tcW w:w="2966" w:type="dxa"/>
            <w:vAlign w:val="center"/>
          </w:tcPr>
          <w:p>
            <w:pPr>
              <w:ind w:firstLine="361" w:firstLineChars="200"/>
              <w:rPr>
                <w:rFonts w:hint="eastAsia" w:ascii="宋体" w:hAnsi="宋体" w:eastAsia="宋体" w:cs="宋体"/>
                <w:b/>
                <w:bCs/>
                <w:color w:val="auto"/>
                <w:sz w:val="18"/>
                <w:szCs w:val="18"/>
              </w:rPr>
            </w:pPr>
            <w:r>
              <w:rPr>
                <w:rFonts w:hint="eastAsia" w:ascii="宋体" w:hAnsi="宋体" w:eastAsia="宋体" w:cs="宋体"/>
                <w:b/>
                <w:bCs/>
                <w:color w:val="auto"/>
                <w:sz w:val="18"/>
                <w:szCs w:val="18"/>
              </w:rPr>
              <w:t>4.无较重要水源地；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jc w:val="center"/>
        </w:trPr>
        <w:tc>
          <w:tcPr>
            <w:tcW w:w="313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5.破坏耕地、园地；</w:t>
            </w:r>
          </w:p>
        </w:tc>
        <w:tc>
          <w:tcPr>
            <w:tcW w:w="291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5.破坏其他林地、草地；</w:t>
            </w:r>
          </w:p>
        </w:tc>
        <w:tc>
          <w:tcPr>
            <w:tcW w:w="2966" w:type="dxa"/>
            <w:vAlign w:val="center"/>
          </w:tcPr>
          <w:p>
            <w:pPr>
              <w:ind w:firstLine="361" w:firstLineChars="200"/>
              <w:rPr>
                <w:rFonts w:hint="eastAsia" w:ascii="宋体" w:hAnsi="宋体" w:eastAsia="宋体" w:cs="宋体"/>
                <w:b/>
                <w:bCs/>
                <w:color w:val="auto"/>
                <w:sz w:val="18"/>
                <w:szCs w:val="18"/>
              </w:rPr>
            </w:pPr>
            <w:r>
              <w:rPr>
                <w:rFonts w:hint="eastAsia" w:ascii="宋体" w:hAnsi="宋体" w:eastAsia="宋体" w:cs="宋体"/>
                <w:b/>
                <w:bCs/>
                <w:color w:val="auto"/>
                <w:sz w:val="18"/>
                <w:szCs w:val="18"/>
              </w:rPr>
              <w:t>5.破坏其它类型土地；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jc w:val="center"/>
        </w:trPr>
        <w:tc>
          <w:tcPr>
            <w:tcW w:w="9014" w:type="dxa"/>
            <w:gridSpan w:val="3"/>
            <w:vAlign w:val="center"/>
          </w:tcPr>
          <w:p>
            <w:pPr>
              <w:ind w:firstLine="180" w:firstLineChars="100"/>
              <w:rPr>
                <w:rFonts w:hint="eastAsia" w:ascii="宋体" w:hAnsi="宋体" w:eastAsia="宋体" w:cs="宋体"/>
                <w:color w:val="auto"/>
                <w:sz w:val="18"/>
                <w:szCs w:val="18"/>
              </w:rPr>
            </w:pPr>
            <w:r>
              <w:rPr>
                <w:rFonts w:hint="eastAsia" w:ascii="宋体" w:hAnsi="宋体" w:eastAsia="宋体" w:cs="宋体"/>
                <w:color w:val="auto"/>
                <w:sz w:val="18"/>
                <w:szCs w:val="18"/>
              </w:rPr>
              <w:t>注：评估区重要程度分级采取按上一级别优先的原则确定，只要有一条符合者即为该级别。</w:t>
            </w:r>
          </w:p>
        </w:tc>
      </w:tr>
    </w:tbl>
    <w:p>
      <w:pPr>
        <w:pStyle w:val="113"/>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2）矿山地质环境条件复杂程度</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1）矿体均位于地下水位以上，矿坑进水边界条件简单，充水含水层富水性差，补给条件差，与区域强含水层、地下水集中径流带或地表水联系不密切，预测无矿坑涌水，采矿和疏干排水不易导致矿区周围主要含水层的影响或破坏；</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2）矿床围岩岩体结构完整，软弱结构面、无良地质层发育，残坡积层、稳固性好，采场岩石边坡岩石较完整到完整，土层薄，开采后边坡较稳定；</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3）地质构造较简单，</w:t>
      </w:r>
      <w:r>
        <w:rPr>
          <w:rFonts w:hint="eastAsia" w:ascii="宋体" w:hAnsi="宋体" w:eastAsia="宋体" w:cs="宋体"/>
          <w:color w:val="auto"/>
          <w:kern w:val="2"/>
          <w:sz w:val="24"/>
          <w:szCs w:val="24"/>
        </w:rPr>
        <w:t>矿区内地层岩性组合以灰黄色-灰色页岩、泥岩，灰色-青灰色粉砂岩、中细砂岩为主。呈</w:t>
      </w:r>
      <w:r>
        <w:rPr>
          <w:rFonts w:hint="eastAsia" w:ascii="宋体" w:hAnsi="宋体" w:cs="宋体"/>
          <w:color w:val="auto"/>
          <w:kern w:val="2"/>
          <w:sz w:val="24"/>
          <w:szCs w:val="24"/>
          <w:lang w:val="en-US" w:eastAsia="zh-CN"/>
        </w:rPr>
        <w:t>近</w:t>
      </w:r>
      <w:r>
        <w:rPr>
          <w:rFonts w:hint="eastAsia" w:ascii="宋体" w:hAnsi="宋体" w:eastAsia="宋体" w:cs="宋体"/>
          <w:color w:val="auto"/>
          <w:kern w:val="2"/>
          <w:sz w:val="24"/>
          <w:szCs w:val="24"/>
        </w:rPr>
        <w:t>东</w:t>
      </w:r>
      <w:r>
        <w:rPr>
          <w:rFonts w:hint="eastAsia" w:ascii="宋体" w:hAnsi="宋体" w:cs="宋体"/>
          <w:color w:val="auto"/>
          <w:kern w:val="2"/>
          <w:sz w:val="24"/>
          <w:szCs w:val="24"/>
          <w:lang w:val="en-US" w:eastAsia="zh-CN"/>
        </w:rPr>
        <w:t>西</w:t>
      </w:r>
      <w:r>
        <w:rPr>
          <w:rFonts w:hint="eastAsia" w:ascii="宋体" w:hAnsi="宋体" w:eastAsia="宋体" w:cs="宋体"/>
          <w:color w:val="auto"/>
          <w:kern w:val="2"/>
          <w:sz w:val="24"/>
          <w:szCs w:val="24"/>
        </w:rPr>
        <w:t>走向、倾向</w:t>
      </w:r>
      <w:r>
        <w:rPr>
          <w:rFonts w:hint="eastAsia" w:ascii="宋体" w:hAnsi="宋体" w:cs="宋体"/>
          <w:color w:val="auto"/>
          <w:kern w:val="2"/>
          <w:sz w:val="24"/>
          <w:szCs w:val="24"/>
          <w:lang w:val="en-US" w:eastAsia="zh-CN"/>
        </w:rPr>
        <w:t>北</w:t>
      </w:r>
      <w:r>
        <w:rPr>
          <w:rFonts w:hint="eastAsia" w:ascii="宋体" w:hAnsi="宋体" w:eastAsia="宋体" w:cs="宋体"/>
          <w:color w:val="auto"/>
          <w:kern w:val="2"/>
          <w:sz w:val="24"/>
          <w:szCs w:val="24"/>
        </w:rPr>
        <w:t>东的单斜层状产出，产状</w:t>
      </w:r>
      <w:r>
        <w:rPr>
          <w:rFonts w:hint="eastAsia" w:ascii="宋体" w:hAnsi="宋体" w:eastAsia="宋体" w:cs="宋体"/>
          <w:color w:val="auto"/>
          <w:sz w:val="24"/>
          <w:szCs w:val="24"/>
        </w:rPr>
        <w:t>较稳定。未见有褶皱、断层分布，对采场充水影响小；</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4）现状条件下，矿山地质环境问题的类型少，危害小；</w:t>
      </w:r>
    </w:p>
    <w:p>
      <w:pPr>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5）矿山露天开采，最终形成采场</w:t>
      </w:r>
      <w:r>
        <w:rPr>
          <w:rFonts w:hint="eastAsia" w:ascii="宋体" w:hAnsi="宋体" w:eastAsia="宋体" w:cs="宋体"/>
          <w:color w:val="auto"/>
          <w:sz w:val="24"/>
          <w:szCs w:val="24"/>
          <w:highlight w:val="none"/>
        </w:rPr>
        <w:t>面积</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其中北部采场******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南部采场******</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面积较大，但因施行边开采边治理，不易产生地质灾害；</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6）矿区及周边地区地形简单，地貌单元类型单一，微地貌形态简单，地形起伏</w:t>
      </w:r>
      <w:r>
        <w:rPr>
          <w:rFonts w:hint="eastAsia" w:ascii="宋体" w:hAnsi="宋体" w:cs="宋体"/>
          <w:color w:val="auto"/>
          <w:sz w:val="24"/>
          <w:szCs w:val="24"/>
          <w:lang w:val="en-US" w:eastAsia="zh-CN"/>
        </w:rPr>
        <w:t>变化中等</w:t>
      </w:r>
      <w:r>
        <w:rPr>
          <w:rFonts w:hint="eastAsia" w:ascii="宋体" w:hAnsi="宋体" w:eastAsia="宋体" w:cs="宋体"/>
          <w:color w:val="auto"/>
          <w:sz w:val="24"/>
          <w:szCs w:val="24"/>
        </w:rPr>
        <w:t>，自然排水</w:t>
      </w:r>
      <w:r>
        <w:rPr>
          <w:rFonts w:hint="eastAsia" w:ascii="宋体" w:hAnsi="宋体" w:cs="宋体"/>
          <w:color w:val="auto"/>
          <w:sz w:val="24"/>
          <w:szCs w:val="24"/>
          <w:lang w:val="en-US" w:eastAsia="zh-CN"/>
        </w:rPr>
        <w:t>条件一般</w:t>
      </w:r>
      <w:r>
        <w:rPr>
          <w:rFonts w:hint="eastAsia" w:ascii="宋体" w:hAnsi="宋体" w:eastAsia="宋体" w:cs="宋体"/>
          <w:color w:val="auto"/>
          <w:sz w:val="24"/>
          <w:szCs w:val="24"/>
        </w:rPr>
        <w:t>，地形坡度</w:t>
      </w:r>
      <w:r>
        <w:rPr>
          <w:rFonts w:hint="eastAsia" w:ascii="宋体" w:hAnsi="宋体" w:cs="宋体"/>
          <w:color w:val="auto"/>
          <w:sz w:val="24"/>
          <w:szCs w:val="24"/>
          <w:lang w:val="en-US" w:eastAsia="zh-CN"/>
        </w:rPr>
        <w:t>10</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35</w:t>
      </w:r>
      <w:r>
        <w:rPr>
          <w:rFonts w:hint="eastAsia" w:ascii="宋体" w:hAnsi="宋体" w:eastAsia="宋体" w:cs="宋体"/>
          <w:color w:val="auto"/>
          <w:sz w:val="24"/>
          <w:szCs w:val="24"/>
        </w:rPr>
        <w:t>°。</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按《矿山地质环境保护与恢复治理方案编制规范》（DZ/T0223-2011）附录C中地下开采矿山地质环境条件复杂程度分级表（表3-</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），因此，该矿山地质环境条件复杂程度属为</w:t>
      </w:r>
      <w:r>
        <w:rPr>
          <w:rFonts w:hint="eastAsia" w:ascii="宋体" w:hAnsi="宋体" w:eastAsia="宋体" w:cs="宋体"/>
          <w:b/>
          <w:bCs/>
          <w:color w:val="auto"/>
          <w:sz w:val="24"/>
          <w:szCs w:val="24"/>
        </w:rPr>
        <w:t>中等</w:t>
      </w:r>
      <w:r>
        <w:rPr>
          <w:rFonts w:hint="eastAsia" w:ascii="宋体" w:hAnsi="宋体" w:eastAsia="宋体" w:cs="宋体"/>
          <w:color w:val="auto"/>
          <w:sz w:val="24"/>
          <w:szCs w:val="24"/>
        </w:rPr>
        <w:t>。</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w:t>
      </w:r>
      <w:r>
        <w:rPr>
          <w:rFonts w:hint="eastAsia" w:ascii="宋体" w:hAnsi="宋体" w:eastAsia="宋体" w:cs="宋体"/>
          <w:b/>
          <w:bCs/>
          <w:color w:val="auto"/>
          <w:sz w:val="21"/>
          <w:szCs w:val="21"/>
          <w:lang w:val="en-US" w:eastAsia="zh-CN"/>
        </w:rPr>
        <w:t xml:space="preserve">3  </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矿山地质环境条件复杂程度分级表</w:t>
      </w:r>
    </w:p>
    <w:tbl>
      <w:tblPr>
        <w:tblStyle w:val="53"/>
        <w:tblW w:w="9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85"/>
        <w:gridCol w:w="3119"/>
        <w:gridCol w:w="2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blHeader/>
        </w:trPr>
        <w:tc>
          <w:tcPr>
            <w:tcW w:w="3085"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复杂</w:t>
            </w:r>
          </w:p>
        </w:tc>
        <w:tc>
          <w:tcPr>
            <w:tcW w:w="3119" w:type="dxa"/>
            <w:vAlign w:val="center"/>
          </w:tcPr>
          <w:p>
            <w:pPr>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中等</w:t>
            </w:r>
          </w:p>
        </w:tc>
        <w:tc>
          <w:tcPr>
            <w:tcW w:w="2939" w:type="dxa"/>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085"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采矿矿层（体）位于地下水位以下，采场汇水面积大，采场进水边界条件复杂，与区域含水层或地表水联系密切，地下水补给、径流条件好，采场正常涌水量大于10000m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/d，采矿活动和疏干排水容易导致区域主要含水层破坏</w:t>
            </w:r>
          </w:p>
        </w:tc>
        <w:tc>
          <w:tcPr>
            <w:tcW w:w="3119"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采矿矿层（体）局部位于地下水位以下，采场汇水面积较大，采场正常涌水量3000~10000m</w:t>
            </w:r>
            <w:r>
              <w:rPr>
                <w:rFonts w:hint="eastAsia" w:ascii="宋体" w:hAnsi="宋体" w:eastAsia="宋体" w:cs="宋体"/>
                <w:color w:val="auto"/>
                <w:sz w:val="18"/>
                <w:szCs w:val="18"/>
                <w:vertAlign w:val="superscript"/>
              </w:rPr>
              <w:t>3</w:t>
            </w:r>
            <w:r>
              <w:rPr>
                <w:rFonts w:hint="eastAsia" w:ascii="宋体" w:hAnsi="宋体" w:eastAsia="宋体" w:cs="宋体"/>
                <w:color w:val="auto"/>
                <w:sz w:val="18"/>
                <w:szCs w:val="18"/>
              </w:rPr>
              <w:t>/d，采矿和疏干排水比较容易导致矿区周围主要含水层影响或破坏</w:t>
            </w:r>
          </w:p>
        </w:tc>
        <w:tc>
          <w:tcPr>
            <w:tcW w:w="2939" w:type="dxa"/>
            <w:vAlign w:val="center"/>
          </w:tcPr>
          <w:p>
            <w:pPr>
              <w:spacing w:line="240" w:lineRule="exact"/>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采矿矿层（体）位于地下水位以上，采场汇水面积小，与区域含水层或地表水联系不密切，采场正常涌水量小于3000m</w:t>
            </w:r>
            <w:r>
              <w:rPr>
                <w:rFonts w:hint="eastAsia" w:ascii="宋体" w:hAnsi="宋体" w:eastAsia="宋体" w:cs="宋体"/>
                <w:b/>
                <w:bCs/>
                <w:color w:val="auto"/>
                <w:sz w:val="18"/>
                <w:szCs w:val="18"/>
                <w:vertAlign w:val="superscript"/>
              </w:rPr>
              <w:t>3</w:t>
            </w:r>
            <w:r>
              <w:rPr>
                <w:rFonts w:hint="eastAsia" w:ascii="宋体" w:hAnsi="宋体" w:eastAsia="宋体" w:cs="宋体"/>
                <w:b/>
                <w:bCs/>
                <w:color w:val="auto"/>
                <w:sz w:val="18"/>
                <w:szCs w:val="18"/>
              </w:rPr>
              <w:t>/d，采矿和疏干排水不易导致矿区周围主要含水层的影响或破坏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085"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矿床围岩岩体结构以破碎结构、散体结构为主，软弱结构面、不良地质层发育，存在饱水软弱岩层或松散软弱岩层，含水砂层多，分布广，残坡积层、基岩风化破碎带厚度大于10m，稳固性差，采场岩石边坡风化破碎或土层松软，边坡外倾软弱结构面或危岩发育，易导致边坡失稳</w:t>
            </w:r>
          </w:p>
        </w:tc>
        <w:tc>
          <w:tcPr>
            <w:tcW w:w="3119"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矿床围岩岩体结构以薄到厚层状结构为主，软弱结构面、不良地质层发育中等，存在饱水软弱岩层和含水砂层，残坡积层、基岩风化破碎带厚度5</w:t>
            </w:r>
          </w:p>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~10m，稳固性较差，采场岩石边坡风化较破碎，边坡存在外倾软弱结构面或危岩，局部可能产生边坡失稳</w:t>
            </w:r>
          </w:p>
        </w:tc>
        <w:tc>
          <w:tcPr>
            <w:tcW w:w="2939" w:type="dxa"/>
            <w:vAlign w:val="center"/>
          </w:tcPr>
          <w:p>
            <w:pPr>
              <w:spacing w:line="240" w:lineRule="exact"/>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矿床围岩岩体结构以巨厚层状-块状整体结构为主，软弱结构面、不良地质层不发育，残坡积层、基岩风化破碎带厚度小于5m，稳固性好，采场岩石边坡岩石较完整到完整，土层薄，边坡基本不存在外倾软弱结构面或危岩，边坡较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085"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地质构造复杂。矿层围岩岩层产状变化大，断裂构造发育或有活动断裂，导水裂隙切割矿层（体）围岩、覆岩和主要含水层（带），导水性强，对采场充水影响大</w:t>
            </w:r>
          </w:p>
        </w:tc>
        <w:tc>
          <w:tcPr>
            <w:tcW w:w="3119"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地质构造较复杂。矿层围岩岩层产状变化较大，断裂构造较发育，切割矿层（体）围岩、覆岩和主要含水层（带），导水性差，对采场充水影响较大</w:t>
            </w:r>
          </w:p>
        </w:tc>
        <w:tc>
          <w:tcPr>
            <w:tcW w:w="2939" w:type="dxa"/>
            <w:vAlign w:val="center"/>
          </w:tcPr>
          <w:p>
            <w:pPr>
              <w:spacing w:line="240" w:lineRule="exact"/>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地质构造较简单。矿层围岩岩层产状变化小，断裂构造较不发育，断裂未切割矿层（体）围岩、覆岩，对采场充水影响小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085"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现状条件下原生地质灾害发育，或矿山地质环境问题的类型多，危害大</w:t>
            </w:r>
          </w:p>
        </w:tc>
        <w:tc>
          <w:tcPr>
            <w:tcW w:w="3119"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现状条件下，矿山地质环境问题的类型较多，危害较大</w:t>
            </w:r>
          </w:p>
        </w:tc>
        <w:tc>
          <w:tcPr>
            <w:tcW w:w="2939" w:type="dxa"/>
            <w:vAlign w:val="center"/>
          </w:tcPr>
          <w:p>
            <w:pPr>
              <w:spacing w:line="240" w:lineRule="exact"/>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现状条件下，矿山地质地质环境问题的类型少，危害小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085"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采场面积及采坑深度大，边坡不稳定，易产生地质灾害</w:t>
            </w:r>
          </w:p>
        </w:tc>
        <w:tc>
          <w:tcPr>
            <w:tcW w:w="3119" w:type="dxa"/>
            <w:vAlign w:val="center"/>
          </w:tcPr>
          <w:p>
            <w:pPr>
              <w:spacing w:line="240" w:lineRule="exact"/>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采场面积及采坑深度较大，边坡较不稳定，较易产生地质灾害</w:t>
            </w:r>
          </w:p>
        </w:tc>
        <w:tc>
          <w:tcPr>
            <w:tcW w:w="2939"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采场面积及采坑深度小，边坡较稳定，不易产生地质灾害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3085"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color w:val="auto"/>
                <w:sz w:val="18"/>
                <w:szCs w:val="18"/>
              </w:rPr>
              <w:t>地貌单元类型多，微地貌形态复杂，地形起伏变化大，不利于自然排水，地形坡度一般大于35°，相对高差大，高坡方向岩层倾向与采坑斜坡多为同向</w:t>
            </w:r>
          </w:p>
        </w:tc>
        <w:tc>
          <w:tcPr>
            <w:tcW w:w="3119" w:type="dxa"/>
            <w:vAlign w:val="center"/>
          </w:tcPr>
          <w:p>
            <w:pPr>
              <w:spacing w:line="240" w:lineRule="exact"/>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地貌单元类型较多，微地貌形态较复杂，地形起伏变化中等，自然排水一般，地形坡度一般为20°~35°，相对高差较大，高坡方向岩层倾向与采坑斜坡多为斜交</w:t>
            </w:r>
          </w:p>
        </w:tc>
        <w:tc>
          <w:tcPr>
            <w:tcW w:w="2939" w:type="dxa"/>
            <w:vAlign w:val="center"/>
          </w:tcPr>
          <w:p>
            <w:pPr>
              <w:spacing w:line="240" w:lineRule="exact"/>
              <w:jc w:val="center"/>
              <w:rPr>
                <w:rFonts w:hint="eastAsia" w:ascii="宋体" w:hAnsi="宋体" w:eastAsia="宋体" w:cs="宋体"/>
                <w:color w:val="auto"/>
                <w:sz w:val="18"/>
                <w:szCs w:val="18"/>
              </w:rPr>
            </w:pPr>
            <w:r>
              <w:rPr>
                <w:rFonts w:hint="eastAsia" w:ascii="宋体" w:hAnsi="宋体" w:eastAsia="宋体" w:cs="宋体"/>
                <w:b w:val="0"/>
                <w:bCs w:val="0"/>
                <w:color w:val="auto"/>
                <w:sz w:val="18"/>
                <w:szCs w:val="18"/>
              </w:rPr>
              <w:t>地貌单元类型单一，微地貌形态简单，地形较平缓，有利于自然排水，地形坡度一般小于20°，相</w:t>
            </w:r>
            <w:r>
              <w:rPr>
                <w:rFonts w:hint="eastAsia" w:ascii="宋体" w:hAnsi="宋体" w:eastAsia="宋体" w:cs="宋体"/>
                <w:color w:val="auto"/>
                <w:sz w:val="18"/>
                <w:szCs w:val="18"/>
              </w:rPr>
              <w:t>对高差较小，高坡方向岩层倾向与采坑斜坡多为反向坡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trPr>
        <w:tc>
          <w:tcPr>
            <w:tcW w:w="9143" w:type="dxa"/>
            <w:gridSpan w:val="3"/>
            <w:vAlign w:val="center"/>
          </w:tcPr>
          <w:p>
            <w:pPr>
              <w:jc w:val="center"/>
              <w:rPr>
                <w:rFonts w:hint="eastAsia" w:ascii="宋体" w:hAnsi="宋体" w:eastAsia="宋体" w:cs="宋体"/>
                <w:color w:val="auto"/>
                <w:sz w:val="18"/>
                <w:szCs w:val="18"/>
              </w:rPr>
            </w:pPr>
            <w:r>
              <w:rPr>
                <w:rFonts w:hint="eastAsia" w:ascii="宋体" w:hAnsi="宋体" w:eastAsia="宋体" w:cs="宋体"/>
                <w:color w:val="auto"/>
                <w:sz w:val="18"/>
                <w:szCs w:val="18"/>
              </w:rPr>
              <w:t>注：采取就上原则，只要有一条满足某一级别，应定为该级别。</w:t>
            </w:r>
          </w:p>
        </w:tc>
      </w:tr>
    </w:tbl>
    <w:p>
      <w:pPr>
        <w:pStyle w:val="11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（3）矿山生产建设规模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本矿山为砖瓦用页岩矿，为露天开采矿山，设计生产规模</w:t>
      </w:r>
      <w:r>
        <w:rPr>
          <w:rFonts w:hint="eastAsia" w:ascii="宋体" w:hAnsi="宋体" w:cs="宋体"/>
          <w:color w:val="auto"/>
          <w:sz w:val="24"/>
          <w:szCs w:val="24"/>
          <w:lang w:val="en-US" w:eastAsia="zh-CN"/>
        </w:rPr>
        <w:t>20万立方米（38.4</w:t>
      </w:r>
      <w:r>
        <w:rPr>
          <w:rFonts w:hint="eastAsia" w:ascii="宋体" w:hAnsi="宋体" w:eastAsia="宋体" w:cs="宋体"/>
          <w:color w:val="auto"/>
          <w:sz w:val="24"/>
          <w:szCs w:val="24"/>
        </w:rPr>
        <w:t>万吨/年</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根据《矿山地质环境保护与恢复治理方案编制规范》附录D中矿山生产建设规模分类一览表（表3-4），本矿山生产建设规模为</w:t>
      </w:r>
      <w:r>
        <w:rPr>
          <w:rFonts w:hint="eastAsia" w:ascii="宋体" w:hAnsi="宋体" w:cs="宋体"/>
          <w:b/>
          <w:bCs/>
          <w:color w:val="auto"/>
          <w:sz w:val="24"/>
          <w:szCs w:val="24"/>
          <w:lang w:val="en-US" w:eastAsia="zh-CN"/>
        </w:rPr>
        <w:t>中</w:t>
      </w:r>
      <w:r>
        <w:rPr>
          <w:rFonts w:hint="eastAsia" w:ascii="宋体" w:hAnsi="宋体" w:eastAsia="宋体" w:cs="宋体"/>
          <w:b/>
          <w:bCs/>
          <w:color w:val="auto"/>
          <w:sz w:val="24"/>
          <w:szCs w:val="24"/>
        </w:rPr>
        <w:t>型矿山</w:t>
      </w:r>
      <w:r>
        <w:rPr>
          <w:rFonts w:hint="eastAsia" w:ascii="宋体" w:hAnsi="宋体" w:eastAsia="宋体" w:cs="宋体"/>
          <w:color w:val="auto"/>
          <w:sz w:val="24"/>
          <w:szCs w:val="24"/>
        </w:rPr>
        <w:t>。</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w:t>
      </w:r>
      <w:r>
        <w:rPr>
          <w:rFonts w:hint="eastAsia" w:ascii="宋体" w:hAnsi="宋体" w:eastAsia="宋体" w:cs="宋体"/>
          <w:b/>
          <w:bCs/>
          <w:color w:val="auto"/>
          <w:sz w:val="21"/>
          <w:szCs w:val="21"/>
          <w:lang w:val="en-US" w:eastAsia="zh-CN"/>
        </w:rPr>
        <w:t>4</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矿山生产建设规模分类一览表</w:t>
      </w:r>
    </w:p>
    <w:tbl>
      <w:tblPr>
        <w:tblStyle w:val="53"/>
        <w:tblW w:w="8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583"/>
        <w:gridCol w:w="1425"/>
        <w:gridCol w:w="1425"/>
        <w:gridCol w:w="1248"/>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jc w:val="center"/>
        </w:trPr>
        <w:tc>
          <w:tcPr>
            <w:tcW w:w="1420"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矿种类别</w:t>
            </w:r>
          </w:p>
        </w:tc>
        <w:tc>
          <w:tcPr>
            <w:tcW w:w="5681" w:type="dxa"/>
            <w:gridSpan w:val="4"/>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矿山生产建设规模级别</w:t>
            </w:r>
          </w:p>
        </w:tc>
        <w:tc>
          <w:tcPr>
            <w:tcW w:w="94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420" w:type="dxa"/>
            <w:vMerge w:val="continue"/>
            <w:vAlign w:val="center"/>
          </w:tcPr>
          <w:p>
            <w:pPr>
              <w:spacing w:line="240" w:lineRule="auto"/>
              <w:jc w:val="center"/>
              <w:rPr>
                <w:rFonts w:hint="eastAsia" w:ascii="宋体" w:hAnsi="宋体" w:eastAsia="宋体" w:cs="宋体"/>
                <w:color w:val="auto"/>
                <w:sz w:val="21"/>
                <w:szCs w:val="21"/>
              </w:rPr>
            </w:pPr>
          </w:p>
        </w:tc>
        <w:tc>
          <w:tcPr>
            <w:tcW w:w="1583"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计量单位/年</w:t>
            </w:r>
          </w:p>
        </w:tc>
        <w:tc>
          <w:tcPr>
            <w:tcW w:w="142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大型</w:t>
            </w:r>
          </w:p>
        </w:tc>
        <w:tc>
          <w:tcPr>
            <w:tcW w:w="142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中型</w:t>
            </w:r>
          </w:p>
        </w:tc>
        <w:tc>
          <w:tcPr>
            <w:tcW w:w="124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小型</w:t>
            </w:r>
          </w:p>
        </w:tc>
        <w:tc>
          <w:tcPr>
            <w:tcW w:w="945" w:type="dxa"/>
            <w:vAlign w:val="center"/>
          </w:tcPr>
          <w:p>
            <w:pPr>
              <w:spacing w:line="240" w:lineRule="auto"/>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420"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砖瓦用页岩、砖瓦粘土</w:t>
            </w:r>
          </w:p>
        </w:tc>
        <w:tc>
          <w:tcPr>
            <w:tcW w:w="1583"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矿石万吨</w:t>
            </w:r>
          </w:p>
        </w:tc>
        <w:tc>
          <w:tcPr>
            <w:tcW w:w="142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142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30－6</w:t>
            </w:r>
          </w:p>
        </w:tc>
        <w:tc>
          <w:tcPr>
            <w:tcW w:w="1248"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&lt;6</w:t>
            </w:r>
          </w:p>
        </w:tc>
        <w:tc>
          <w:tcPr>
            <w:tcW w:w="945" w:type="dxa"/>
            <w:vAlign w:val="center"/>
          </w:tcPr>
          <w:p>
            <w:pPr>
              <w:spacing w:line="240" w:lineRule="auto"/>
              <w:jc w:val="center"/>
              <w:rPr>
                <w:rFonts w:hint="eastAsia" w:ascii="宋体" w:hAnsi="宋体" w:eastAsia="宋体" w:cs="宋体"/>
                <w:color w:val="auto"/>
                <w:sz w:val="21"/>
                <w:szCs w:val="21"/>
              </w:rPr>
            </w:pPr>
          </w:p>
        </w:tc>
      </w:tr>
    </w:tbl>
    <w:p>
      <w:pPr>
        <w:pStyle w:val="113"/>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（4）评估级别</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综上所述，评估区重要程度为一般区，矿山地质环境条件复杂程度为中等，建设规模属</w:t>
      </w:r>
      <w:r>
        <w:rPr>
          <w:rFonts w:hint="eastAsia" w:ascii="宋体" w:hAnsi="宋体" w:cs="宋体"/>
          <w:color w:val="auto"/>
          <w:sz w:val="24"/>
          <w:szCs w:val="24"/>
          <w:lang w:val="en-US" w:eastAsia="zh-CN"/>
        </w:rPr>
        <w:t>中</w:t>
      </w:r>
      <w:r>
        <w:rPr>
          <w:rFonts w:hint="eastAsia" w:ascii="宋体" w:hAnsi="宋体" w:eastAsia="宋体" w:cs="宋体"/>
          <w:color w:val="auto"/>
          <w:sz w:val="24"/>
          <w:szCs w:val="24"/>
        </w:rPr>
        <w:t>型矿山，根据矿山环境影响评估精度分级表（表3-</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），本矿山地质环境影响评估等级为</w:t>
      </w:r>
      <w:r>
        <w:rPr>
          <w:rFonts w:hint="eastAsia" w:ascii="宋体" w:hAnsi="宋体" w:eastAsia="宋体" w:cs="宋体"/>
          <w:b/>
          <w:bCs/>
          <w:color w:val="auto"/>
          <w:sz w:val="24"/>
          <w:szCs w:val="24"/>
        </w:rPr>
        <w:t>二级</w:t>
      </w:r>
      <w:r>
        <w:rPr>
          <w:rFonts w:hint="eastAsia" w:ascii="宋体" w:hAnsi="宋体" w:eastAsia="宋体" w:cs="宋体"/>
          <w:color w:val="auto"/>
          <w:sz w:val="24"/>
          <w:szCs w:val="24"/>
        </w:rPr>
        <w:t>。</w:t>
      </w:r>
    </w:p>
    <w:p>
      <w:pPr>
        <w:ind w:firstLine="422" w:firstLineChars="200"/>
        <w:jc w:val="center"/>
        <w:rPr>
          <w:rFonts w:hint="eastAsia" w:ascii="宋体" w:hAnsi="宋体" w:eastAsia="宋体" w:cs="宋体"/>
          <w:b/>
          <w:bCs/>
          <w:color w:val="auto"/>
          <w:sz w:val="21"/>
          <w:szCs w:val="21"/>
        </w:rPr>
      </w:pPr>
    </w:p>
    <w:p>
      <w:pPr>
        <w:ind w:firstLine="422" w:firstLineChars="200"/>
        <w:jc w:val="center"/>
        <w:rPr>
          <w:rFonts w:hint="eastAsia" w:ascii="宋体" w:hAnsi="宋体" w:eastAsia="宋体" w:cs="宋体"/>
          <w:b/>
          <w:bCs/>
          <w:color w:val="auto"/>
          <w:sz w:val="21"/>
          <w:szCs w:val="21"/>
        </w:rPr>
      </w:pP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矿山地质环境影响评估精度分级表</w:t>
      </w:r>
    </w:p>
    <w:tbl>
      <w:tblPr>
        <w:tblStyle w:val="53"/>
        <w:tblW w:w="86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4"/>
        <w:gridCol w:w="2186"/>
        <w:gridCol w:w="1595"/>
        <w:gridCol w:w="1593"/>
        <w:gridCol w:w="1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654" w:type="dxa"/>
            <w:vMerge w:val="restart"/>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评估区</w:t>
            </w:r>
          </w:p>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重要程度</w:t>
            </w:r>
          </w:p>
        </w:tc>
        <w:tc>
          <w:tcPr>
            <w:tcW w:w="2186" w:type="dxa"/>
            <w:vMerge w:val="restart"/>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矿山生产</w:t>
            </w:r>
          </w:p>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建设规模</w:t>
            </w:r>
          </w:p>
        </w:tc>
        <w:tc>
          <w:tcPr>
            <w:tcW w:w="4792" w:type="dxa"/>
            <w:gridSpan w:val="3"/>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地质环境条件复杂程度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654" w:type="dxa"/>
            <w:vMerge w:val="continue"/>
            <w:vAlign w:val="center"/>
          </w:tcPr>
          <w:p>
            <w:pPr>
              <w:spacing w:line="240" w:lineRule="auto"/>
              <w:jc w:val="center"/>
              <w:rPr>
                <w:rFonts w:hint="eastAsia" w:ascii="宋体" w:hAnsi="宋体" w:eastAsia="宋体" w:cs="宋体"/>
                <w:b/>
                <w:bCs/>
                <w:color w:val="auto"/>
                <w:sz w:val="21"/>
                <w:szCs w:val="21"/>
              </w:rPr>
            </w:pPr>
          </w:p>
        </w:tc>
        <w:tc>
          <w:tcPr>
            <w:tcW w:w="2186" w:type="dxa"/>
            <w:vMerge w:val="continue"/>
            <w:vAlign w:val="center"/>
          </w:tcPr>
          <w:p>
            <w:pPr>
              <w:spacing w:line="240" w:lineRule="auto"/>
              <w:jc w:val="center"/>
              <w:rPr>
                <w:rFonts w:hint="eastAsia" w:ascii="宋体" w:hAnsi="宋体" w:eastAsia="宋体" w:cs="宋体"/>
                <w:b/>
                <w:bCs/>
                <w:color w:val="auto"/>
                <w:sz w:val="21"/>
                <w:szCs w:val="21"/>
              </w:rPr>
            </w:pPr>
          </w:p>
        </w:tc>
        <w:tc>
          <w:tcPr>
            <w:tcW w:w="1595" w:type="dxa"/>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color w:val="auto"/>
                <w:sz w:val="21"/>
                <w:szCs w:val="21"/>
              </w:rPr>
              <w:t>复杂</w:t>
            </w:r>
          </w:p>
        </w:tc>
        <w:tc>
          <w:tcPr>
            <w:tcW w:w="1593" w:type="dxa"/>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中等</w:t>
            </w:r>
          </w:p>
        </w:tc>
        <w:tc>
          <w:tcPr>
            <w:tcW w:w="1604"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restart"/>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重要区</w:t>
            </w:r>
          </w:p>
        </w:tc>
        <w:tc>
          <w:tcPr>
            <w:tcW w:w="2186"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大型</w:t>
            </w:r>
          </w:p>
        </w:tc>
        <w:tc>
          <w:tcPr>
            <w:tcW w:w="1595"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c>
          <w:tcPr>
            <w:tcW w:w="1593"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c>
          <w:tcPr>
            <w:tcW w:w="1604"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continue"/>
            <w:vAlign w:val="center"/>
          </w:tcPr>
          <w:p>
            <w:pPr>
              <w:spacing w:line="240" w:lineRule="auto"/>
              <w:jc w:val="center"/>
              <w:rPr>
                <w:rFonts w:hint="eastAsia" w:ascii="宋体" w:hAnsi="宋体" w:eastAsia="宋体" w:cs="宋体"/>
                <w:bCs/>
                <w:color w:val="auto"/>
                <w:sz w:val="21"/>
                <w:szCs w:val="21"/>
              </w:rPr>
            </w:pPr>
          </w:p>
        </w:tc>
        <w:tc>
          <w:tcPr>
            <w:tcW w:w="2186"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中型</w:t>
            </w:r>
          </w:p>
        </w:tc>
        <w:tc>
          <w:tcPr>
            <w:tcW w:w="1595"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c>
          <w:tcPr>
            <w:tcW w:w="1593"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c>
          <w:tcPr>
            <w:tcW w:w="1604"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continue"/>
            <w:vAlign w:val="center"/>
          </w:tcPr>
          <w:p>
            <w:pPr>
              <w:spacing w:line="240" w:lineRule="auto"/>
              <w:jc w:val="center"/>
              <w:rPr>
                <w:rFonts w:hint="eastAsia" w:ascii="宋体" w:hAnsi="宋体" w:eastAsia="宋体" w:cs="宋体"/>
                <w:bCs/>
                <w:color w:val="auto"/>
                <w:sz w:val="21"/>
                <w:szCs w:val="21"/>
              </w:rPr>
            </w:pPr>
          </w:p>
        </w:tc>
        <w:tc>
          <w:tcPr>
            <w:tcW w:w="2186"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小型</w:t>
            </w:r>
          </w:p>
        </w:tc>
        <w:tc>
          <w:tcPr>
            <w:tcW w:w="1595"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c>
          <w:tcPr>
            <w:tcW w:w="1593"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c>
          <w:tcPr>
            <w:tcW w:w="1604"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restart"/>
            <w:vAlign w:val="center"/>
          </w:tcPr>
          <w:p>
            <w:pPr>
              <w:spacing w:line="240" w:lineRule="auto"/>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较重要区</w:t>
            </w:r>
          </w:p>
        </w:tc>
        <w:tc>
          <w:tcPr>
            <w:tcW w:w="2186" w:type="dxa"/>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color w:val="auto"/>
                <w:sz w:val="21"/>
                <w:szCs w:val="21"/>
              </w:rPr>
              <w:t>大型</w:t>
            </w:r>
          </w:p>
        </w:tc>
        <w:tc>
          <w:tcPr>
            <w:tcW w:w="159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一级</w:t>
            </w:r>
          </w:p>
        </w:tc>
        <w:tc>
          <w:tcPr>
            <w:tcW w:w="1593"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一级</w:t>
            </w:r>
          </w:p>
        </w:tc>
        <w:tc>
          <w:tcPr>
            <w:tcW w:w="1604" w:type="dxa"/>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color w:val="auto"/>
                <w:sz w:val="2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continue"/>
            <w:vAlign w:val="center"/>
          </w:tcPr>
          <w:p>
            <w:pPr>
              <w:spacing w:line="240" w:lineRule="auto"/>
              <w:jc w:val="center"/>
              <w:rPr>
                <w:rFonts w:hint="eastAsia" w:ascii="宋体" w:hAnsi="宋体" w:eastAsia="宋体" w:cs="宋体"/>
                <w:color w:val="auto"/>
                <w:sz w:val="21"/>
                <w:szCs w:val="21"/>
              </w:rPr>
            </w:pPr>
          </w:p>
        </w:tc>
        <w:tc>
          <w:tcPr>
            <w:tcW w:w="2186" w:type="dxa"/>
            <w:vAlign w:val="center"/>
          </w:tcPr>
          <w:p>
            <w:pPr>
              <w:spacing w:line="240" w:lineRule="auto"/>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中型</w:t>
            </w:r>
          </w:p>
        </w:tc>
        <w:tc>
          <w:tcPr>
            <w:tcW w:w="159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一级</w:t>
            </w:r>
          </w:p>
        </w:tc>
        <w:tc>
          <w:tcPr>
            <w:tcW w:w="1593"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二级</w:t>
            </w:r>
          </w:p>
        </w:tc>
        <w:tc>
          <w:tcPr>
            <w:tcW w:w="1604" w:type="dxa"/>
            <w:vAlign w:val="center"/>
          </w:tcPr>
          <w:p>
            <w:pPr>
              <w:spacing w:line="240" w:lineRule="auto"/>
              <w:jc w:val="center"/>
              <w:rPr>
                <w:rFonts w:hint="eastAsia" w:ascii="宋体" w:hAnsi="宋体" w:eastAsia="宋体" w:cs="宋体"/>
                <w:b/>
                <w:color w:val="auto"/>
                <w:sz w:val="21"/>
                <w:szCs w:val="21"/>
              </w:rPr>
            </w:pPr>
            <w:r>
              <w:rPr>
                <w:rFonts w:hint="eastAsia" w:ascii="宋体" w:hAnsi="宋体" w:eastAsia="宋体" w:cs="宋体"/>
                <w:bCs/>
                <w:color w:val="auto"/>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continue"/>
            <w:vAlign w:val="center"/>
          </w:tcPr>
          <w:p>
            <w:pPr>
              <w:spacing w:line="240" w:lineRule="auto"/>
              <w:jc w:val="center"/>
              <w:rPr>
                <w:rFonts w:hint="eastAsia" w:ascii="宋体" w:hAnsi="宋体" w:eastAsia="宋体" w:cs="宋体"/>
                <w:color w:val="auto"/>
                <w:sz w:val="21"/>
                <w:szCs w:val="21"/>
              </w:rPr>
            </w:pPr>
          </w:p>
        </w:tc>
        <w:tc>
          <w:tcPr>
            <w:tcW w:w="2186"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小型</w:t>
            </w:r>
          </w:p>
        </w:tc>
        <w:tc>
          <w:tcPr>
            <w:tcW w:w="1595"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一级</w:t>
            </w:r>
          </w:p>
        </w:tc>
        <w:tc>
          <w:tcPr>
            <w:tcW w:w="1593"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二级</w:t>
            </w:r>
          </w:p>
        </w:tc>
        <w:tc>
          <w:tcPr>
            <w:tcW w:w="1604"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restart"/>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
                <w:color w:val="auto"/>
                <w:sz w:val="21"/>
                <w:szCs w:val="21"/>
              </w:rPr>
              <w:t>一般区</w:t>
            </w:r>
          </w:p>
        </w:tc>
        <w:tc>
          <w:tcPr>
            <w:tcW w:w="2186" w:type="dxa"/>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大型</w:t>
            </w:r>
          </w:p>
        </w:tc>
        <w:tc>
          <w:tcPr>
            <w:tcW w:w="1595" w:type="dxa"/>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一级</w:t>
            </w:r>
          </w:p>
        </w:tc>
        <w:tc>
          <w:tcPr>
            <w:tcW w:w="1593" w:type="dxa"/>
            <w:vAlign w:val="center"/>
          </w:tcPr>
          <w:p>
            <w:pPr>
              <w:spacing w:line="24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二级</w:t>
            </w:r>
          </w:p>
        </w:tc>
        <w:tc>
          <w:tcPr>
            <w:tcW w:w="1604"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continue"/>
            <w:vAlign w:val="center"/>
          </w:tcPr>
          <w:p>
            <w:pPr>
              <w:spacing w:line="240" w:lineRule="auto"/>
              <w:jc w:val="center"/>
              <w:rPr>
                <w:rFonts w:hint="eastAsia" w:ascii="宋体" w:hAnsi="宋体" w:eastAsia="宋体" w:cs="宋体"/>
                <w:bCs/>
                <w:color w:val="auto"/>
                <w:sz w:val="21"/>
                <w:szCs w:val="21"/>
              </w:rPr>
            </w:pPr>
          </w:p>
        </w:tc>
        <w:tc>
          <w:tcPr>
            <w:tcW w:w="2186"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
                <w:bCs w:val="0"/>
                <w:color w:val="auto"/>
                <w:sz w:val="21"/>
                <w:szCs w:val="21"/>
              </w:rPr>
              <w:t>中型</w:t>
            </w:r>
          </w:p>
        </w:tc>
        <w:tc>
          <w:tcPr>
            <w:tcW w:w="1595"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w:t>
            </w:r>
          </w:p>
        </w:tc>
        <w:tc>
          <w:tcPr>
            <w:tcW w:w="1593"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
                <w:bCs w:val="0"/>
                <w:color w:val="auto"/>
                <w:sz w:val="21"/>
                <w:szCs w:val="21"/>
              </w:rPr>
              <w:t>二级</w:t>
            </w:r>
          </w:p>
        </w:tc>
        <w:tc>
          <w:tcPr>
            <w:tcW w:w="1604"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54" w:type="dxa"/>
            <w:vMerge w:val="continue"/>
            <w:vAlign w:val="center"/>
          </w:tcPr>
          <w:p>
            <w:pPr>
              <w:spacing w:line="240" w:lineRule="auto"/>
              <w:jc w:val="center"/>
              <w:rPr>
                <w:rFonts w:hint="eastAsia" w:ascii="宋体" w:hAnsi="宋体" w:eastAsia="宋体" w:cs="宋体"/>
                <w:bCs/>
                <w:color w:val="auto"/>
                <w:sz w:val="21"/>
                <w:szCs w:val="21"/>
              </w:rPr>
            </w:pPr>
          </w:p>
        </w:tc>
        <w:tc>
          <w:tcPr>
            <w:tcW w:w="2186"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小型</w:t>
            </w:r>
          </w:p>
        </w:tc>
        <w:tc>
          <w:tcPr>
            <w:tcW w:w="1595"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二级</w:t>
            </w:r>
          </w:p>
        </w:tc>
        <w:tc>
          <w:tcPr>
            <w:tcW w:w="1593" w:type="dxa"/>
            <w:vAlign w:val="center"/>
          </w:tcPr>
          <w:p>
            <w:pPr>
              <w:spacing w:line="24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三级</w:t>
            </w:r>
          </w:p>
        </w:tc>
        <w:tc>
          <w:tcPr>
            <w:tcW w:w="1604"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三级</w:t>
            </w:r>
          </w:p>
        </w:tc>
      </w:tr>
    </w:tbl>
    <w:p>
      <w:pPr>
        <w:autoSpaceDE w:val="0"/>
        <w:autoSpaceDN w:val="0"/>
        <w:ind w:firstLine="420"/>
        <w:rPr>
          <w:rFonts w:hint="eastAsia" w:ascii="宋体" w:hAnsi="宋体" w:eastAsia="宋体" w:cs="宋体"/>
          <w:bCs/>
          <w:color w:val="auto"/>
          <w:sz w:val="21"/>
          <w:szCs w:val="21"/>
        </w:rPr>
      </w:pPr>
      <w:r>
        <w:rPr>
          <w:rFonts w:hint="eastAsia" w:ascii="宋体" w:hAnsi="宋体" w:eastAsia="宋体" w:cs="宋体"/>
          <w:bCs/>
          <w:color w:val="auto"/>
          <w:sz w:val="21"/>
          <w:szCs w:val="21"/>
        </w:rPr>
        <w:t>注：摘自《矿山地质环境保护与恢复治理方案编制规范》（DZ/T0223-2011），加粗打勾</w:t>
      </w:r>
    </w:p>
    <w:p>
      <w:pPr>
        <w:autoSpaceDE w:val="0"/>
        <w:autoSpaceDN w:val="0"/>
        <w:ind w:firstLine="420"/>
        <w:rPr>
          <w:rFonts w:hint="eastAsia" w:ascii="宋体" w:hAnsi="宋体" w:eastAsia="宋体" w:cs="宋体"/>
          <w:b/>
          <w:bCs/>
          <w:color w:val="auto"/>
          <w:sz w:val="21"/>
          <w:szCs w:val="21"/>
          <w:lang w:eastAsia="zh-CN"/>
        </w:rPr>
      </w:pPr>
      <w:r>
        <w:rPr>
          <w:rFonts w:hint="eastAsia" w:ascii="宋体" w:hAnsi="宋体" w:eastAsia="宋体" w:cs="宋体"/>
          <w:bCs/>
          <w:color w:val="auto"/>
          <w:sz w:val="21"/>
          <w:szCs w:val="21"/>
        </w:rPr>
        <w:t>项为确定重要程度主要指标及依据</w:t>
      </w:r>
      <w:r>
        <w:rPr>
          <w:rFonts w:hint="eastAsia" w:ascii="宋体" w:hAnsi="宋体" w:cs="宋体"/>
          <w:bCs/>
          <w:color w:val="auto"/>
          <w:sz w:val="21"/>
          <w:szCs w:val="21"/>
          <w:lang w:eastAsia="zh-CN"/>
        </w:rPr>
        <w:t>。</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（二）矿山地质灾害现状分析与预测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国务院令394号《地质灾害防治条例》和《地质灾害危险性评估规范》（GB/T40112-2021），矿山地质环境影响评估中地质灾害包括了自然因素和人为活动引发的危害人民生命和财产安全的地质现象，主要包括崩塌、滑坡、泥石流、地面塌陷、地裂缝、地面沉降和不稳定斜坡等于地质作用有关的灾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依据《矿山地质环境保护与治理恢复方案编制规范》（</w:t>
      </w:r>
      <w:r>
        <w:rPr>
          <w:rFonts w:hint="eastAsia" w:ascii="宋体" w:hAnsi="宋体" w:eastAsia="宋体" w:cs="宋体"/>
          <w:color w:val="auto"/>
          <w:sz w:val="24"/>
          <w:szCs w:val="24"/>
          <w:vertAlign w:val="baseline"/>
          <w:lang w:val="en-US" w:eastAsia="zh-CN"/>
        </w:rPr>
        <w:t>DZ/T0223-2011</w:t>
      </w:r>
      <w:r>
        <w:rPr>
          <w:rFonts w:hint="eastAsia" w:ascii="宋体" w:hAnsi="宋体" w:eastAsia="宋体" w:cs="宋体"/>
          <w:color w:val="auto"/>
          <w:sz w:val="24"/>
          <w:szCs w:val="24"/>
        </w:rPr>
        <w:t>）矿山地质环境影响评估主要是针对评估区内地质灾害影响、采矿活动对含水层影响、地形地貌景观影响和水土环境污染等四个方面进行。矿山地质环境影响程度的评判标准依据《矿山地质环境保护与治理恢复方案编制规范》“附录E  矿山地质环境影响程度分级表”（表3-</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），对矿山地质环境影响进行评估。</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w:t>
      </w:r>
      <w:r>
        <w:rPr>
          <w:rFonts w:hint="eastAsia" w:ascii="宋体" w:hAnsi="宋体" w:cs="宋体"/>
          <w:b/>
          <w:bCs/>
          <w:color w:val="auto"/>
          <w:sz w:val="21"/>
          <w:szCs w:val="21"/>
          <w:lang w:val="en-US" w:eastAsia="zh-CN"/>
        </w:rPr>
        <w:t>6</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矿山地质环境影响程度分级表</w:t>
      </w:r>
    </w:p>
    <w:tbl>
      <w:tblPr>
        <w:tblStyle w:val="53"/>
        <w:tblW w:w="96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2254"/>
        <w:gridCol w:w="2747"/>
        <w:gridCol w:w="2151"/>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blHeader/>
          <w:jc w:val="center"/>
        </w:trPr>
        <w:tc>
          <w:tcPr>
            <w:tcW w:w="968"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影响程度分级</w:t>
            </w:r>
          </w:p>
        </w:tc>
        <w:tc>
          <w:tcPr>
            <w:tcW w:w="2254"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地质灾害</w:t>
            </w:r>
          </w:p>
        </w:tc>
        <w:tc>
          <w:tcPr>
            <w:tcW w:w="2747"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含水层</w:t>
            </w:r>
          </w:p>
        </w:tc>
        <w:tc>
          <w:tcPr>
            <w:tcW w:w="2151"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地形地貌景观</w:t>
            </w:r>
          </w:p>
        </w:tc>
        <w:tc>
          <w:tcPr>
            <w:tcW w:w="1519"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土地资源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968"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严 重</w:t>
            </w:r>
          </w:p>
        </w:tc>
        <w:tc>
          <w:tcPr>
            <w:tcW w:w="2254"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地质灾害规模大、发生的可能性大。影响到的城市、乡镇、重要行政村、重要交通干线、重要工程设施及各类保护区安全。造成或可能造成直接经济损失大于500万元，受威胁人数大于100人。</w:t>
            </w:r>
          </w:p>
        </w:tc>
        <w:tc>
          <w:tcPr>
            <w:tcW w:w="274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矿床充水导致主要含水层结构破坏，产生导水通道。矿井（采场）正常涌水量大于2827 立方米/d。区域地下水水位下降。矿区及周围主要含水层（带）水位大幅下降，或呈疏干状态，地表水体漏失严重。不同含水层（组）串通、导致水质恶化。影响集中水源地供水，矿区及周围生产、生活供水困难。</w:t>
            </w:r>
          </w:p>
        </w:tc>
        <w:tc>
          <w:tcPr>
            <w:tcW w:w="215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对原生的地形地貌景观影响和破坏程度大。对各类自然保护区、人文景观、风景旅游区、城市周围及主要交通干线两侧可视范围内地形地貌景观影响严重。</w:t>
            </w:r>
          </w:p>
        </w:tc>
        <w:tc>
          <w:tcPr>
            <w:tcW w:w="1519"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占用破坏基本农田。占用破坏耕地面积&gt;2 hm。占用破坏其他林地或草地面积&gt;4 hm。占用破坏荒地或未开发利用土地&gt;20 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968"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较严重</w:t>
            </w:r>
          </w:p>
        </w:tc>
        <w:tc>
          <w:tcPr>
            <w:tcW w:w="2254" w:type="dxa"/>
            <w:vAlign w:val="center"/>
          </w:tcPr>
          <w:p>
            <w:pPr>
              <w:ind w:firstLine="180" w:firstLineChars="100"/>
              <w:rPr>
                <w:rFonts w:hint="eastAsia" w:ascii="宋体" w:hAnsi="宋体" w:eastAsia="宋体" w:cs="宋体"/>
                <w:color w:val="auto"/>
                <w:sz w:val="18"/>
                <w:szCs w:val="18"/>
              </w:rPr>
            </w:pPr>
            <w:r>
              <w:rPr>
                <w:rFonts w:hint="eastAsia" w:ascii="宋体" w:hAnsi="宋体" w:eastAsia="宋体" w:cs="宋体"/>
                <w:color w:val="auto"/>
                <w:sz w:val="18"/>
                <w:szCs w:val="18"/>
              </w:rPr>
              <w:t>地质灾害规模中等、发生的可能性较大。影响到村庄、居民聚居地、一般交通线和较重要工程设施安全。造成或可能造成直接经济损失100~500万元，受威胁人数10~100人。</w:t>
            </w:r>
          </w:p>
        </w:tc>
        <w:tc>
          <w:tcPr>
            <w:tcW w:w="274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矿井（采场）正常涌水量3000~2827 立方米/d。矿区及周围主要含水层（带）水位下降幅度较大，地下水呈半疏干状态。矿区及周围地表水体漏失较严重。影响矿区及周围部分生产、生活供水。</w:t>
            </w:r>
          </w:p>
        </w:tc>
        <w:tc>
          <w:tcPr>
            <w:tcW w:w="215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对原生的地形地貌景观影响和破坏程度较大。对各类自然保护区、人文景观、风景旅游区、城市周围及主要交通干线两侧可视范围内地形地貌景观影响较严重。</w:t>
            </w:r>
          </w:p>
        </w:tc>
        <w:tc>
          <w:tcPr>
            <w:tcW w:w="1519" w:type="dxa"/>
            <w:vAlign w:val="center"/>
          </w:tcPr>
          <w:p>
            <w:pPr>
              <w:ind w:firstLine="180" w:firstLineChars="100"/>
              <w:rPr>
                <w:rFonts w:hint="eastAsia" w:ascii="宋体" w:hAnsi="宋体" w:eastAsia="宋体" w:cs="宋体"/>
                <w:color w:val="auto"/>
                <w:sz w:val="18"/>
                <w:szCs w:val="18"/>
              </w:rPr>
            </w:pPr>
            <w:r>
              <w:rPr>
                <w:rFonts w:hint="eastAsia" w:ascii="宋体" w:hAnsi="宋体" w:eastAsia="宋体" w:cs="宋体"/>
                <w:color w:val="auto"/>
                <w:sz w:val="18"/>
                <w:szCs w:val="18"/>
              </w:rPr>
              <w:t>占用破坏耕地面积≤2 hm。占用破坏其他林地或草地面积2‒4 hm。占用破坏荒地或未开发利用土地10‒20 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0" w:hRule="atLeast"/>
          <w:jc w:val="center"/>
        </w:trPr>
        <w:tc>
          <w:tcPr>
            <w:tcW w:w="968" w:type="dxa"/>
            <w:vAlign w:val="center"/>
          </w:tcPr>
          <w:p>
            <w:pPr>
              <w:jc w:val="center"/>
              <w:rPr>
                <w:rFonts w:hint="eastAsia" w:ascii="宋体" w:hAnsi="宋体" w:eastAsia="宋体" w:cs="宋体"/>
                <w:b/>
                <w:color w:val="auto"/>
                <w:sz w:val="18"/>
                <w:szCs w:val="18"/>
              </w:rPr>
            </w:pPr>
            <w:r>
              <w:rPr>
                <w:rFonts w:hint="eastAsia" w:ascii="宋体" w:hAnsi="宋体" w:eastAsia="宋体" w:cs="宋体"/>
                <w:b/>
                <w:color w:val="auto"/>
                <w:sz w:val="18"/>
                <w:szCs w:val="18"/>
              </w:rPr>
              <w:t>较 轻</w:t>
            </w:r>
          </w:p>
        </w:tc>
        <w:tc>
          <w:tcPr>
            <w:tcW w:w="2254"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地质灾害规模小、发生的可能性小。影响到分散性居民区、一般性小规模建筑及设施。造成或可能造成直接经济损失小于100万元，受威胁人数小于10人。</w:t>
            </w:r>
          </w:p>
        </w:tc>
        <w:tc>
          <w:tcPr>
            <w:tcW w:w="2747"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矿井（采场）正常涌水量小于3000 立方米/d，矿区及周围主要含水层（带）水位下降幅度小。矿区及周围地表水体未漏失。未影响矿区及周围生产、生活供水。</w:t>
            </w:r>
          </w:p>
        </w:tc>
        <w:tc>
          <w:tcPr>
            <w:tcW w:w="2151"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对原生的地形地貌景观影响和破坏程度小。对各类自然保护区、人文景观、风景旅游区、城市周围及主要交通干线两侧可视范围内地形地貌景观影响较轻。</w:t>
            </w:r>
          </w:p>
        </w:tc>
        <w:tc>
          <w:tcPr>
            <w:tcW w:w="1519" w:type="dxa"/>
            <w:vAlign w:val="center"/>
          </w:tcPr>
          <w:p>
            <w:pPr>
              <w:ind w:firstLine="360" w:firstLineChars="200"/>
              <w:rPr>
                <w:rFonts w:hint="eastAsia" w:ascii="宋体" w:hAnsi="宋体" w:eastAsia="宋体" w:cs="宋体"/>
                <w:color w:val="auto"/>
                <w:sz w:val="18"/>
                <w:szCs w:val="18"/>
              </w:rPr>
            </w:pPr>
            <w:r>
              <w:rPr>
                <w:rFonts w:hint="eastAsia" w:ascii="宋体" w:hAnsi="宋体" w:eastAsia="宋体" w:cs="宋体"/>
                <w:color w:val="auto"/>
                <w:sz w:val="18"/>
                <w:szCs w:val="18"/>
              </w:rPr>
              <w:t>占用破坏其他林地或草地≤2 hm。占用破坏荒地或未开发利用土地面积≤10hm。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9639" w:type="dxa"/>
            <w:gridSpan w:val="5"/>
          </w:tcPr>
          <w:p>
            <w:pPr>
              <w:rPr>
                <w:rFonts w:hint="eastAsia" w:ascii="宋体" w:hAnsi="宋体" w:eastAsia="宋体" w:cs="宋体"/>
                <w:color w:val="auto"/>
                <w:sz w:val="18"/>
                <w:szCs w:val="18"/>
              </w:rPr>
            </w:pPr>
            <w:r>
              <w:rPr>
                <w:rFonts w:hint="eastAsia" w:ascii="宋体" w:hAnsi="宋体" w:eastAsia="宋体" w:cs="宋体"/>
                <w:color w:val="auto"/>
                <w:sz w:val="18"/>
                <w:szCs w:val="18"/>
              </w:rPr>
              <w:t>注：若综合评估，分级确定采取上一级别优先的原则，只要有一项要素符合某一级别，应定为该级别。</w:t>
            </w:r>
          </w:p>
        </w:tc>
      </w:tr>
    </w:tbl>
    <w:p>
      <w:pPr>
        <w:keepNext w:val="0"/>
        <w:keepLines w:val="0"/>
        <w:pageBreakBefore w:val="0"/>
        <w:widowControl w:val="0"/>
        <w:kinsoku/>
        <w:wordWrap/>
        <w:overflowPunct/>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1、现状分析</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矿区目前为原始地貌,</w:t>
      </w:r>
      <w:r>
        <w:rPr>
          <w:rFonts w:hint="eastAsia" w:ascii="宋体" w:hAnsi="宋体" w:cs="宋体"/>
          <w:color w:val="auto"/>
          <w:sz w:val="24"/>
          <w:szCs w:val="24"/>
          <w:lang w:val="en-US" w:eastAsia="zh-CN"/>
        </w:rPr>
        <w:t>未</w:t>
      </w:r>
      <w:r>
        <w:rPr>
          <w:rFonts w:hint="eastAsia" w:ascii="宋体" w:hAnsi="宋体" w:eastAsia="宋体" w:cs="宋体"/>
          <w:color w:val="auto"/>
          <w:sz w:val="24"/>
          <w:szCs w:val="24"/>
        </w:rPr>
        <w:t>开展工程，现状下未进行开采；矿山无工作人员，现状条件下无生产废水及生活污水产生，对矿区地下水水环境无影响。</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矿区目前未进行生产建设，故矿区无土壤污染危害风险。矿山活动对区域内土壤环境质量无污染，对土壤污染影响程度较轻。</w:t>
      </w:r>
    </w:p>
    <w:p>
      <w:pPr>
        <w:keepNext w:val="0"/>
        <w:keepLines w:val="0"/>
        <w:pageBreakBefore w:val="0"/>
        <w:widowControl w:val="0"/>
        <w:kinsoku/>
        <w:wordWrap/>
        <w:overflowPunct/>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小结：</w:t>
      </w:r>
      <w:r>
        <w:rPr>
          <w:rFonts w:hint="eastAsia" w:ascii="宋体" w:hAnsi="宋体" w:eastAsia="宋体" w:cs="宋体"/>
          <w:color w:val="auto"/>
          <w:sz w:val="24"/>
          <w:szCs w:val="24"/>
        </w:rPr>
        <w:t>根据《矿山地质环境保护与恢复治理方案编制规范》“附录E  矿山地质环境影响程度分级表”的评判标准，现状评估矿山开采对水土环境的影响程度为“</w:t>
      </w:r>
      <w:r>
        <w:rPr>
          <w:rFonts w:hint="eastAsia" w:ascii="宋体" w:hAnsi="宋体" w:eastAsia="宋体" w:cs="宋体"/>
          <w:b/>
          <w:color w:val="auto"/>
          <w:sz w:val="24"/>
          <w:szCs w:val="24"/>
        </w:rPr>
        <w:t>较轻</w:t>
      </w:r>
      <w:r>
        <w:rPr>
          <w:rFonts w:hint="eastAsia" w:ascii="宋体" w:hAnsi="宋体" w:eastAsia="宋体" w:cs="宋体"/>
          <w:color w:val="auto"/>
          <w:sz w:val="24"/>
          <w:szCs w:val="24"/>
        </w:rPr>
        <w:t>”。</w:t>
      </w:r>
    </w:p>
    <w:p>
      <w:pPr>
        <w:pStyle w:val="63"/>
        <w:keepNext w:val="0"/>
        <w:keepLines w:val="0"/>
        <w:pageBreakBefore w:val="0"/>
        <w:widowControl w:val="0"/>
        <w:kinsoku/>
        <w:wordWrap/>
        <w:overflowPunct/>
        <w:autoSpaceDE/>
        <w:autoSpaceDN/>
        <w:bidi w:val="0"/>
        <w:adjustRightInd/>
        <w:snapToGrid/>
        <w:jc w:val="both"/>
        <w:textAlignment w:val="auto"/>
        <w:rPr>
          <w:rFonts w:hint="eastAsia" w:ascii="宋体" w:hAnsi="宋体" w:eastAsia="宋体" w:cs="宋体"/>
          <w:b/>
          <w:bCs/>
          <w:color w:val="auto"/>
        </w:rPr>
      </w:pPr>
      <w:r>
        <w:rPr>
          <w:rFonts w:hint="eastAsia" w:ascii="宋体" w:hAnsi="宋体" w:eastAsia="宋体" w:cs="宋体"/>
          <w:b/>
          <w:bCs/>
          <w:color w:val="auto"/>
        </w:rPr>
        <w:t>2、地质灾害的危害与影响现状评估</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据实地调查，现状条件下，评估区</w:t>
      </w:r>
      <w:r>
        <w:rPr>
          <w:rFonts w:hint="eastAsia" w:ascii="宋体" w:hAnsi="宋体" w:eastAsia="宋体" w:cs="宋体"/>
          <w:color w:val="auto"/>
          <w:sz w:val="24"/>
          <w:szCs w:val="24"/>
          <w:lang w:val="zh-CN"/>
        </w:rPr>
        <w:t>地层</w:t>
      </w:r>
      <w:r>
        <w:rPr>
          <w:rFonts w:hint="eastAsia" w:ascii="宋体" w:hAnsi="宋体" w:eastAsia="宋体" w:cs="宋体"/>
          <w:color w:val="auto"/>
          <w:sz w:val="24"/>
          <w:szCs w:val="24"/>
        </w:rPr>
        <w:t>单一</w:t>
      </w:r>
      <w:r>
        <w:rPr>
          <w:rFonts w:hint="eastAsia" w:ascii="宋体" w:hAnsi="宋体" w:eastAsia="宋体" w:cs="宋体"/>
          <w:color w:val="auto"/>
          <w:sz w:val="24"/>
          <w:szCs w:val="24"/>
          <w:lang w:val="zh-CN"/>
        </w:rPr>
        <w:t>，出露的地层均为泥盆系沙拉依姆群依木干他乌组(Dy)，</w:t>
      </w:r>
      <w:r>
        <w:rPr>
          <w:rFonts w:hint="eastAsia" w:ascii="宋体" w:hAnsi="宋体" w:eastAsia="宋体" w:cs="宋体"/>
          <w:color w:val="auto"/>
          <w:sz w:val="24"/>
          <w:szCs w:val="24"/>
        </w:rPr>
        <w:t>地层产状345°-0°∠40-70°</w:t>
      </w:r>
      <w:r>
        <w:rPr>
          <w:rFonts w:hint="eastAsia" w:ascii="宋体" w:hAnsi="宋体" w:eastAsia="宋体" w:cs="宋体"/>
          <w:bCs/>
          <w:color w:val="auto"/>
          <w:sz w:val="24"/>
          <w:szCs w:val="24"/>
        </w:rPr>
        <w:t>。矿区植被发育较少，土地类型为</w:t>
      </w:r>
      <w:r>
        <w:rPr>
          <w:rFonts w:hint="eastAsia" w:ascii="宋体" w:hAnsi="宋体" w:cs="宋体"/>
          <w:bCs/>
          <w:color w:val="auto"/>
          <w:sz w:val="24"/>
          <w:szCs w:val="24"/>
          <w:lang w:val="en-US" w:eastAsia="zh-CN"/>
        </w:rPr>
        <w:t>未利用地</w:t>
      </w:r>
      <w:r>
        <w:rPr>
          <w:rFonts w:hint="eastAsia" w:ascii="宋体" w:hAnsi="宋体" w:eastAsia="宋体" w:cs="宋体"/>
          <w:bCs/>
          <w:color w:val="auto"/>
          <w:sz w:val="24"/>
          <w:szCs w:val="24"/>
        </w:rPr>
        <w:t>（裸土地）。矿体出露地表，为露天开采。经现场走访，矿区尚未开展建设及采矿活动，评估区内现状未发生过崩塌、滑坡、泥石流、地面沉降、地面塌陷、地裂缝等地质灾害。现按各灾种评述如下：</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依据地质灾害危险性评估规范，以地质灾害发育程度和危害程度确定地质灾害危险性，地质灾害危害程度和危险性分级，详见表3-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和表3-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 3-</w:t>
      </w:r>
      <w:r>
        <w:rPr>
          <w:rFonts w:hint="eastAsia" w:ascii="宋体" w:hAnsi="宋体" w:cs="宋体"/>
          <w:b/>
          <w:bCs/>
          <w:color w:val="auto"/>
          <w:sz w:val="21"/>
          <w:szCs w:val="21"/>
          <w:lang w:val="en-US" w:eastAsia="zh-CN"/>
        </w:rPr>
        <w:t>7</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地质灾害危险性分级表</w:t>
      </w:r>
    </w:p>
    <w:tbl>
      <w:tblPr>
        <w:tblStyle w:val="53"/>
        <w:tblW w:w="88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75"/>
        <w:gridCol w:w="2420"/>
        <w:gridCol w:w="2420"/>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775" w:type="dxa"/>
            <w:vMerge w:val="restart"/>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7058" w:type="dxa"/>
            <w:gridSpan w:val="3"/>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775" w:type="dxa"/>
            <w:vMerge w:val="continue"/>
            <w:vAlign w:val="center"/>
          </w:tcPr>
          <w:p>
            <w:pPr>
              <w:ind w:firstLine="0" w:firstLineChars="0"/>
              <w:jc w:val="center"/>
              <w:rPr>
                <w:rFonts w:hint="eastAsia" w:ascii="宋体" w:hAnsi="宋体" w:eastAsia="宋体" w:cs="宋体"/>
                <w:color w:val="auto"/>
                <w:sz w:val="21"/>
                <w:szCs w:val="21"/>
              </w:rPr>
            </w:pP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强</w:t>
            </w: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w:t>
            </w:r>
          </w:p>
        </w:tc>
        <w:tc>
          <w:tcPr>
            <w:tcW w:w="221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775"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w:t>
            </w: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c>
          <w:tcPr>
            <w:tcW w:w="221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775"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w:t>
            </w: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c>
          <w:tcPr>
            <w:tcW w:w="221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775"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小</w:t>
            </w: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c>
          <w:tcPr>
            <w:tcW w:w="2420"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c>
          <w:tcPr>
            <w:tcW w:w="221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 3-</w:t>
      </w:r>
      <w:r>
        <w:rPr>
          <w:rFonts w:hint="eastAsia" w:ascii="宋体" w:hAnsi="宋体" w:eastAsia="宋体" w:cs="宋体"/>
          <w:b/>
          <w:bCs/>
          <w:color w:val="auto"/>
          <w:sz w:val="21"/>
          <w:szCs w:val="21"/>
          <w:lang w:val="en-US" w:eastAsia="zh-CN"/>
        </w:rPr>
        <w:t>8</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地质灾害危害程度分级表</w:t>
      </w:r>
    </w:p>
    <w:tbl>
      <w:tblPr>
        <w:tblStyle w:val="53"/>
        <w:tblW w:w="88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6"/>
        <w:gridCol w:w="1515"/>
        <w:gridCol w:w="2134"/>
        <w:gridCol w:w="1878"/>
        <w:gridCol w:w="2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1016" w:type="dxa"/>
            <w:vMerge w:val="restart"/>
            <w:vAlign w:val="center"/>
          </w:tcPr>
          <w:p>
            <w:pPr>
              <w:ind w:firstLine="0" w:firstLineChars="0"/>
              <w:jc w:val="center"/>
              <w:rPr>
                <w:rFonts w:hint="eastAsia" w:ascii="宋体" w:hAnsi="宋体" w:eastAsia="宋体" w:cs="宋体"/>
                <w:color w:val="auto"/>
                <w:sz w:val="21"/>
                <w:szCs w:val="21"/>
              </w:rPr>
            </w:pPr>
          </w:p>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3649" w:type="dxa"/>
            <w:gridSpan w:val="2"/>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灾情</w:t>
            </w:r>
          </w:p>
        </w:tc>
        <w:tc>
          <w:tcPr>
            <w:tcW w:w="4154" w:type="dxa"/>
            <w:gridSpan w:val="2"/>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险情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016" w:type="dxa"/>
            <w:vMerge w:val="continue"/>
            <w:vAlign w:val="center"/>
          </w:tcPr>
          <w:p>
            <w:pPr>
              <w:ind w:firstLine="0" w:firstLineChars="0"/>
              <w:jc w:val="center"/>
              <w:rPr>
                <w:rFonts w:hint="eastAsia" w:ascii="宋体" w:hAnsi="宋体" w:eastAsia="宋体" w:cs="宋体"/>
                <w:color w:val="auto"/>
                <w:sz w:val="21"/>
                <w:szCs w:val="21"/>
              </w:rPr>
            </w:pPr>
          </w:p>
        </w:tc>
        <w:tc>
          <w:tcPr>
            <w:tcW w:w="1515" w:type="dxa"/>
            <w:vAlign w:val="center"/>
          </w:tcPr>
          <w:p>
            <w:pPr>
              <w:pStyle w:val="124"/>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死亡人数/人</w:t>
            </w:r>
          </w:p>
        </w:tc>
        <w:tc>
          <w:tcPr>
            <w:tcW w:w="2134" w:type="dxa"/>
            <w:vAlign w:val="center"/>
          </w:tcPr>
          <w:p>
            <w:pPr>
              <w:pStyle w:val="124"/>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直接经济损失/万元</w:t>
            </w:r>
          </w:p>
        </w:tc>
        <w:tc>
          <w:tcPr>
            <w:tcW w:w="187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受威胁人数/人</w:t>
            </w:r>
          </w:p>
        </w:tc>
        <w:tc>
          <w:tcPr>
            <w:tcW w:w="2276"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可能直接经济损失/万元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016"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w:t>
            </w:r>
          </w:p>
        </w:tc>
        <w:tc>
          <w:tcPr>
            <w:tcW w:w="1515"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134"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500</w:t>
            </w:r>
          </w:p>
        </w:tc>
        <w:tc>
          <w:tcPr>
            <w:tcW w:w="187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2276"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016"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w:t>
            </w:r>
          </w:p>
        </w:tc>
        <w:tc>
          <w:tcPr>
            <w:tcW w:w="1515"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＞3～&lt;10</w:t>
            </w:r>
          </w:p>
        </w:tc>
        <w:tc>
          <w:tcPr>
            <w:tcW w:w="2134"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＞100～&lt;500</w:t>
            </w:r>
          </w:p>
        </w:tc>
        <w:tc>
          <w:tcPr>
            <w:tcW w:w="187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＞10～&lt;100</w:t>
            </w:r>
          </w:p>
        </w:tc>
        <w:tc>
          <w:tcPr>
            <w:tcW w:w="2276"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＞100～&lt;500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40" w:hRule="exact"/>
          <w:jc w:val="center"/>
        </w:trPr>
        <w:tc>
          <w:tcPr>
            <w:tcW w:w="1016"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小</w:t>
            </w:r>
          </w:p>
        </w:tc>
        <w:tc>
          <w:tcPr>
            <w:tcW w:w="1515"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134"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878"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2276" w:type="dxa"/>
            <w:vAlign w:val="center"/>
          </w:tcPr>
          <w:p>
            <w:pPr>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5" w:hRule="atLeast"/>
          <w:jc w:val="center"/>
        </w:trPr>
        <w:tc>
          <w:tcPr>
            <w:tcW w:w="8819" w:type="dxa"/>
            <w:gridSpan w:val="5"/>
            <w:vAlign w:val="center"/>
          </w:tcPr>
          <w:p>
            <w:pPr>
              <w:ind w:firstLine="0" w:firstLineChars="0"/>
              <w:jc w:val="both"/>
              <w:rPr>
                <w:rFonts w:hint="eastAsia" w:ascii="宋体" w:hAnsi="宋体" w:eastAsia="宋体" w:cs="宋体"/>
                <w:color w:val="auto"/>
                <w:sz w:val="18"/>
                <w:szCs w:val="18"/>
              </w:rPr>
            </w:pPr>
            <w:r>
              <w:rPr>
                <w:rFonts w:hint="eastAsia" w:ascii="宋体" w:hAnsi="宋体" w:eastAsia="宋体" w:cs="宋体"/>
                <w:color w:val="auto"/>
                <w:sz w:val="18"/>
                <w:szCs w:val="18"/>
              </w:rPr>
              <w:t>注 1：灾情：指己发生的地质灾害，采用“人员伤亡情况”“直接经济损失”指标评价。</w:t>
            </w:r>
          </w:p>
          <w:p>
            <w:pPr>
              <w:ind w:firstLine="0" w:firstLineChars="0"/>
              <w:jc w:val="both"/>
              <w:rPr>
                <w:rFonts w:hint="eastAsia" w:ascii="宋体" w:hAnsi="宋体" w:eastAsia="宋体" w:cs="宋体"/>
                <w:color w:val="auto"/>
                <w:sz w:val="18"/>
                <w:szCs w:val="18"/>
              </w:rPr>
            </w:pPr>
            <w:r>
              <w:rPr>
                <w:rFonts w:hint="eastAsia" w:ascii="宋体" w:hAnsi="宋体" w:eastAsia="宋体" w:cs="宋体"/>
                <w:color w:val="auto"/>
                <w:sz w:val="18"/>
                <w:szCs w:val="18"/>
              </w:rPr>
              <w:t>注 2：险情：指可能发生的地质灾害，采用“受威胁人数”“可能直接经济损失”指标评价。</w:t>
            </w:r>
          </w:p>
          <w:p>
            <w:pPr>
              <w:ind w:firstLine="0" w:firstLineChars="0"/>
              <w:jc w:val="both"/>
              <w:rPr>
                <w:rFonts w:hint="eastAsia" w:ascii="宋体" w:hAnsi="宋体" w:eastAsia="宋体" w:cs="宋体"/>
                <w:color w:val="auto"/>
                <w:sz w:val="21"/>
                <w:szCs w:val="21"/>
              </w:rPr>
            </w:pPr>
            <w:r>
              <w:rPr>
                <w:rFonts w:hint="eastAsia" w:ascii="宋体" w:hAnsi="宋体" w:eastAsia="宋体" w:cs="宋体"/>
                <w:color w:val="auto"/>
                <w:sz w:val="18"/>
                <w:szCs w:val="18"/>
              </w:rPr>
              <w:t>注 3：危害程度采用“灾情”“险情”指标评价。</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1"/>
          <w:szCs w:val="21"/>
        </w:rPr>
        <w:t>注：均摘自《地质灾害危险性评估规范》（GB/T40112-2021）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（1）崩塌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评估区属丘陵地带，海拔</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米，地形坡度一般</w:t>
      </w:r>
      <w:r>
        <w:rPr>
          <w:rFonts w:hint="eastAsia" w:ascii="宋体" w:hAnsi="宋体" w:cs="宋体"/>
          <w:bCs/>
          <w:color w:val="auto"/>
          <w:sz w:val="24"/>
          <w:szCs w:val="24"/>
          <w:lang w:val="en-US" w:eastAsia="zh-CN"/>
        </w:rPr>
        <w:t>10</w:t>
      </w:r>
      <w:r>
        <w:rPr>
          <w:rFonts w:hint="eastAsia" w:ascii="宋体" w:hAnsi="宋体" w:eastAsia="宋体" w:cs="宋体"/>
          <w:bCs/>
          <w:color w:val="auto"/>
          <w:sz w:val="24"/>
          <w:szCs w:val="24"/>
        </w:rPr>
        <w:t>-</w:t>
      </w:r>
      <w:r>
        <w:rPr>
          <w:rFonts w:hint="eastAsia" w:ascii="宋体" w:hAnsi="宋体" w:cs="宋体"/>
          <w:bCs/>
          <w:color w:val="auto"/>
          <w:sz w:val="24"/>
          <w:szCs w:val="24"/>
          <w:lang w:val="en-US" w:eastAsia="zh-CN"/>
        </w:rPr>
        <w:t>35</w:t>
      </w:r>
      <w:r>
        <w:rPr>
          <w:rFonts w:hint="eastAsia" w:ascii="宋体" w:hAnsi="宋体" w:eastAsia="宋体" w:cs="宋体"/>
          <w:bCs/>
          <w:color w:val="auto"/>
          <w:sz w:val="24"/>
          <w:szCs w:val="24"/>
        </w:rPr>
        <w:t>°，总体地势北高南低。评估区内现状无崩塌发生，现状评估崩塌危害程度小，危险性小。现状区内未进行过开采活动。经矿山实地调查咨询，评估区内无崩塌灾害发生的迹象，未曾因发生崩塌灾害造成人员死亡事故和直接经济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综上所述，根据表3-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、3-</w:t>
      </w:r>
      <w:r>
        <w:rPr>
          <w:rFonts w:hint="eastAsia" w:ascii="宋体" w:hAnsi="宋体" w:cs="宋体"/>
          <w:bCs/>
          <w:color w:val="auto"/>
          <w:sz w:val="24"/>
          <w:szCs w:val="24"/>
          <w:lang w:val="en-US" w:eastAsia="zh-CN"/>
        </w:rPr>
        <w:t>9</w:t>
      </w:r>
      <w:r>
        <w:rPr>
          <w:rFonts w:hint="eastAsia" w:ascii="宋体" w:hAnsi="宋体" w:eastAsia="宋体" w:cs="宋体"/>
          <w:bCs/>
          <w:color w:val="auto"/>
          <w:sz w:val="24"/>
          <w:szCs w:val="24"/>
        </w:rPr>
        <w:t>和表3-</w:t>
      </w:r>
      <w:r>
        <w:rPr>
          <w:rFonts w:hint="eastAsia" w:ascii="宋体" w:hAnsi="宋体" w:cs="宋体"/>
          <w:bCs/>
          <w:color w:val="auto"/>
          <w:sz w:val="24"/>
          <w:szCs w:val="24"/>
          <w:lang w:val="en-US" w:eastAsia="zh-CN"/>
        </w:rPr>
        <w:t>10</w:t>
      </w:r>
      <w:r>
        <w:rPr>
          <w:rFonts w:hint="eastAsia" w:ascii="宋体" w:hAnsi="宋体" w:eastAsia="宋体" w:cs="宋体"/>
          <w:bCs/>
          <w:color w:val="auto"/>
          <w:sz w:val="24"/>
          <w:szCs w:val="24"/>
        </w:rPr>
        <w:t>判定，现状评估崩塌灾害发育程度弱，危害程度小，危险性小。</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rPr>
        <w:tab/>
      </w:r>
      <w:r>
        <w:rPr>
          <w:rFonts w:hint="eastAsia" w:ascii="宋体" w:hAnsi="宋体" w:eastAsia="宋体" w:cs="宋体"/>
          <w:b/>
          <w:bCs/>
          <w:color w:val="auto"/>
          <w:sz w:val="21"/>
          <w:szCs w:val="21"/>
        </w:rPr>
        <w:t xml:space="preserve">  崩塌稳定性判别表</w:t>
      </w:r>
    </w:p>
    <w:tbl>
      <w:tblPr>
        <w:tblStyle w:val="53"/>
        <w:tblW w:w="964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5"/>
        <w:gridCol w:w="3365"/>
        <w:gridCol w:w="2406"/>
        <w:gridCol w:w="2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jc w:val="center"/>
        </w:trPr>
        <w:tc>
          <w:tcPr>
            <w:tcW w:w="129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环境条件</w:t>
            </w:r>
          </w:p>
        </w:tc>
        <w:tc>
          <w:tcPr>
            <w:tcW w:w="3365" w:type="dxa"/>
            <w:vAlign w:val="center"/>
          </w:tcPr>
          <w:p>
            <w:pPr>
              <w:pStyle w:val="469"/>
              <w:ind w:left="0"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稳定性差</w:t>
            </w:r>
          </w:p>
        </w:tc>
        <w:tc>
          <w:tcPr>
            <w:tcW w:w="2406" w:type="dxa"/>
            <w:vAlign w:val="center"/>
          </w:tcPr>
          <w:p>
            <w:pPr>
              <w:pStyle w:val="469"/>
              <w:ind w:left="0"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稳定性较差</w:t>
            </w:r>
          </w:p>
        </w:tc>
        <w:tc>
          <w:tcPr>
            <w:tcW w:w="2583" w:type="dxa"/>
            <w:vAlign w:val="center"/>
          </w:tcPr>
          <w:p>
            <w:pPr>
              <w:pStyle w:val="469"/>
              <w:ind w:left="0" w:firstLine="0"/>
              <w:jc w:val="center"/>
              <w:rPr>
                <w:rFonts w:hint="eastAsia" w:ascii="宋体" w:hAnsi="宋体" w:eastAsia="宋体" w:cs="宋体"/>
                <w:color w:val="auto"/>
                <w:sz w:val="21"/>
                <w:szCs w:val="21"/>
              </w:rPr>
            </w:pPr>
            <w:r>
              <w:rPr>
                <w:rFonts w:hint="eastAsia" w:ascii="宋体" w:hAnsi="宋体" w:eastAsia="宋体" w:cs="宋体"/>
                <w:color w:val="auto"/>
                <w:sz w:val="21"/>
                <w:szCs w:val="21"/>
              </w:rPr>
              <w:t>稳定性好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jc w:val="center"/>
        </w:trPr>
        <w:tc>
          <w:tcPr>
            <w:tcW w:w="129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地形地貌</w:t>
            </w:r>
          </w:p>
        </w:tc>
        <w:tc>
          <w:tcPr>
            <w:tcW w:w="336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前缘临空甚至三面临空，坡度＞</w:t>
            </w:r>
          </w:p>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55°，出现“鹰咀”崖，顶底高差＞30m，坡面起伏不平，上陡下缓。</w:t>
            </w:r>
          </w:p>
        </w:tc>
        <w:tc>
          <w:tcPr>
            <w:tcW w:w="2406"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前缘临空，坡度＞45°，坡面不平。</w:t>
            </w:r>
          </w:p>
        </w:tc>
        <w:tc>
          <w:tcPr>
            <w:tcW w:w="2583"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前缘临空，坡度＜45°， 坡面较平，岸坡植被发育。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jc w:val="center"/>
        </w:trPr>
        <w:tc>
          <w:tcPr>
            <w:tcW w:w="129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地质结构</w:t>
            </w:r>
          </w:p>
        </w:tc>
        <w:tc>
          <w:tcPr>
            <w:tcW w:w="336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岩性软硬相间，岩土体结构松散破碎，裂缝裂隙发育切割深，形成了不稳定的结构体，不连续结构面</w:t>
            </w:r>
          </w:p>
        </w:tc>
        <w:tc>
          <w:tcPr>
            <w:tcW w:w="2406"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岩体结构较碎，不连续结构面，节理裂隙较少。岩土体无明显变形迹象，有不规测小裂缝</w:t>
            </w:r>
          </w:p>
        </w:tc>
        <w:tc>
          <w:tcPr>
            <w:tcW w:w="2583"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岩体结构完整，不连续结构面少，无节理、裂隙发育。岸坡土堆较密实，无裂缝变形。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jc w:val="center"/>
        </w:trPr>
        <w:tc>
          <w:tcPr>
            <w:tcW w:w="129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水文气象</w:t>
            </w:r>
          </w:p>
        </w:tc>
        <w:tc>
          <w:tcPr>
            <w:tcW w:w="336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雨水充沛，气温变化大，昼夜温差明显。或有地表径流、河流流经坡脚，其水流急，水位变幅大，属侵蚀岸</w:t>
            </w:r>
          </w:p>
        </w:tc>
        <w:tc>
          <w:tcPr>
            <w:tcW w:w="2406"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存在大－暴雨引发因素</w:t>
            </w:r>
          </w:p>
        </w:tc>
        <w:tc>
          <w:tcPr>
            <w:tcW w:w="2583"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无地表径流或河流水量小，属堆积岸，水位变幅小。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37" w:hRule="atLeast"/>
          <w:jc w:val="center"/>
        </w:trPr>
        <w:tc>
          <w:tcPr>
            <w:tcW w:w="129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人类活动</w:t>
            </w:r>
          </w:p>
        </w:tc>
        <w:tc>
          <w:tcPr>
            <w:tcW w:w="3365"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人为破坏严重，岸坡无护坡。人工边坡坡度＞60°，岩体结构破碎</w:t>
            </w:r>
          </w:p>
        </w:tc>
        <w:tc>
          <w:tcPr>
            <w:tcW w:w="2406"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修路等工程开挖形成软弱基座陡崖，或下部存在凹腔，边坡角 40°－60°。</w:t>
            </w:r>
          </w:p>
        </w:tc>
        <w:tc>
          <w:tcPr>
            <w:tcW w:w="2583" w:type="dxa"/>
            <w:vAlign w:val="center"/>
          </w:tcPr>
          <w:p>
            <w:pPr>
              <w:pStyle w:val="469"/>
              <w:jc w:val="center"/>
              <w:rPr>
                <w:rFonts w:hint="eastAsia" w:ascii="宋体" w:hAnsi="宋体" w:eastAsia="宋体" w:cs="宋体"/>
                <w:color w:val="auto"/>
                <w:sz w:val="21"/>
                <w:szCs w:val="21"/>
              </w:rPr>
            </w:pPr>
            <w:r>
              <w:rPr>
                <w:rFonts w:hint="eastAsia" w:ascii="宋体" w:hAnsi="宋体" w:eastAsia="宋体" w:cs="宋体"/>
                <w:color w:val="auto"/>
                <w:sz w:val="21"/>
                <w:szCs w:val="21"/>
              </w:rPr>
              <w:t>人类活动很少，岸坡有砌石护坡。人工边坡角</w:t>
            </w:r>
          </w:p>
          <w:p>
            <w:pPr>
              <w:pStyle w:val="469"/>
              <w:ind w:left="1220" w:hanging="420"/>
              <w:jc w:val="center"/>
              <w:rPr>
                <w:rFonts w:hint="eastAsia" w:ascii="宋体" w:hAnsi="宋体" w:eastAsia="宋体" w:cs="宋体"/>
                <w:color w:val="auto"/>
                <w:sz w:val="21"/>
                <w:szCs w:val="21"/>
              </w:rPr>
            </w:pPr>
            <w:r>
              <w:rPr>
                <w:rFonts w:hint="eastAsia" w:ascii="宋体" w:hAnsi="宋体" w:eastAsia="宋体" w:cs="宋体"/>
                <w:color w:val="auto"/>
                <w:sz w:val="21"/>
                <w:szCs w:val="21"/>
              </w:rPr>
              <w:t>＜40°</w:t>
            </w:r>
          </w:p>
        </w:tc>
      </w:tr>
    </w:tbl>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w:t>
      </w:r>
      <w:r>
        <w:rPr>
          <w:rFonts w:hint="eastAsia" w:ascii="宋体" w:hAnsi="宋体" w:cs="宋体"/>
          <w:b/>
          <w:bCs/>
          <w:color w:val="auto"/>
          <w:sz w:val="21"/>
          <w:szCs w:val="21"/>
          <w:lang w:val="en-US" w:eastAsia="zh-CN"/>
        </w:rPr>
        <w:t>10</w:t>
      </w:r>
      <w:r>
        <w:rPr>
          <w:rFonts w:hint="eastAsia" w:ascii="宋体" w:hAnsi="宋体" w:eastAsia="宋体" w:cs="宋体"/>
          <w:b/>
          <w:bCs/>
          <w:color w:val="auto"/>
          <w:sz w:val="21"/>
          <w:szCs w:val="21"/>
        </w:rPr>
        <w:t xml:space="preserve">   崩塌发育程度分级表</w:t>
      </w:r>
    </w:p>
    <w:tbl>
      <w:tblPr>
        <w:tblStyle w:val="53"/>
        <w:tblW w:w="9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8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jc w:val="center"/>
        </w:trPr>
        <w:tc>
          <w:tcPr>
            <w:tcW w:w="1179"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发育程度</w:t>
            </w:r>
          </w:p>
        </w:tc>
        <w:tc>
          <w:tcPr>
            <w:tcW w:w="8468"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发育特征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 w:hRule="atLeast"/>
          <w:jc w:val="center"/>
        </w:trPr>
        <w:tc>
          <w:tcPr>
            <w:tcW w:w="1179"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强</w:t>
            </w:r>
          </w:p>
        </w:tc>
        <w:tc>
          <w:tcPr>
            <w:tcW w:w="8468"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崩塌处于欠稳定一不稳定状态，评估区或周边同类崩塌分布多，大多已发生。崩塌体上方发育多条平行沟谷的张性裂隙，主控裂隙面上宽下窄，且下部向外倾，裂隙内近期有碎石土流出或掉块，底部岩土体有压碎或压裂状；崩塌体上方平行沟谷的裂隙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jc w:val="center"/>
        </w:trPr>
        <w:tc>
          <w:tcPr>
            <w:tcW w:w="1179"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中等</w:t>
            </w:r>
          </w:p>
        </w:tc>
        <w:tc>
          <w:tcPr>
            <w:tcW w:w="8468"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崩塌处于欠稳定状态，评估区或周边同类崩塌分布较少，有个别发生。危岩体主控破裂面直立是上宽下窄，上部充填杂上生长灌木杂草，裂面内过期有掉块现象；崩塌上方有细小裂缘分布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5" w:hRule="atLeast"/>
          <w:jc w:val="center"/>
        </w:trPr>
        <w:tc>
          <w:tcPr>
            <w:tcW w:w="1179"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弱</w:t>
            </w:r>
          </w:p>
        </w:tc>
        <w:tc>
          <w:tcPr>
            <w:tcW w:w="8468" w:type="dxa"/>
            <w:vAlign w:val="center"/>
          </w:tcPr>
          <w:p>
            <w:pPr>
              <w:pStyle w:val="469"/>
              <w:ind w:left="0" w:firstLine="0"/>
              <w:jc w:val="center"/>
              <w:rPr>
                <w:rFonts w:hint="eastAsia" w:ascii="宋体" w:hAnsi="宋体" w:eastAsia="宋体" w:cs="宋体"/>
                <w:color w:val="auto"/>
              </w:rPr>
            </w:pPr>
            <w:r>
              <w:rPr>
                <w:rFonts w:hint="eastAsia" w:ascii="宋体" w:hAnsi="宋体" w:eastAsia="宋体" w:cs="宋体"/>
                <w:color w:val="auto"/>
              </w:rPr>
              <w:t>崩塌处于稳定状态，评估区或周边两类崩塌分布但均无发生，危岩体破裂面直立，上部充填杂土，灌木年久茂盛，多年来裂面内无掉块现象；崩塌，上方无新裂隙分布</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（2）滑坡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大部分山体基岩裸露，斜坡坡体基岩结构完整。评估区内土体结构完整性好，无软弱夹层，矿区未开展采矿活动，区内地势平缓，不易发生滑坡地质灾害。经矿山实地调查咨询，评估区内无滑坡灾害发生的迹象，未曾因发生滑坡灾害造成人员死亡事故和直接经济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综上所述，结合表3-7、表 3-8和表3-1</w:t>
      </w:r>
      <w:r>
        <w:rPr>
          <w:rFonts w:hint="eastAsia" w:ascii="宋体" w:hAnsi="宋体" w:cs="宋体"/>
          <w:bCs/>
          <w:color w:val="auto"/>
          <w:sz w:val="24"/>
          <w:szCs w:val="24"/>
          <w:lang w:val="en-US" w:eastAsia="zh-CN"/>
        </w:rPr>
        <w:t>1</w:t>
      </w:r>
      <w:r>
        <w:rPr>
          <w:rFonts w:hint="eastAsia" w:ascii="宋体" w:hAnsi="宋体" w:eastAsia="宋体" w:cs="宋体"/>
          <w:bCs/>
          <w:color w:val="auto"/>
          <w:sz w:val="24"/>
          <w:szCs w:val="24"/>
        </w:rPr>
        <w:t>得出的结论，现状评估滑坡灾害发育程度弱，危害程度小，危险性小。</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eastAsia="宋体" w:cs="宋体"/>
          <w:b/>
          <w:bCs/>
          <w:color w:val="auto"/>
          <w:sz w:val="21"/>
          <w:szCs w:val="21"/>
          <w:lang w:val="en-US" w:eastAsia="zh-CN"/>
        </w:rPr>
        <w:t>1</w:t>
      </w:r>
      <w:r>
        <w:rPr>
          <w:rFonts w:hint="eastAsia" w:ascii="宋体" w:hAnsi="宋体" w:eastAsia="宋体" w:cs="宋体"/>
          <w:b/>
          <w:bCs/>
          <w:color w:val="auto"/>
          <w:sz w:val="21"/>
          <w:szCs w:val="21"/>
        </w:rPr>
        <w:t xml:space="preserve">    滑坡稳定性（发育程度）分级表</w:t>
      </w:r>
    </w:p>
    <w:tbl>
      <w:tblPr>
        <w:tblStyle w:val="53"/>
        <w:tblW w:w="896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8"/>
        <w:gridCol w:w="6092"/>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2" w:hRule="atLeast"/>
          <w:jc w:val="center"/>
        </w:trPr>
        <w:tc>
          <w:tcPr>
            <w:tcW w:w="108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609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发育特征</w:t>
            </w:r>
          </w:p>
        </w:tc>
        <w:tc>
          <w:tcPr>
            <w:tcW w:w="1781"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稳定系数F</w:t>
            </w:r>
            <w:r>
              <w:rPr>
                <w:rFonts w:hint="eastAsia" w:ascii="宋体" w:hAnsi="宋体" w:eastAsia="宋体" w:cs="宋体"/>
                <w:color w:val="auto"/>
                <w:sz w:val="21"/>
                <w:szCs w:val="21"/>
                <w:vertAlign w:val="subscript"/>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7" w:hRule="atLeast"/>
          <w:jc w:val="center"/>
        </w:trPr>
        <w:tc>
          <w:tcPr>
            <w:tcW w:w="108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6092"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①滑坡前缘临空，坡度较陡且常处于地表径流的冲刷之下，有发展趋势并有季节性泉水出露，岩土潮湿、饱水；</w:t>
            </w:r>
          </w:p>
          <w:p>
            <w:pPr>
              <w:rPr>
                <w:rFonts w:hint="eastAsia" w:ascii="宋体" w:hAnsi="宋体" w:eastAsia="宋体" w:cs="宋体"/>
                <w:color w:val="auto"/>
                <w:w w:val="99"/>
                <w:sz w:val="21"/>
                <w:szCs w:val="21"/>
              </w:rPr>
            </w:pPr>
            <w:r>
              <w:rPr>
                <w:rFonts w:hint="eastAsia" w:ascii="宋体" w:hAnsi="宋体" w:eastAsia="宋体" w:cs="宋体"/>
                <w:color w:val="auto"/>
                <w:sz w:val="21"/>
                <w:szCs w:val="21"/>
              </w:rPr>
              <w:t>②滑体平均坡度大于 40°，坡面上有多条新发展的裂缝，其上建筑物、植被有新的变形迹象；</w:t>
            </w:r>
          </w:p>
          <w:p>
            <w:pPr>
              <w:rPr>
                <w:rFonts w:hint="eastAsia" w:ascii="宋体" w:hAnsi="宋体" w:eastAsia="宋体" w:cs="宋体"/>
                <w:color w:val="auto"/>
                <w:w w:val="99"/>
                <w:sz w:val="21"/>
                <w:szCs w:val="21"/>
              </w:rPr>
            </w:pPr>
            <w:r>
              <w:rPr>
                <w:rFonts w:hint="eastAsia" w:ascii="宋体" w:hAnsi="宋体" w:eastAsia="宋体" w:cs="宋体"/>
                <w:color w:val="auto"/>
                <w:sz w:val="21"/>
                <w:szCs w:val="21"/>
              </w:rPr>
              <w:t>③后缘壁上有可见擦痕或有明显位移迹象；后缘有裂缝发育</w:t>
            </w:r>
          </w:p>
        </w:tc>
        <w:tc>
          <w:tcPr>
            <w:tcW w:w="1781"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不稳定F</w:t>
            </w:r>
            <w:r>
              <w:rPr>
                <w:rFonts w:hint="eastAsia" w:ascii="宋体" w:hAnsi="宋体" w:eastAsia="宋体" w:cs="宋体"/>
                <w:color w:val="auto"/>
                <w:sz w:val="21"/>
                <w:szCs w:val="21"/>
                <w:vertAlign w:val="subscript"/>
              </w:rPr>
              <w:t>st</w:t>
            </w:r>
            <w:r>
              <w:rPr>
                <w:rFonts w:hint="eastAsia" w:ascii="宋体" w:hAnsi="宋体" w:eastAsia="宋体" w:cs="宋体"/>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7" w:hRule="atLeast"/>
          <w:jc w:val="center"/>
        </w:trPr>
        <w:tc>
          <w:tcPr>
            <w:tcW w:w="108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6092"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①滑坡前缘斜坡较缓，临空高差小，无地表径流流经和继续变形的迹象，岩土体干燥；</w:t>
            </w:r>
          </w:p>
          <w:p>
            <w:pPr>
              <w:rPr>
                <w:rFonts w:hint="eastAsia" w:ascii="宋体" w:hAnsi="宋体" w:eastAsia="宋体" w:cs="宋体"/>
                <w:color w:val="auto"/>
                <w:w w:val="99"/>
                <w:sz w:val="21"/>
                <w:szCs w:val="21"/>
              </w:rPr>
            </w:pPr>
            <w:r>
              <w:rPr>
                <w:rFonts w:hint="eastAsia" w:ascii="宋体" w:hAnsi="宋体" w:eastAsia="宋体" w:cs="宋体"/>
                <w:color w:val="auto"/>
                <w:sz w:val="21"/>
                <w:szCs w:val="21"/>
              </w:rPr>
              <w:t>②滑体平均坡度小于25°，坡面上无裂缝发展，其上建筑物、植被未有新的变形迹象；</w:t>
            </w:r>
          </w:p>
          <w:p>
            <w:pPr>
              <w:rPr>
                <w:rFonts w:hint="eastAsia" w:ascii="宋体" w:hAnsi="宋体" w:eastAsia="宋体" w:cs="宋体"/>
                <w:color w:val="auto"/>
                <w:w w:val="99"/>
                <w:sz w:val="21"/>
                <w:szCs w:val="21"/>
              </w:rPr>
            </w:pPr>
            <w:r>
              <w:rPr>
                <w:rFonts w:hint="eastAsia" w:ascii="宋体" w:hAnsi="宋体" w:eastAsia="宋体" w:cs="宋体"/>
                <w:color w:val="auto"/>
                <w:sz w:val="21"/>
                <w:szCs w:val="21"/>
              </w:rPr>
              <w:t>③后缘壁上无擦痕和明显位移迹象；原有裂缝已被充填</w:t>
            </w:r>
          </w:p>
        </w:tc>
        <w:tc>
          <w:tcPr>
            <w:tcW w:w="1781"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欠稳定1.00＜F</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≤F</w:t>
            </w:r>
            <w:r>
              <w:rPr>
                <w:rFonts w:hint="eastAsia" w:ascii="宋体" w:hAnsi="宋体" w:eastAsia="宋体" w:cs="宋体"/>
                <w:color w:val="auto"/>
                <w:sz w:val="21"/>
                <w:szCs w:val="21"/>
                <w:vertAlign w:val="subscript"/>
              </w:rPr>
              <w:t>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37" w:hRule="atLeast"/>
          <w:jc w:val="center"/>
        </w:trPr>
        <w:tc>
          <w:tcPr>
            <w:tcW w:w="108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6092" w:type="dxa"/>
            <w:vAlign w:val="center"/>
          </w:tcPr>
          <w:p>
            <w:pPr>
              <w:rPr>
                <w:rFonts w:hint="eastAsia" w:ascii="宋体" w:hAnsi="宋体" w:eastAsia="宋体" w:cs="宋体"/>
                <w:color w:val="auto"/>
                <w:sz w:val="21"/>
                <w:szCs w:val="21"/>
              </w:rPr>
            </w:pPr>
            <w:r>
              <w:rPr>
                <w:rFonts w:hint="eastAsia" w:ascii="宋体" w:hAnsi="宋体" w:eastAsia="宋体" w:cs="宋体"/>
                <w:color w:val="auto"/>
                <w:sz w:val="21"/>
                <w:szCs w:val="21"/>
              </w:rPr>
              <w:t>①滑坡前缘临空，有间断季节性地表径流流经，岩土体较湿，斜坡坡度为30°-45°；</w:t>
            </w:r>
          </w:p>
          <w:p>
            <w:pPr>
              <w:rPr>
                <w:rFonts w:hint="eastAsia" w:ascii="宋体" w:hAnsi="宋体" w:eastAsia="宋体" w:cs="宋体"/>
                <w:color w:val="auto"/>
                <w:w w:val="99"/>
                <w:sz w:val="21"/>
                <w:szCs w:val="21"/>
              </w:rPr>
            </w:pPr>
            <w:r>
              <w:rPr>
                <w:rFonts w:hint="eastAsia" w:ascii="宋体" w:hAnsi="宋体" w:eastAsia="宋体" w:cs="宋体"/>
                <w:color w:val="auto"/>
                <w:sz w:val="21"/>
                <w:szCs w:val="21"/>
              </w:rPr>
              <w:t>②滑体平均坡度为 25°-40°，坡面上局部有小的裂缝，其上建筑物、植被无新的变形迹象；</w:t>
            </w:r>
          </w:p>
          <w:p>
            <w:pPr>
              <w:rPr>
                <w:rFonts w:hint="eastAsia" w:ascii="宋体" w:hAnsi="宋体" w:eastAsia="宋体" w:cs="宋体"/>
                <w:color w:val="auto"/>
                <w:w w:val="99"/>
                <w:sz w:val="21"/>
                <w:szCs w:val="21"/>
              </w:rPr>
            </w:pPr>
            <w:r>
              <w:rPr>
                <w:rFonts w:hint="eastAsia" w:ascii="宋体" w:hAnsi="宋体" w:eastAsia="宋体" w:cs="宋体"/>
                <w:color w:val="auto"/>
                <w:sz w:val="21"/>
                <w:szCs w:val="21"/>
              </w:rPr>
              <w:t>③后缘壁上有不明显变形迹象；后缘有断续的小裂缝发育</w:t>
            </w:r>
          </w:p>
        </w:tc>
        <w:tc>
          <w:tcPr>
            <w:tcW w:w="1781"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稳定F</w:t>
            </w:r>
            <w:r>
              <w:rPr>
                <w:rFonts w:hint="eastAsia" w:ascii="宋体" w:hAnsi="宋体" w:eastAsia="宋体" w:cs="宋体"/>
                <w:color w:val="auto"/>
                <w:sz w:val="21"/>
                <w:szCs w:val="21"/>
                <w:vertAlign w:val="subscript"/>
              </w:rPr>
              <w:t>s</w:t>
            </w:r>
            <w:r>
              <w:rPr>
                <w:rFonts w:hint="eastAsia" w:ascii="宋体" w:hAnsi="宋体" w:eastAsia="宋体" w:cs="宋体"/>
                <w:color w:val="auto"/>
                <w:sz w:val="21"/>
                <w:szCs w:val="21"/>
              </w:rPr>
              <w:t>＞F</w:t>
            </w:r>
            <w:r>
              <w:rPr>
                <w:rFonts w:hint="eastAsia" w:ascii="宋体" w:hAnsi="宋体" w:eastAsia="宋体" w:cs="宋体"/>
                <w:color w:val="auto"/>
                <w:sz w:val="21"/>
                <w:szCs w:val="21"/>
                <w:vertAlign w:val="subscript"/>
              </w:rPr>
              <w:t>st</w:t>
            </w:r>
          </w:p>
        </w:tc>
      </w:tr>
    </w:tbl>
    <w:p>
      <w:pPr>
        <w:pStyle w:val="8"/>
        <w:ind w:left="400" w:firstLine="0" w:firstLineChars="0"/>
        <w:rPr>
          <w:rFonts w:hint="eastAsia" w:ascii="宋体" w:hAnsi="宋体" w:eastAsia="宋体" w:cs="宋体"/>
          <w:color w:val="auto"/>
          <w:lang w:bidi="ar"/>
        </w:rPr>
      </w:pPr>
      <w:r>
        <w:rPr>
          <w:rFonts w:hint="eastAsia" w:ascii="宋体" w:hAnsi="宋体" w:eastAsia="宋体" w:cs="宋体"/>
          <w:color w:val="auto"/>
          <w:szCs w:val="21"/>
        </w:rPr>
        <w:t>注：F</w:t>
      </w:r>
      <w:r>
        <w:rPr>
          <w:rFonts w:hint="eastAsia" w:ascii="宋体" w:hAnsi="宋体" w:eastAsia="宋体" w:cs="宋体"/>
          <w:color w:val="auto"/>
          <w:szCs w:val="21"/>
          <w:vertAlign w:val="subscript"/>
        </w:rPr>
        <w:t>st</w:t>
      </w:r>
      <w:r>
        <w:rPr>
          <w:rFonts w:hint="eastAsia" w:ascii="宋体" w:hAnsi="宋体" w:eastAsia="宋体" w:cs="宋体"/>
          <w:color w:val="auto"/>
          <w:szCs w:val="21"/>
        </w:rPr>
        <w:t>为滑坡稳定安全系数，根据滑坡防治工程等级及其对工程的影响综合确定。可参考当地经验值。</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（3）泥石流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内地势比较开阔，周围山高坡陡，发育的沟谷距离矿区较远。无常年性地表流水，山体基岩裸露，没有碎屑固体物质聚集。排泄条件较好，缺乏物源、水源条件，不具备产生泥石流的地质条件，自然环境下形成泥石流的可能性小，本次调查矿山现场为原始地貌，未发现泥石流灾害点。评估区内未曾发生过泥石流灾害，未曾因发生泥石流灾害造成人员死亡事故和直接经济损失。</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依据表3-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、表 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得出的结论，现状评估泥石流灾害发育程度弱，危害程度小，危险性小。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（4）地面塌陷</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矿山没有进行地下开采工作，不会形成地下采空区，且评估区内地下水含水层富水性弱，没有破坏含水层结构和改变地下水流量，发生地下岩溶的水力条件不充分。现状评估地面塌陷灾害危害程度小，危险性小。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（5）地面沉降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 本矿山为露天矿山，矿区不存在地下水或地下油（气）开采活动，不具备发生地面沉降地质灾害的条件。本次调查矿山现场为原始地貌，现状条件下地面沉降灾害不发育。现状评估地面沉降地质灾害危害程度轻，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（6）地裂缝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矿区地质构造简单，断裂构造不发育，不具备发生地裂缝地质灾害的条件，现状条件下地裂缝灾害不发育。本次调查矿山现场为原始地貌，现状评估地裂缝地质灾害危害程度轻，危险性小。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（7）不稳定斜坡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根据本次调查，评估区呈</w:t>
      </w:r>
      <w:r>
        <w:rPr>
          <w:rFonts w:hint="eastAsia" w:ascii="宋体" w:hAnsi="宋体" w:cs="宋体"/>
          <w:bCs/>
          <w:color w:val="auto"/>
          <w:sz w:val="24"/>
          <w:szCs w:val="24"/>
          <w:lang w:val="en-US" w:eastAsia="zh-CN"/>
        </w:rPr>
        <w:t>产状较稳定</w:t>
      </w:r>
      <w:r>
        <w:rPr>
          <w:rFonts w:hint="eastAsia" w:ascii="宋体" w:hAnsi="宋体" w:eastAsia="宋体" w:cs="宋体"/>
          <w:bCs/>
          <w:color w:val="auto"/>
          <w:sz w:val="24"/>
          <w:szCs w:val="24"/>
        </w:rPr>
        <w:t>，主要结构面结合较好，稳定性较好，难以形成悬空的软弱结构面，形成不稳定斜坡灾害的条件不充分。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现状区内未进行过开采活动。经矿山实地调查咨询，评估区内无不稳定斜坡存在，未曾因不稳定斜坡发生滑塌灾害造成人员死亡事故和直接经济损失。</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综上所述，结合表3-1</w:t>
      </w: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rPr>
        <w:t>得出的结论，现状条件下不稳定斜坡不发育，危害程度小，危险性小。</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rPr>
        <w:t xml:space="preserve">  不稳定斜坡地质灾害发育程度分级表</w:t>
      </w:r>
    </w:p>
    <w:tbl>
      <w:tblPr>
        <w:tblStyle w:val="54"/>
        <w:tblW w:w="91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125"/>
        <w:gridCol w:w="1332"/>
        <w:gridCol w:w="1176"/>
        <w:gridCol w:w="1057"/>
        <w:gridCol w:w="1678"/>
        <w:gridCol w:w="2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岩土体类型</w:t>
            </w:r>
          </w:p>
        </w:tc>
        <w:tc>
          <w:tcPr>
            <w:tcW w:w="1125"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7251" w:type="dxa"/>
            <w:gridSpan w:val="5"/>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Merge w:val="continue"/>
            <w:vAlign w:val="center"/>
          </w:tcPr>
          <w:p>
            <w:pPr>
              <w:widowControl/>
              <w:jc w:val="center"/>
              <w:rPr>
                <w:rFonts w:hint="eastAsia" w:ascii="宋体" w:hAnsi="宋体" w:eastAsia="宋体" w:cs="宋体"/>
                <w:color w:val="auto"/>
                <w:sz w:val="21"/>
                <w:szCs w:val="21"/>
              </w:rPr>
            </w:pPr>
          </w:p>
        </w:tc>
        <w:tc>
          <w:tcPr>
            <w:tcW w:w="1332"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堆积成因</w:t>
            </w:r>
          </w:p>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类型</w:t>
            </w:r>
          </w:p>
        </w:tc>
        <w:tc>
          <w:tcPr>
            <w:tcW w:w="1176"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地下水</w:t>
            </w:r>
          </w:p>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特征</w:t>
            </w: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坡高</w:t>
            </w:r>
          </w:p>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（m）</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流土或掉块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坡面变形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土</w:t>
            </w:r>
          </w:p>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体</w:t>
            </w: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32"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滨海堆积、</w:t>
            </w:r>
          </w:p>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湖沼沉积</w:t>
            </w:r>
          </w:p>
          <w:p>
            <w:pPr>
              <w:widowControl/>
              <w:jc w:val="center"/>
              <w:rPr>
                <w:rFonts w:hint="eastAsia" w:ascii="宋体" w:hAnsi="宋体" w:eastAsia="宋体" w:cs="宋体"/>
                <w:color w:val="auto"/>
                <w:sz w:val="21"/>
                <w:szCs w:val="21"/>
              </w:rPr>
            </w:pPr>
          </w:p>
        </w:tc>
        <w:tc>
          <w:tcPr>
            <w:tcW w:w="1176"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有地下水</w:t>
            </w: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有流土有掉块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中下部有轻微变形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2-4</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上部有轻微变形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无流土无掉块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无坡面变形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无地下水</w:t>
            </w: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有流土有掉块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坡面变形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3-5</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中下部有轻微变形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无流土无掉块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上部有轻微变形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32"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大陆流水堆积、风积、</w:t>
            </w:r>
          </w:p>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坡积、残积、人工堆积</w:t>
            </w:r>
          </w:p>
        </w:tc>
        <w:tc>
          <w:tcPr>
            <w:tcW w:w="1176"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有地下水</w:t>
            </w: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有流土有掉块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无坡面变形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5-10</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坡面变形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无流土无掉块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中下部有轻微变形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restart"/>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无地下水</w:t>
            </w: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有流土有掉块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上部有轻微变形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10-20</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有流土</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无坡面变形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widowControl/>
              <w:jc w:val="center"/>
              <w:rPr>
                <w:rFonts w:hint="eastAsia" w:ascii="宋体" w:hAnsi="宋体" w:eastAsia="宋体" w:cs="宋体"/>
                <w:color w:val="auto"/>
                <w:sz w:val="21"/>
                <w:szCs w:val="21"/>
              </w:rPr>
            </w:pPr>
          </w:p>
        </w:tc>
        <w:tc>
          <w:tcPr>
            <w:tcW w:w="1125"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32" w:type="dxa"/>
            <w:vMerge w:val="continue"/>
            <w:vAlign w:val="center"/>
          </w:tcPr>
          <w:p>
            <w:pPr>
              <w:widowControl/>
              <w:jc w:val="center"/>
              <w:rPr>
                <w:rFonts w:hint="eastAsia" w:ascii="宋体" w:hAnsi="宋体" w:eastAsia="宋体" w:cs="宋体"/>
                <w:color w:val="auto"/>
                <w:sz w:val="21"/>
                <w:szCs w:val="21"/>
              </w:rPr>
            </w:pPr>
          </w:p>
        </w:tc>
        <w:tc>
          <w:tcPr>
            <w:tcW w:w="1176" w:type="dxa"/>
            <w:vMerge w:val="continue"/>
            <w:vAlign w:val="center"/>
          </w:tcPr>
          <w:p>
            <w:pPr>
              <w:widowControl/>
              <w:jc w:val="center"/>
              <w:rPr>
                <w:rFonts w:hint="eastAsia" w:ascii="宋体" w:hAnsi="宋体" w:eastAsia="宋体" w:cs="宋体"/>
                <w:color w:val="auto"/>
                <w:sz w:val="21"/>
                <w:szCs w:val="21"/>
              </w:rPr>
            </w:pPr>
          </w:p>
        </w:tc>
        <w:tc>
          <w:tcPr>
            <w:tcW w:w="1057"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67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无流土无掉块</w:t>
            </w:r>
          </w:p>
        </w:tc>
        <w:tc>
          <w:tcPr>
            <w:tcW w:w="2008" w:type="dxa"/>
            <w:vAlign w:val="center"/>
          </w:tcPr>
          <w:p>
            <w:pPr>
              <w:widowControl/>
              <w:jc w:val="center"/>
              <w:rPr>
                <w:rFonts w:hint="eastAsia" w:ascii="宋体" w:hAnsi="宋体" w:eastAsia="宋体" w:cs="宋体"/>
                <w:color w:val="auto"/>
                <w:sz w:val="21"/>
                <w:szCs w:val="21"/>
              </w:rPr>
            </w:pPr>
            <w:r>
              <w:rPr>
                <w:rFonts w:hint="eastAsia" w:ascii="宋体" w:hAnsi="宋体" w:eastAsia="宋体" w:cs="宋体"/>
                <w:color w:val="auto"/>
                <w:sz w:val="21"/>
                <w:szCs w:val="21"/>
              </w:rPr>
              <w:t>坡面变形</w:t>
            </w:r>
          </w:p>
        </w:tc>
      </w:tr>
    </w:tbl>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Cs/>
          <w:color w:val="auto"/>
          <w:sz w:val="24"/>
          <w:szCs w:val="24"/>
        </w:rPr>
      </w:pPr>
      <w:r>
        <w:rPr>
          <w:rFonts w:hint="eastAsia" w:ascii="宋体" w:hAnsi="宋体" w:eastAsia="宋体" w:cs="宋体"/>
          <w:b/>
          <w:color w:val="auto"/>
          <w:sz w:val="24"/>
          <w:szCs w:val="24"/>
        </w:rPr>
        <w:t>现状评估结论：</w:t>
      </w:r>
      <w:r>
        <w:rPr>
          <w:rFonts w:hint="eastAsia" w:ascii="宋体" w:hAnsi="宋体" w:eastAsia="宋体" w:cs="宋体"/>
          <w:bCs/>
          <w:color w:val="auto"/>
          <w:sz w:val="24"/>
          <w:szCs w:val="24"/>
        </w:rPr>
        <w:t>现状条件下评估区内崩塌、滑坡、泥石流等地质灾害发育程度弱，危害程度小，危险性小；地面塌陷、地面沉降、地裂缝及不稳定斜坡等地质灾害不发育，危害程度小，危险性小。根据《矿山地质环境保护与恢复治理方案编制规范》（DZ/T0223-2011）附录表E.1矿山地质环境影响程度分级表（表3-</w:t>
      </w:r>
      <w:r>
        <w:rPr>
          <w:rFonts w:hint="eastAsia" w:ascii="宋体" w:hAnsi="宋体" w:cs="宋体"/>
          <w:bCs/>
          <w:color w:val="auto"/>
          <w:sz w:val="24"/>
          <w:szCs w:val="24"/>
          <w:lang w:val="en-US" w:eastAsia="zh-CN"/>
        </w:rPr>
        <w:t>6</w:t>
      </w:r>
      <w:r>
        <w:rPr>
          <w:rFonts w:hint="eastAsia" w:ascii="宋体" w:hAnsi="宋体" w:eastAsia="宋体" w:cs="宋体"/>
          <w:bCs/>
          <w:color w:val="auto"/>
          <w:sz w:val="24"/>
          <w:szCs w:val="24"/>
        </w:rPr>
        <w:t>），</w:t>
      </w:r>
      <w:bookmarkStart w:id="133" w:name="_Hlk96791944"/>
      <w:r>
        <w:rPr>
          <w:rFonts w:hint="eastAsia" w:ascii="宋体" w:hAnsi="宋体" w:eastAsia="宋体" w:cs="宋体"/>
          <w:bCs/>
          <w:color w:val="auto"/>
          <w:sz w:val="24"/>
          <w:szCs w:val="24"/>
        </w:rPr>
        <w:t>区内未进行过开采活动，</w:t>
      </w:r>
      <w:bookmarkEnd w:id="133"/>
      <w:r>
        <w:rPr>
          <w:rFonts w:hint="eastAsia" w:ascii="宋体" w:hAnsi="宋体" w:eastAsia="宋体" w:cs="宋体"/>
          <w:bCs/>
          <w:color w:val="auto"/>
          <w:sz w:val="24"/>
          <w:szCs w:val="24"/>
        </w:rPr>
        <w:t>现状评估对地质灾害的影响程度为</w:t>
      </w:r>
      <w:r>
        <w:rPr>
          <w:rFonts w:hint="eastAsia" w:ascii="宋体" w:hAnsi="宋体" w:eastAsia="宋体" w:cs="宋体"/>
          <w:b/>
          <w:color w:val="auto"/>
          <w:sz w:val="24"/>
          <w:szCs w:val="24"/>
        </w:rPr>
        <w:t>较轻</w:t>
      </w:r>
      <w:r>
        <w:rPr>
          <w:rFonts w:hint="eastAsia" w:ascii="宋体" w:hAnsi="宋体" w:eastAsia="宋体" w:cs="宋体"/>
          <w:bCs/>
          <w:color w:val="auto"/>
          <w:sz w:val="24"/>
          <w:szCs w:val="24"/>
        </w:rPr>
        <w:t>。</w:t>
      </w:r>
    </w:p>
    <w:p>
      <w:pPr>
        <w:pStyle w:val="99"/>
        <w:keepNext w:val="0"/>
        <w:keepLines w:val="0"/>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color w:val="auto"/>
          <w:sz w:val="24"/>
        </w:rPr>
      </w:pPr>
      <w:r>
        <w:rPr>
          <w:rFonts w:hint="eastAsia" w:ascii="宋体" w:hAnsi="宋体" w:cs="宋体"/>
          <w:b/>
          <w:bCs/>
          <w:color w:val="auto"/>
          <w:sz w:val="24"/>
          <w:lang w:val="en-US" w:eastAsia="zh-CN"/>
        </w:rPr>
        <w:t>3、</w:t>
      </w:r>
      <w:r>
        <w:rPr>
          <w:rFonts w:hint="eastAsia" w:ascii="宋体" w:hAnsi="宋体" w:eastAsia="宋体" w:cs="宋体"/>
          <w:b/>
          <w:bCs/>
          <w:color w:val="auto"/>
          <w:sz w:val="24"/>
        </w:rPr>
        <w:t>地质灾害危险性预测评估</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今后将进行露天开采，矿山的开采活动改变评估区的原有地形地貌，特别是岩土体中的力学平衡状态和边坡稳定性，如不及时采取防护措施或防护措施不当，则容易引发地质灾害。根据评估区采矿方式和生产工艺等综合分析，结合矿区地形地貌、地质条件、水文气象条件和现场调查，预测矿山进一步地下开采期间可能引发的地质灾害为地面塌陷。</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主要包括两个方面内容，一是对工程建设可能引发、加剧的地质灾害危险性进行评估；二是对工程建设本身可能遭受的地质灾害的危险性进行评估。具体任务是依据工程项目类型、规模，预测工程在建设过程中和建成后，对地质环境的改变和影响，评估引发和遭受地质灾害的危险性。</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根据现场调查，评估区内地面设施尚未开工建设。矿山工程建设中、建设后可能引发或加剧崩塌地质灾害主要为规划露天采矿场、规划排土场、规划矿山道路及其他区域。</w:t>
      </w:r>
    </w:p>
    <w:p>
      <w:pPr>
        <w:pStyle w:val="99"/>
        <w:numPr>
          <w:ilvl w:val="0"/>
          <w:numId w:val="0"/>
        </w:numPr>
        <w:spacing w:line="360" w:lineRule="auto"/>
        <w:ind w:left="480" w:leftChars="0"/>
        <w:rPr>
          <w:rFonts w:hint="eastAsia" w:ascii="宋体" w:hAnsi="宋体" w:eastAsia="宋体" w:cs="宋体"/>
          <w:b/>
          <w:bCs w:val="0"/>
          <w:color w:val="auto"/>
          <w:sz w:val="24"/>
          <w:highlight w:val="none"/>
        </w:rPr>
      </w:pPr>
      <w:r>
        <w:rPr>
          <w:rFonts w:hint="eastAsia" w:ascii="宋体" w:hAnsi="宋体" w:cs="宋体"/>
          <w:b/>
          <w:bCs w:val="0"/>
          <w:color w:val="auto"/>
          <w:sz w:val="24"/>
          <w:highlight w:val="none"/>
          <w:lang w:eastAsia="zh-CN"/>
        </w:rPr>
        <w:t>（</w:t>
      </w:r>
      <w:r>
        <w:rPr>
          <w:rFonts w:hint="eastAsia" w:ascii="宋体" w:hAnsi="宋体" w:cs="宋体"/>
          <w:b/>
          <w:bCs w:val="0"/>
          <w:color w:val="auto"/>
          <w:sz w:val="24"/>
          <w:highlight w:val="none"/>
          <w:lang w:val="en-US" w:eastAsia="zh-CN"/>
        </w:rPr>
        <w:t>1</w:t>
      </w:r>
      <w:r>
        <w:rPr>
          <w:rFonts w:hint="eastAsia" w:ascii="宋体" w:hAnsi="宋体" w:cs="宋体"/>
          <w:b/>
          <w:bCs w:val="0"/>
          <w:color w:val="auto"/>
          <w:sz w:val="24"/>
          <w:highlight w:val="none"/>
          <w:lang w:eastAsia="zh-CN"/>
        </w:rPr>
        <w:t>）</w:t>
      </w:r>
      <w:r>
        <w:rPr>
          <w:rFonts w:hint="eastAsia" w:ascii="宋体" w:hAnsi="宋体" w:eastAsia="宋体" w:cs="宋体"/>
          <w:b/>
          <w:bCs w:val="0"/>
          <w:color w:val="auto"/>
          <w:sz w:val="24"/>
          <w:highlight w:val="none"/>
        </w:rPr>
        <w:t>崩塌</w:t>
      </w:r>
    </w:p>
    <w:p>
      <w:pPr>
        <w:spacing w:line="360" w:lineRule="auto"/>
        <w:ind w:firstLine="480" w:firstLineChars="200"/>
        <w:jc w:val="both"/>
        <w:rPr>
          <w:rFonts w:hint="eastAsia" w:ascii="宋体" w:hAnsi="宋体" w:eastAsia="宋体" w:cs="宋体"/>
          <w:color w:val="auto"/>
          <w:highlight w:val="none"/>
        </w:rPr>
      </w:pPr>
      <w:r>
        <w:rPr>
          <w:rFonts w:hint="eastAsia" w:ascii="宋体" w:hAnsi="宋体" w:eastAsia="宋体" w:cs="宋体"/>
          <w:bCs/>
          <w:color w:val="auto"/>
          <w:sz w:val="24"/>
          <w:szCs w:val="24"/>
          <w:highlight w:val="none"/>
        </w:rPr>
        <w:t>①规划露天采场</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评估区现状条件下地质灾害不发育，矿山今后采用露天开采方式，公路开拓汽车运输方案，采用分层采矿方法，直接挖掘机钩挖开采，用推土机或自卸车运至堆矿间即完成矿山采运作业，采矿工艺简单。</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矿山闭坑后，在开采境界内形成不规则多边形的露天采坑，采坑面积为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其中北部采场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南部采场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bCs/>
          <w:color w:val="auto"/>
          <w:sz w:val="24"/>
          <w:szCs w:val="24"/>
          <w:highlight w:val="none"/>
        </w:rPr>
        <w:t>在今后的开采活动中，采矿沿地形坡度平缓推进，分台阶开采高度10米，按5m台阶开采，2个台阶并段，形成最终10m台阶高度，采矿山在开采过程中，随着矿体的被采掘，边坡岩体在受采矿活动以及自然因素的影响下，其结构完整性和稳定性将进一步降低，有可能在采坑边缘引发局部崩塌，但其规模性较小，预计危害人数小于</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0人，危害财产小于100万元，依据表3-</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、表 3-</w:t>
      </w: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rPr>
        <w:t>、表3-</w:t>
      </w:r>
      <w:r>
        <w:rPr>
          <w:rFonts w:hint="eastAsia" w:ascii="宋体" w:hAnsi="宋体" w:cs="宋体"/>
          <w:bCs/>
          <w:color w:val="auto"/>
          <w:sz w:val="24"/>
          <w:szCs w:val="24"/>
          <w:highlight w:val="none"/>
          <w:lang w:val="en-US" w:eastAsia="zh-CN"/>
        </w:rPr>
        <w:t>9</w:t>
      </w:r>
      <w:r>
        <w:rPr>
          <w:rFonts w:hint="eastAsia" w:ascii="宋体" w:hAnsi="宋体" w:eastAsia="宋体" w:cs="宋体"/>
          <w:bCs/>
          <w:color w:val="auto"/>
          <w:sz w:val="24"/>
          <w:szCs w:val="24"/>
          <w:highlight w:val="none"/>
        </w:rPr>
        <w:t>和表3-</w:t>
      </w:r>
      <w:r>
        <w:rPr>
          <w:rFonts w:hint="eastAsia" w:ascii="宋体"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得出的结论，预测评估工程建设中、建设后引发或加剧规划采矿场崩塌灾害的可能性中等，发育程度中等，危害程度中等，危险性中等。</w:t>
      </w:r>
    </w:p>
    <w:p>
      <w:pPr>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②规划排土场</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规划排土场位于矿区外</w:t>
      </w:r>
      <w:r>
        <w:rPr>
          <w:rFonts w:hint="eastAsia" w:ascii="宋体" w:hAnsi="宋体" w:cs="宋体"/>
          <w:bCs/>
          <w:color w:val="auto"/>
          <w:sz w:val="24"/>
          <w:szCs w:val="24"/>
          <w:highlight w:val="none"/>
          <w:lang w:val="en-US" w:eastAsia="zh-CN"/>
        </w:rPr>
        <w:t>东</w:t>
      </w:r>
      <w:r>
        <w:rPr>
          <w:rFonts w:hint="eastAsia" w:ascii="宋体" w:hAnsi="宋体" w:eastAsia="宋体" w:cs="宋体"/>
          <w:bCs/>
          <w:color w:val="auto"/>
          <w:sz w:val="24"/>
          <w:szCs w:val="24"/>
          <w:highlight w:val="none"/>
        </w:rPr>
        <w:t>部相对平坦开阔场地，地形坡度5-8°，占地面积约</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公顷，单层压实堆放，平均堆高约3米左右，堆积坡度约45°，堆积量约</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立方米，占用土地类型为裸土地。设计采用分层压实堆放，废石场废石堆放高度、坡度均较小，不需要切坡工程，不易形成高陡边坡，不易产生石块滑落情况。评估区周边露天</w:t>
      </w:r>
      <w:r>
        <w:rPr>
          <w:rFonts w:hint="eastAsia" w:ascii="宋体" w:hAnsi="宋体" w:eastAsia="宋体" w:cs="宋体"/>
          <w:color w:val="auto"/>
          <w:spacing w:val="-2"/>
          <w:sz w:val="24"/>
          <w:szCs w:val="24"/>
          <w:highlight w:val="none"/>
        </w:rPr>
        <w:t>砖瓦用页岩</w:t>
      </w:r>
      <w:r>
        <w:rPr>
          <w:rFonts w:hint="eastAsia" w:ascii="宋体" w:hAnsi="宋体" w:eastAsia="宋体" w:cs="宋体"/>
          <w:bCs/>
          <w:color w:val="auto"/>
          <w:sz w:val="24"/>
          <w:szCs w:val="24"/>
          <w:highlight w:val="none"/>
        </w:rPr>
        <w:t>矿有同类废石堆放边坡分布但均无发生滑坡灾害，坡面内无坍塌现象。</w:t>
      </w:r>
    </w:p>
    <w:p>
      <w:pPr>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依据表3-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、表 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、表3-</w:t>
      </w:r>
      <w:r>
        <w:rPr>
          <w:rFonts w:hint="eastAsia" w:ascii="宋体" w:hAnsi="宋体" w:cs="宋体"/>
          <w:bCs/>
          <w:color w:val="auto"/>
          <w:sz w:val="24"/>
          <w:szCs w:val="24"/>
          <w:lang w:val="en-US" w:eastAsia="zh-CN"/>
        </w:rPr>
        <w:t>9</w:t>
      </w:r>
      <w:r>
        <w:rPr>
          <w:rFonts w:hint="eastAsia" w:ascii="宋体" w:hAnsi="宋体" w:eastAsia="宋体" w:cs="宋体"/>
          <w:bCs/>
          <w:color w:val="auto"/>
          <w:sz w:val="24"/>
          <w:szCs w:val="24"/>
        </w:rPr>
        <w:t>和表3-</w:t>
      </w:r>
      <w:r>
        <w:rPr>
          <w:rFonts w:hint="eastAsia" w:ascii="宋体" w:hAnsi="宋体" w:cs="宋体"/>
          <w:bCs/>
          <w:color w:val="auto"/>
          <w:sz w:val="24"/>
          <w:szCs w:val="24"/>
          <w:lang w:val="en-US" w:eastAsia="zh-CN"/>
        </w:rPr>
        <w:t>10</w:t>
      </w:r>
      <w:r>
        <w:rPr>
          <w:rFonts w:hint="eastAsia" w:ascii="宋体" w:hAnsi="宋体" w:eastAsia="宋体" w:cs="宋体"/>
          <w:bCs/>
          <w:color w:val="auto"/>
          <w:sz w:val="24"/>
          <w:szCs w:val="24"/>
        </w:rPr>
        <w:t>得出的结论，预测评估废石场不易引发崩塌灾害，危害程度小，危险性小。</w:t>
      </w:r>
    </w:p>
    <w:p>
      <w:pPr>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③规划矿山道路</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规划矿山道路均在原始地面上直接修筑，地形坡度约3-5°，无切坡工程，无高陡边坡，依据表3-</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、表 3-</w:t>
      </w: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rPr>
        <w:t>、表3-</w:t>
      </w:r>
      <w:r>
        <w:rPr>
          <w:rFonts w:hint="eastAsia" w:ascii="宋体" w:hAnsi="宋体" w:cs="宋体"/>
          <w:bCs/>
          <w:color w:val="auto"/>
          <w:sz w:val="24"/>
          <w:szCs w:val="24"/>
          <w:highlight w:val="none"/>
          <w:lang w:val="en-US" w:eastAsia="zh-CN"/>
        </w:rPr>
        <w:t>9</w:t>
      </w:r>
      <w:r>
        <w:rPr>
          <w:rFonts w:hint="eastAsia" w:ascii="宋体" w:hAnsi="宋体" w:eastAsia="宋体" w:cs="宋体"/>
          <w:bCs/>
          <w:color w:val="auto"/>
          <w:sz w:val="24"/>
          <w:szCs w:val="24"/>
          <w:highlight w:val="none"/>
        </w:rPr>
        <w:t>和表3-</w:t>
      </w:r>
      <w:r>
        <w:rPr>
          <w:rFonts w:hint="eastAsia" w:ascii="宋体"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得出的结论，预测评估矿山道路不易引发崩塌灾害，危害程度小，危险性小。</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rPr>
        <w:t>④</w:t>
      </w:r>
      <w:r>
        <w:rPr>
          <w:rFonts w:hint="eastAsia" w:ascii="宋体" w:hAnsi="宋体" w:eastAsia="宋体" w:cs="宋体"/>
          <w:bCs/>
          <w:color w:val="auto"/>
          <w:sz w:val="24"/>
          <w:szCs w:val="24"/>
          <w:highlight w:val="none"/>
        </w:rPr>
        <w:t>规划生活区</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规划办公生活区位于矿区</w:t>
      </w:r>
      <w:r>
        <w:rPr>
          <w:rFonts w:hint="eastAsia" w:ascii="宋体" w:hAnsi="宋体" w:eastAsia="宋体" w:cs="宋体"/>
          <w:bCs/>
          <w:color w:val="auto"/>
          <w:sz w:val="24"/>
          <w:szCs w:val="24"/>
          <w:highlight w:val="none"/>
          <w:lang w:val="en-US" w:eastAsia="zh-CN"/>
        </w:rPr>
        <w:t>外东</w:t>
      </w:r>
      <w:r>
        <w:rPr>
          <w:rFonts w:hint="eastAsia" w:ascii="宋体" w:hAnsi="宋体" w:eastAsia="宋体" w:cs="宋体"/>
          <w:bCs/>
          <w:color w:val="auto"/>
          <w:sz w:val="24"/>
          <w:szCs w:val="24"/>
          <w:highlight w:val="none"/>
        </w:rPr>
        <w:t>部，现状地形坡度约</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°，建设前需对场地进行平整。规划办公生活区由办公区、生活区和职工食堂等组成，总占地面积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lang w:val="en-US" w:eastAsia="zh-CN"/>
        </w:rPr>
        <w:t>公顷</w:t>
      </w:r>
      <w:r>
        <w:rPr>
          <w:rFonts w:hint="eastAsia" w:ascii="宋体" w:hAnsi="宋体" w:eastAsia="宋体" w:cs="宋体"/>
          <w:bCs/>
          <w:color w:val="auto"/>
          <w:sz w:val="24"/>
          <w:szCs w:val="24"/>
          <w:highlight w:val="none"/>
        </w:rPr>
        <w:t>。建设过程中只需进行场地平整，无削坡； 依据表3-7、表 3-8得出的结论，预测评估规划办公生活区不易引发崩塌灾害，危害程度小，危险性小。</w:t>
      </w:r>
    </w:p>
    <w:p>
      <w:pPr>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highlight w:val="none"/>
        </w:rPr>
        <w:t>⑤</w:t>
      </w:r>
      <w:r>
        <w:rPr>
          <w:rFonts w:hint="eastAsia" w:ascii="宋体" w:hAnsi="宋体" w:eastAsia="宋体" w:cs="宋体"/>
          <w:bCs/>
          <w:color w:val="auto"/>
          <w:sz w:val="24"/>
          <w:szCs w:val="24"/>
        </w:rPr>
        <w:t>评估区其他区域</w:t>
      </w:r>
    </w:p>
    <w:p>
      <w:pPr>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今后露天开采，在评估区内其它区域地表不会有大的挖、填方及切坡工程，不会形成不稳定斜坡，基本不改变现状地形地质条件。预测评估评估区内其他区域不易引发崩塌地质灾害。</w:t>
      </w:r>
    </w:p>
    <w:p>
      <w:pPr>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根据工程建设中、建设后引发崩塌地质灾害危险性预测评估分级表（表3-1</w:t>
      </w:r>
      <w:r>
        <w:rPr>
          <w:rFonts w:hint="eastAsia" w:ascii="宋体" w:hAnsi="宋体" w:cs="宋体"/>
          <w:bCs/>
          <w:color w:val="auto"/>
          <w:sz w:val="24"/>
          <w:szCs w:val="24"/>
          <w:lang w:val="en-US" w:eastAsia="zh-CN"/>
        </w:rPr>
        <w:t>3</w:t>
      </w:r>
      <w:r>
        <w:rPr>
          <w:rFonts w:hint="eastAsia" w:ascii="宋体" w:hAnsi="宋体" w:eastAsia="宋体" w:cs="宋体"/>
          <w:bCs/>
          <w:color w:val="auto"/>
          <w:sz w:val="24"/>
          <w:szCs w:val="24"/>
        </w:rPr>
        <w:t>），预测评估工程建设位于崩塌的影响范围外，工程建设中、建设后引发崩塌地质灾害的可能性小，危害程度小，危险性等级小。</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eastAsia="宋体" w:cs="宋体"/>
          <w:b/>
          <w:bCs/>
          <w:color w:val="auto"/>
          <w:sz w:val="21"/>
          <w:szCs w:val="21"/>
          <w:lang w:val="en-US" w:eastAsia="zh-CN"/>
        </w:rPr>
        <w:t xml:space="preserve">3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工程建设中、建设后引发崩塌地质灾害危险性预测评估分级表</w:t>
      </w:r>
    </w:p>
    <w:tbl>
      <w:tblPr>
        <w:tblStyle w:val="53"/>
        <w:tblW w:w="87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051"/>
        <w:gridCol w:w="1266"/>
        <w:gridCol w:w="1305"/>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73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工程建设与崩塌的位置关系</w:t>
            </w:r>
          </w:p>
        </w:tc>
        <w:tc>
          <w:tcPr>
            <w:tcW w:w="2051"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工程建设中、建设后引发崩塌的可能性</w:t>
            </w: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130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位于崩塌的影响范围内</w:t>
            </w:r>
          </w:p>
        </w:tc>
        <w:tc>
          <w:tcPr>
            <w:tcW w:w="2051"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0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jc w:val="center"/>
              <w:rPr>
                <w:rFonts w:hint="eastAsia" w:ascii="宋体" w:hAnsi="宋体" w:eastAsia="宋体" w:cs="宋体"/>
                <w:color w:val="auto"/>
                <w:sz w:val="21"/>
                <w:szCs w:val="21"/>
              </w:rPr>
            </w:pPr>
          </w:p>
        </w:tc>
        <w:tc>
          <w:tcPr>
            <w:tcW w:w="2051" w:type="dxa"/>
            <w:vMerge w:val="continue"/>
            <w:vAlign w:val="center"/>
          </w:tcPr>
          <w:p>
            <w:pPr>
              <w:jc w:val="center"/>
              <w:rPr>
                <w:rFonts w:hint="eastAsia" w:ascii="宋体" w:hAnsi="宋体" w:eastAsia="宋体" w:cs="宋体"/>
                <w:color w:val="auto"/>
                <w:sz w:val="21"/>
                <w:szCs w:val="21"/>
              </w:rPr>
            </w:pP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05"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jc w:val="center"/>
              <w:rPr>
                <w:rFonts w:hint="eastAsia" w:ascii="宋体" w:hAnsi="宋体" w:eastAsia="宋体" w:cs="宋体"/>
                <w:color w:val="auto"/>
                <w:sz w:val="21"/>
                <w:szCs w:val="21"/>
              </w:rPr>
            </w:pPr>
          </w:p>
        </w:tc>
        <w:tc>
          <w:tcPr>
            <w:tcW w:w="2051" w:type="dxa"/>
            <w:vMerge w:val="continue"/>
            <w:vAlign w:val="center"/>
          </w:tcPr>
          <w:p>
            <w:pPr>
              <w:jc w:val="center"/>
              <w:rPr>
                <w:rFonts w:hint="eastAsia" w:ascii="宋体" w:hAnsi="宋体" w:eastAsia="宋体" w:cs="宋体"/>
                <w:color w:val="auto"/>
                <w:sz w:val="21"/>
                <w:szCs w:val="21"/>
              </w:rPr>
            </w:pP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05"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临近崩塌影响范围</w:t>
            </w:r>
          </w:p>
        </w:tc>
        <w:tc>
          <w:tcPr>
            <w:tcW w:w="2051"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0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jc w:val="center"/>
              <w:rPr>
                <w:rFonts w:hint="eastAsia" w:ascii="宋体" w:hAnsi="宋体" w:eastAsia="宋体" w:cs="宋体"/>
                <w:color w:val="auto"/>
                <w:sz w:val="21"/>
                <w:szCs w:val="21"/>
              </w:rPr>
            </w:pPr>
          </w:p>
        </w:tc>
        <w:tc>
          <w:tcPr>
            <w:tcW w:w="2051" w:type="dxa"/>
            <w:vMerge w:val="continue"/>
            <w:vAlign w:val="center"/>
          </w:tcPr>
          <w:p>
            <w:pPr>
              <w:jc w:val="center"/>
              <w:rPr>
                <w:rFonts w:hint="eastAsia" w:ascii="宋体" w:hAnsi="宋体" w:eastAsia="宋体" w:cs="宋体"/>
                <w:color w:val="auto"/>
                <w:sz w:val="21"/>
                <w:szCs w:val="21"/>
              </w:rPr>
            </w:pP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05"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jc w:val="center"/>
              <w:rPr>
                <w:rFonts w:hint="eastAsia" w:ascii="宋体" w:hAnsi="宋体" w:eastAsia="宋体" w:cs="宋体"/>
                <w:color w:val="auto"/>
                <w:sz w:val="21"/>
                <w:szCs w:val="21"/>
              </w:rPr>
            </w:pPr>
          </w:p>
        </w:tc>
        <w:tc>
          <w:tcPr>
            <w:tcW w:w="2051" w:type="dxa"/>
            <w:vMerge w:val="continue"/>
            <w:vAlign w:val="center"/>
          </w:tcPr>
          <w:p>
            <w:pPr>
              <w:jc w:val="center"/>
              <w:rPr>
                <w:rFonts w:hint="eastAsia" w:ascii="宋体" w:hAnsi="宋体" w:eastAsia="宋体" w:cs="宋体"/>
                <w:color w:val="auto"/>
                <w:sz w:val="21"/>
                <w:szCs w:val="21"/>
              </w:rPr>
            </w:pP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05"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位于崩塌影响范围外</w:t>
            </w:r>
          </w:p>
        </w:tc>
        <w:tc>
          <w:tcPr>
            <w:tcW w:w="2051"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0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jc w:val="center"/>
              <w:rPr>
                <w:rFonts w:hint="eastAsia" w:ascii="宋体" w:hAnsi="宋体" w:eastAsia="宋体" w:cs="宋体"/>
                <w:color w:val="auto"/>
                <w:sz w:val="21"/>
                <w:szCs w:val="21"/>
              </w:rPr>
            </w:pPr>
          </w:p>
        </w:tc>
        <w:tc>
          <w:tcPr>
            <w:tcW w:w="2051" w:type="dxa"/>
            <w:vMerge w:val="continue"/>
            <w:vAlign w:val="center"/>
          </w:tcPr>
          <w:p>
            <w:pPr>
              <w:jc w:val="center"/>
              <w:rPr>
                <w:rFonts w:hint="eastAsia" w:ascii="宋体" w:hAnsi="宋体" w:eastAsia="宋体" w:cs="宋体"/>
                <w:color w:val="auto"/>
                <w:sz w:val="21"/>
                <w:szCs w:val="21"/>
              </w:rPr>
            </w:pP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05"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jc w:val="center"/>
              <w:rPr>
                <w:rFonts w:hint="eastAsia" w:ascii="宋体" w:hAnsi="宋体" w:eastAsia="宋体" w:cs="宋体"/>
                <w:color w:val="auto"/>
                <w:sz w:val="21"/>
                <w:szCs w:val="21"/>
              </w:rPr>
            </w:pPr>
          </w:p>
        </w:tc>
        <w:tc>
          <w:tcPr>
            <w:tcW w:w="2051" w:type="dxa"/>
            <w:vMerge w:val="continue"/>
            <w:vAlign w:val="center"/>
          </w:tcPr>
          <w:p>
            <w:pPr>
              <w:jc w:val="center"/>
              <w:rPr>
                <w:rFonts w:hint="eastAsia" w:ascii="宋体" w:hAnsi="宋体" w:eastAsia="宋体" w:cs="宋体"/>
                <w:color w:val="auto"/>
                <w:sz w:val="21"/>
                <w:szCs w:val="21"/>
              </w:rPr>
            </w:pPr>
          </w:p>
        </w:tc>
        <w:tc>
          <w:tcPr>
            <w:tcW w:w="12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05"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pStyle w:val="99"/>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val="0"/>
          <w:color w:val="auto"/>
          <w:sz w:val="24"/>
          <w:szCs w:val="24"/>
        </w:rPr>
      </w:pPr>
      <w:r>
        <w:rPr>
          <w:rFonts w:hint="eastAsia" w:ascii="宋体" w:hAnsi="宋体" w:cs="宋体"/>
          <w:b/>
          <w:bCs w:val="0"/>
          <w:color w:val="auto"/>
          <w:sz w:val="24"/>
          <w:szCs w:val="24"/>
          <w:lang w:eastAsia="zh-CN"/>
        </w:rPr>
        <w:t>（</w:t>
      </w:r>
      <w:r>
        <w:rPr>
          <w:rFonts w:hint="eastAsia" w:ascii="宋体" w:hAnsi="宋体" w:cs="宋体"/>
          <w:b/>
          <w:bCs w:val="0"/>
          <w:color w:val="auto"/>
          <w:sz w:val="24"/>
          <w:szCs w:val="24"/>
          <w:lang w:val="en-US" w:eastAsia="zh-CN"/>
        </w:rPr>
        <w:t>2</w:t>
      </w:r>
      <w:r>
        <w:rPr>
          <w:rFonts w:hint="eastAsia" w:ascii="宋体" w:hAnsi="宋体" w:cs="宋体"/>
          <w:b/>
          <w:bCs w:val="0"/>
          <w:color w:val="auto"/>
          <w:sz w:val="24"/>
          <w:szCs w:val="24"/>
          <w:lang w:eastAsia="zh-CN"/>
        </w:rPr>
        <w:t>）</w:t>
      </w:r>
      <w:r>
        <w:rPr>
          <w:rFonts w:hint="eastAsia" w:ascii="宋体" w:hAnsi="宋体" w:eastAsia="宋体" w:cs="宋体"/>
          <w:b/>
          <w:bCs w:val="0"/>
          <w:color w:val="auto"/>
          <w:sz w:val="24"/>
          <w:szCs w:val="24"/>
        </w:rPr>
        <w:t>滑坡</w:t>
      </w:r>
    </w:p>
    <w:p>
      <w:pPr>
        <w:pStyle w:val="9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highlight w:val="none"/>
        </w:rPr>
        <w:t>①</w:t>
      </w:r>
      <w:r>
        <w:rPr>
          <w:rFonts w:hint="eastAsia" w:ascii="宋体" w:hAnsi="宋体" w:eastAsia="宋体" w:cs="宋体"/>
          <w:bCs/>
          <w:color w:val="auto"/>
          <w:sz w:val="24"/>
          <w:szCs w:val="24"/>
        </w:rPr>
        <w:t>规划露天采场</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highlight w:val="none"/>
        </w:rPr>
        <w:t>矿山闭坑后，在开采境界内可新形成</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个露天采坑，采坑面积为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其中北部采场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南部采场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bCs/>
          <w:color w:val="auto"/>
          <w:sz w:val="24"/>
          <w:szCs w:val="24"/>
          <w:highlight w:val="none"/>
        </w:rPr>
        <w:t>采坑坡面角控制在50°内，台阶开采高度10米，局部土体不稳定地段存在小型滑坡隐患，但其规模性较小，预计危害人数小于20人，危害财产小于100万元，依</w:t>
      </w:r>
      <w:r>
        <w:rPr>
          <w:rFonts w:hint="eastAsia" w:ascii="宋体" w:hAnsi="宋体" w:eastAsia="宋体" w:cs="宋体"/>
          <w:bCs/>
          <w:color w:val="auto"/>
          <w:sz w:val="24"/>
          <w:szCs w:val="24"/>
        </w:rPr>
        <w:t>据表3-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、表3-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、表3-1</w:t>
      </w:r>
      <w:r>
        <w:rPr>
          <w:rFonts w:hint="eastAsia" w:ascii="宋体" w:hAnsi="宋体" w:cs="宋体"/>
          <w:bCs/>
          <w:color w:val="auto"/>
          <w:sz w:val="24"/>
          <w:szCs w:val="24"/>
          <w:lang w:val="en-US" w:eastAsia="zh-CN"/>
        </w:rPr>
        <w:t>1</w:t>
      </w:r>
      <w:r>
        <w:rPr>
          <w:rFonts w:hint="eastAsia" w:ascii="宋体" w:hAnsi="宋体" w:eastAsia="宋体" w:cs="宋体"/>
          <w:bCs/>
          <w:color w:val="auto"/>
          <w:sz w:val="24"/>
          <w:szCs w:val="24"/>
        </w:rPr>
        <w:t>得出的结论，预测评估工程建设中、建设后引发或加剧规划采矿场滑坡灾害的可能性小，发育程度小，危害程度小，危险性小。</w:t>
      </w:r>
    </w:p>
    <w:p>
      <w:pPr>
        <w:pStyle w:val="9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②规划排土场</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Cs/>
          <w:color w:val="auto"/>
          <w:sz w:val="24"/>
          <w:szCs w:val="24"/>
          <w:highlight w:val="yellow"/>
        </w:rPr>
      </w:pPr>
      <w:r>
        <w:rPr>
          <w:rFonts w:hint="eastAsia" w:ascii="宋体" w:hAnsi="宋体" w:eastAsia="宋体" w:cs="宋体"/>
          <w:bCs/>
          <w:color w:val="auto"/>
          <w:sz w:val="24"/>
          <w:szCs w:val="24"/>
          <w:highlight w:val="none"/>
        </w:rPr>
        <w:t>规划排土场位于矿区外南部相对平坦开阔场地，地形坡度5-8°，占地面积约</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公顷，单层压实堆放，平均堆高约3米左右，堆积坡度约45°，堆积量约</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立方米，占用土地类型为裸土地。设计采用分层压实堆放，堆放高度、坡度均较小，不需要切坡工程，不易形成高陡边坡，不易产生石块滑落情况。评估区周边露天</w:t>
      </w:r>
      <w:r>
        <w:rPr>
          <w:rFonts w:hint="eastAsia" w:ascii="宋体" w:hAnsi="宋体" w:eastAsia="宋体" w:cs="宋体"/>
          <w:color w:val="auto"/>
          <w:spacing w:val="-2"/>
          <w:sz w:val="24"/>
          <w:szCs w:val="24"/>
          <w:highlight w:val="none"/>
        </w:rPr>
        <w:t>砖瓦用页岩</w:t>
      </w:r>
      <w:r>
        <w:rPr>
          <w:rFonts w:hint="eastAsia" w:ascii="宋体" w:hAnsi="宋体" w:eastAsia="宋体" w:cs="宋体"/>
          <w:bCs/>
          <w:color w:val="auto"/>
          <w:sz w:val="24"/>
          <w:szCs w:val="24"/>
          <w:highlight w:val="none"/>
        </w:rPr>
        <w:t>矿有同类废石堆放边坡分布但均无发生滑坡灾害，坡面内无坍塌现象。</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依据表3-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、表 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、表3-1</w:t>
      </w:r>
      <w:r>
        <w:rPr>
          <w:rFonts w:hint="eastAsia" w:ascii="宋体" w:hAnsi="宋体" w:cs="宋体"/>
          <w:bCs/>
          <w:color w:val="auto"/>
          <w:sz w:val="24"/>
          <w:szCs w:val="24"/>
          <w:lang w:val="en-US" w:eastAsia="zh-CN"/>
        </w:rPr>
        <w:t>1</w:t>
      </w:r>
      <w:r>
        <w:rPr>
          <w:rFonts w:hint="eastAsia" w:ascii="宋体" w:hAnsi="宋体" w:eastAsia="宋体" w:cs="宋体"/>
          <w:bCs/>
          <w:color w:val="auto"/>
          <w:sz w:val="24"/>
          <w:szCs w:val="24"/>
        </w:rPr>
        <w:t>得出的结论，预测评估废石场不易引发滑坡灾害，危害程度小，危险性小。</w:t>
      </w:r>
    </w:p>
    <w:p>
      <w:pPr>
        <w:pStyle w:val="9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③规划矿山道路</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规划矿山道路均在原始地面上直接修筑，地形坡度约3-5°，无切坡工程，无高陡边坡，依据表3-</w:t>
      </w:r>
      <w:r>
        <w:rPr>
          <w:rFonts w:hint="eastAsia" w:ascii="宋体" w:hAnsi="宋体" w:cs="宋体"/>
          <w:bCs/>
          <w:color w:val="auto"/>
          <w:sz w:val="24"/>
          <w:szCs w:val="24"/>
          <w:highlight w:val="none"/>
          <w:lang w:val="en-US" w:eastAsia="zh-CN"/>
        </w:rPr>
        <w:t>7</w:t>
      </w:r>
      <w:r>
        <w:rPr>
          <w:rFonts w:hint="eastAsia" w:ascii="宋体" w:hAnsi="宋体" w:eastAsia="宋体" w:cs="宋体"/>
          <w:bCs/>
          <w:color w:val="auto"/>
          <w:sz w:val="24"/>
          <w:szCs w:val="24"/>
          <w:highlight w:val="none"/>
        </w:rPr>
        <w:t>、表 3-</w:t>
      </w:r>
      <w:r>
        <w:rPr>
          <w:rFonts w:hint="eastAsia" w:ascii="宋体" w:hAnsi="宋体" w:cs="宋体"/>
          <w:bCs/>
          <w:color w:val="auto"/>
          <w:sz w:val="24"/>
          <w:szCs w:val="24"/>
          <w:highlight w:val="none"/>
          <w:lang w:val="en-US" w:eastAsia="zh-CN"/>
        </w:rPr>
        <w:t>8</w:t>
      </w:r>
      <w:r>
        <w:rPr>
          <w:rFonts w:hint="eastAsia" w:ascii="宋体" w:hAnsi="宋体" w:eastAsia="宋体" w:cs="宋体"/>
          <w:bCs/>
          <w:color w:val="auto"/>
          <w:sz w:val="24"/>
          <w:szCs w:val="24"/>
          <w:highlight w:val="none"/>
        </w:rPr>
        <w:t>、表3-1</w:t>
      </w:r>
      <w:r>
        <w:rPr>
          <w:rFonts w:hint="eastAsia" w:ascii="宋体" w:hAnsi="宋体" w:cs="宋体"/>
          <w:bCs/>
          <w:color w:val="auto"/>
          <w:sz w:val="24"/>
          <w:szCs w:val="24"/>
          <w:highlight w:val="none"/>
          <w:lang w:val="en-US" w:eastAsia="zh-CN"/>
        </w:rPr>
        <w:t>1</w:t>
      </w:r>
      <w:r>
        <w:rPr>
          <w:rFonts w:hint="eastAsia" w:ascii="宋体" w:hAnsi="宋体" w:eastAsia="宋体" w:cs="宋体"/>
          <w:bCs/>
          <w:color w:val="auto"/>
          <w:sz w:val="24"/>
          <w:szCs w:val="24"/>
          <w:highlight w:val="none"/>
        </w:rPr>
        <w:t>得出的结论，预测评估矿山道路不易引发滑坡灾害，危害程度小，危险性小。</w:t>
      </w:r>
    </w:p>
    <w:p>
      <w:pPr>
        <w:pStyle w:val="9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④规划生活区</w:t>
      </w:r>
    </w:p>
    <w:p>
      <w:pPr>
        <w:pStyle w:val="21"/>
        <w:rPr>
          <w:rFonts w:hint="eastAsia"/>
          <w:color w:val="auto"/>
        </w:rPr>
      </w:pPr>
      <w:r>
        <w:rPr>
          <w:rFonts w:hint="eastAsia" w:ascii="宋体" w:hAnsi="宋体" w:eastAsia="宋体" w:cs="宋体"/>
          <w:bCs/>
          <w:color w:val="auto"/>
          <w:sz w:val="24"/>
          <w:szCs w:val="24"/>
          <w:highlight w:val="none"/>
        </w:rPr>
        <w:t>规划办公生活区位于矿区</w:t>
      </w:r>
      <w:r>
        <w:rPr>
          <w:rFonts w:hint="eastAsia" w:ascii="宋体" w:hAnsi="宋体" w:eastAsia="宋体" w:cs="宋体"/>
          <w:bCs/>
          <w:color w:val="auto"/>
          <w:sz w:val="24"/>
          <w:szCs w:val="24"/>
          <w:highlight w:val="none"/>
          <w:lang w:val="en-US" w:eastAsia="zh-CN"/>
        </w:rPr>
        <w:t>外东</w:t>
      </w:r>
      <w:r>
        <w:rPr>
          <w:rFonts w:hint="eastAsia" w:ascii="宋体" w:hAnsi="宋体" w:eastAsia="宋体" w:cs="宋体"/>
          <w:bCs/>
          <w:color w:val="auto"/>
          <w:sz w:val="24"/>
          <w:szCs w:val="24"/>
          <w:highlight w:val="none"/>
        </w:rPr>
        <w:t>部，现状地形坡度约</w:t>
      </w:r>
      <w:r>
        <w:rPr>
          <w:rFonts w:hint="eastAsia" w:ascii="宋体" w:hAnsi="宋体" w:eastAsia="宋体" w:cs="宋体"/>
          <w:bCs/>
          <w:color w:val="auto"/>
          <w:sz w:val="24"/>
          <w:szCs w:val="24"/>
          <w:highlight w:val="none"/>
          <w:lang w:val="en-US" w:eastAsia="zh-CN"/>
        </w:rPr>
        <w:t>3</w:t>
      </w:r>
      <w:r>
        <w:rPr>
          <w:rFonts w:hint="eastAsia" w:ascii="宋体" w:hAnsi="宋体" w:eastAsia="宋体" w:cs="宋体"/>
          <w:bCs/>
          <w:color w:val="auto"/>
          <w:sz w:val="24"/>
          <w:szCs w:val="24"/>
          <w:highlight w:val="none"/>
        </w:rPr>
        <w:t>°，建设前需对场地进行平整。规划办公生活区由办公区、生活区和职工食堂等组成，总占地面积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lang w:val="en-US" w:eastAsia="zh-CN"/>
        </w:rPr>
        <w:t>公顷</w:t>
      </w:r>
      <w:r>
        <w:rPr>
          <w:rFonts w:hint="eastAsia" w:ascii="宋体" w:hAnsi="宋体" w:eastAsia="宋体" w:cs="宋体"/>
          <w:bCs/>
          <w:color w:val="auto"/>
          <w:sz w:val="24"/>
          <w:szCs w:val="24"/>
          <w:highlight w:val="none"/>
        </w:rPr>
        <w:t>。建设过程中只需进行场地平整，无削坡； 依据表3-7、表 3-8得出的结论，预测评估规划办公生活区不易引发</w:t>
      </w:r>
      <w:r>
        <w:rPr>
          <w:rFonts w:hint="eastAsia" w:ascii="宋体" w:hAnsi="宋体" w:eastAsia="宋体" w:cs="宋体"/>
          <w:bCs/>
          <w:color w:val="auto"/>
          <w:sz w:val="24"/>
          <w:szCs w:val="24"/>
        </w:rPr>
        <w:t>滑坡</w:t>
      </w:r>
      <w:r>
        <w:rPr>
          <w:rFonts w:hint="eastAsia" w:ascii="宋体" w:hAnsi="宋体" w:eastAsia="宋体" w:cs="宋体"/>
          <w:bCs/>
          <w:color w:val="auto"/>
          <w:sz w:val="24"/>
          <w:szCs w:val="24"/>
          <w:highlight w:val="none"/>
        </w:rPr>
        <w:t>灾害，危害程度小，危险性小。</w:t>
      </w:r>
    </w:p>
    <w:p>
      <w:pPr>
        <w:pStyle w:val="99"/>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⑤评估区其他区域</w:t>
      </w:r>
    </w:p>
    <w:p>
      <w:pPr>
        <w:keepNext w:val="0"/>
        <w:keepLines w:val="0"/>
        <w:pageBreakBefore w:val="0"/>
        <w:kinsoku/>
        <w:wordWrap/>
        <w:overflowPunct/>
        <w:topLinePunct w:val="0"/>
        <w:autoSpaceDE/>
        <w:autoSpaceDN/>
        <w:bidi w:val="0"/>
        <w:adjustRightInd/>
        <w:snapToGrid/>
        <w:spacing w:line="360" w:lineRule="auto"/>
        <w:ind w:left="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今后露天开采，在评估区内其它区域地表不会有大的挖、填方及切坡工程，不会形成不稳定斜坡，基本不改变现状地形地质条件。预测评估评估区内其他区域不易引发滑坡地质灾害。</w:t>
      </w:r>
    </w:p>
    <w:p>
      <w:pPr>
        <w:keepNext w:val="0"/>
        <w:keepLines w:val="0"/>
        <w:pageBreakBefore w:val="0"/>
        <w:kinsoku/>
        <w:wordWrap/>
        <w:overflowPunct/>
        <w:topLinePunct w:val="0"/>
        <w:autoSpaceDE/>
        <w:autoSpaceDN/>
        <w:bidi w:val="0"/>
        <w:adjustRightInd/>
        <w:snapToGrid/>
        <w:spacing w:line="360" w:lineRule="auto"/>
        <w:ind w:left="0" w:firstLine="482" w:firstLineChars="200"/>
        <w:jc w:val="both"/>
        <w:textAlignment w:val="auto"/>
        <w:rPr>
          <w:rFonts w:hint="eastAsia" w:ascii="宋体" w:hAnsi="宋体" w:eastAsia="宋体" w:cs="宋体"/>
          <w:bCs/>
          <w:color w:val="auto"/>
          <w:sz w:val="24"/>
          <w:szCs w:val="24"/>
        </w:rPr>
      </w:pPr>
      <w:r>
        <w:rPr>
          <w:rFonts w:hint="eastAsia" w:ascii="宋体" w:hAnsi="宋体" w:eastAsia="宋体" w:cs="宋体"/>
          <w:b/>
          <w:color w:val="auto"/>
          <w:sz w:val="24"/>
          <w:szCs w:val="24"/>
        </w:rPr>
        <w:t>结论：</w:t>
      </w:r>
      <w:r>
        <w:rPr>
          <w:rFonts w:hint="eastAsia" w:ascii="宋体" w:hAnsi="宋体" w:eastAsia="宋体" w:cs="宋体"/>
          <w:bCs/>
          <w:color w:val="auto"/>
          <w:sz w:val="24"/>
          <w:szCs w:val="24"/>
        </w:rPr>
        <w:t>依据表3-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、表 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、表3-1</w:t>
      </w:r>
      <w:r>
        <w:rPr>
          <w:rFonts w:hint="eastAsia" w:ascii="宋体" w:hAnsi="宋体" w:cs="宋体"/>
          <w:bCs/>
          <w:color w:val="auto"/>
          <w:sz w:val="24"/>
          <w:szCs w:val="24"/>
          <w:lang w:val="en-US" w:eastAsia="zh-CN"/>
        </w:rPr>
        <w:t>1</w:t>
      </w:r>
      <w:r>
        <w:rPr>
          <w:rFonts w:hint="eastAsia" w:ascii="宋体" w:hAnsi="宋体" w:eastAsia="宋体" w:cs="宋体"/>
          <w:bCs/>
          <w:color w:val="auto"/>
          <w:sz w:val="24"/>
          <w:szCs w:val="24"/>
        </w:rPr>
        <w:t>得出的结论，预测评估工程建设中、建设后规划采矿场开采面引发或加剧滑坡灾害的可能性小，发育程度小，危害程度小，危险性小。其他地面设施、其他区域引发或加剧滑坡灾害</w:t>
      </w:r>
      <w:bookmarkStart w:id="134" w:name="_Hlk96820122"/>
      <w:r>
        <w:rPr>
          <w:rFonts w:hint="eastAsia" w:ascii="宋体" w:hAnsi="宋体" w:eastAsia="宋体" w:cs="宋体"/>
          <w:bCs/>
          <w:color w:val="auto"/>
          <w:sz w:val="24"/>
          <w:szCs w:val="24"/>
        </w:rPr>
        <w:t>的可能性小</w:t>
      </w:r>
      <w:bookmarkEnd w:id="134"/>
      <w:r>
        <w:rPr>
          <w:rFonts w:hint="eastAsia" w:ascii="宋体" w:hAnsi="宋体" w:eastAsia="宋体" w:cs="宋体"/>
          <w:bCs/>
          <w:color w:val="auto"/>
          <w:sz w:val="24"/>
          <w:szCs w:val="24"/>
        </w:rPr>
        <w:t>，发育程度弱，危害程度小，危险性小。</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工程建设中、建设后引发滑坡地质灾害危险性预测评估分级表</w:t>
      </w:r>
    </w:p>
    <w:tbl>
      <w:tblPr>
        <w:tblStyle w:val="53"/>
        <w:tblW w:w="863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6"/>
        <w:gridCol w:w="2017"/>
        <w:gridCol w:w="1229"/>
        <w:gridCol w:w="1269"/>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2736"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工程建设与滑坡的位置关系</w:t>
            </w:r>
          </w:p>
        </w:tc>
        <w:tc>
          <w:tcPr>
            <w:tcW w:w="2017"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工程建设中、建设后引发滑坡的可能性</w:t>
            </w: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1269" w:type="dxa"/>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位于滑坡的影响范围内</w:t>
            </w:r>
          </w:p>
        </w:tc>
        <w:tc>
          <w:tcPr>
            <w:tcW w:w="2017"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269"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spacing w:line="240" w:lineRule="auto"/>
              <w:jc w:val="center"/>
              <w:rPr>
                <w:rFonts w:hint="eastAsia" w:ascii="宋体" w:hAnsi="宋体" w:eastAsia="宋体" w:cs="宋体"/>
                <w:color w:val="auto"/>
                <w:sz w:val="21"/>
                <w:szCs w:val="21"/>
              </w:rPr>
            </w:pPr>
          </w:p>
        </w:tc>
        <w:tc>
          <w:tcPr>
            <w:tcW w:w="2017" w:type="dxa"/>
            <w:vMerge w:val="continue"/>
            <w:vAlign w:val="center"/>
          </w:tcPr>
          <w:p>
            <w:pPr>
              <w:spacing w:line="240" w:lineRule="auto"/>
              <w:jc w:val="center"/>
              <w:rPr>
                <w:rFonts w:hint="eastAsia" w:ascii="宋体" w:hAnsi="宋体" w:eastAsia="宋体" w:cs="宋体"/>
                <w:color w:val="auto"/>
                <w:sz w:val="21"/>
                <w:szCs w:val="21"/>
              </w:rPr>
            </w:pP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269" w:type="dxa"/>
            <w:vMerge w:val="continue"/>
            <w:vAlign w:val="center"/>
          </w:tcPr>
          <w:p>
            <w:pPr>
              <w:spacing w:line="240" w:lineRule="auto"/>
              <w:jc w:val="center"/>
              <w:rPr>
                <w:rFonts w:hint="eastAsia" w:ascii="宋体" w:hAnsi="宋体" w:eastAsia="宋体" w:cs="宋体"/>
                <w:color w:val="auto"/>
                <w:sz w:val="21"/>
                <w:szCs w:val="21"/>
              </w:rPr>
            </w:pP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spacing w:line="240" w:lineRule="auto"/>
              <w:jc w:val="center"/>
              <w:rPr>
                <w:rFonts w:hint="eastAsia" w:ascii="宋体" w:hAnsi="宋体" w:eastAsia="宋体" w:cs="宋体"/>
                <w:color w:val="auto"/>
                <w:sz w:val="21"/>
                <w:szCs w:val="21"/>
              </w:rPr>
            </w:pPr>
          </w:p>
        </w:tc>
        <w:tc>
          <w:tcPr>
            <w:tcW w:w="2017" w:type="dxa"/>
            <w:vMerge w:val="continue"/>
            <w:vAlign w:val="center"/>
          </w:tcPr>
          <w:p>
            <w:pPr>
              <w:spacing w:line="240" w:lineRule="auto"/>
              <w:jc w:val="center"/>
              <w:rPr>
                <w:rFonts w:hint="eastAsia" w:ascii="宋体" w:hAnsi="宋体" w:eastAsia="宋体" w:cs="宋体"/>
                <w:color w:val="auto"/>
                <w:sz w:val="21"/>
                <w:szCs w:val="21"/>
              </w:rPr>
            </w:pP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269" w:type="dxa"/>
            <w:vMerge w:val="continue"/>
            <w:vAlign w:val="center"/>
          </w:tcPr>
          <w:p>
            <w:pPr>
              <w:spacing w:line="240" w:lineRule="auto"/>
              <w:jc w:val="center"/>
              <w:rPr>
                <w:rFonts w:hint="eastAsia" w:ascii="宋体" w:hAnsi="宋体" w:eastAsia="宋体" w:cs="宋体"/>
                <w:color w:val="auto"/>
                <w:sz w:val="21"/>
                <w:szCs w:val="21"/>
              </w:rPr>
            </w:pP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临近滑坡影响范围</w:t>
            </w:r>
          </w:p>
        </w:tc>
        <w:tc>
          <w:tcPr>
            <w:tcW w:w="2017"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269"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spacing w:line="240" w:lineRule="auto"/>
              <w:jc w:val="center"/>
              <w:rPr>
                <w:rFonts w:hint="eastAsia" w:ascii="宋体" w:hAnsi="宋体" w:eastAsia="宋体" w:cs="宋体"/>
                <w:color w:val="auto"/>
                <w:sz w:val="21"/>
                <w:szCs w:val="21"/>
              </w:rPr>
            </w:pPr>
          </w:p>
        </w:tc>
        <w:tc>
          <w:tcPr>
            <w:tcW w:w="2017" w:type="dxa"/>
            <w:vMerge w:val="continue"/>
            <w:vAlign w:val="center"/>
          </w:tcPr>
          <w:p>
            <w:pPr>
              <w:spacing w:line="240" w:lineRule="auto"/>
              <w:jc w:val="center"/>
              <w:rPr>
                <w:rFonts w:hint="eastAsia" w:ascii="宋体" w:hAnsi="宋体" w:eastAsia="宋体" w:cs="宋体"/>
                <w:color w:val="auto"/>
                <w:sz w:val="21"/>
                <w:szCs w:val="21"/>
              </w:rPr>
            </w:pP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269" w:type="dxa"/>
            <w:vMerge w:val="continue"/>
            <w:vAlign w:val="center"/>
          </w:tcPr>
          <w:p>
            <w:pPr>
              <w:spacing w:line="240" w:lineRule="auto"/>
              <w:jc w:val="center"/>
              <w:rPr>
                <w:rFonts w:hint="eastAsia" w:ascii="宋体" w:hAnsi="宋体" w:eastAsia="宋体" w:cs="宋体"/>
                <w:color w:val="auto"/>
                <w:sz w:val="21"/>
                <w:szCs w:val="21"/>
              </w:rPr>
            </w:pP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spacing w:line="240" w:lineRule="auto"/>
              <w:jc w:val="center"/>
              <w:rPr>
                <w:rFonts w:hint="eastAsia" w:ascii="宋体" w:hAnsi="宋体" w:eastAsia="宋体" w:cs="宋体"/>
                <w:color w:val="auto"/>
                <w:sz w:val="21"/>
                <w:szCs w:val="21"/>
              </w:rPr>
            </w:pPr>
          </w:p>
        </w:tc>
        <w:tc>
          <w:tcPr>
            <w:tcW w:w="2017" w:type="dxa"/>
            <w:vMerge w:val="continue"/>
            <w:vAlign w:val="center"/>
          </w:tcPr>
          <w:p>
            <w:pPr>
              <w:spacing w:line="240" w:lineRule="auto"/>
              <w:jc w:val="center"/>
              <w:rPr>
                <w:rFonts w:hint="eastAsia" w:ascii="宋体" w:hAnsi="宋体" w:eastAsia="宋体" w:cs="宋体"/>
                <w:color w:val="auto"/>
                <w:sz w:val="21"/>
                <w:szCs w:val="21"/>
              </w:rPr>
            </w:pP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269" w:type="dxa"/>
            <w:vMerge w:val="continue"/>
            <w:vAlign w:val="center"/>
          </w:tcPr>
          <w:p>
            <w:pPr>
              <w:spacing w:line="240" w:lineRule="auto"/>
              <w:jc w:val="center"/>
              <w:rPr>
                <w:rFonts w:hint="eastAsia" w:ascii="宋体" w:hAnsi="宋体" w:eastAsia="宋体" w:cs="宋体"/>
                <w:color w:val="auto"/>
                <w:sz w:val="21"/>
                <w:szCs w:val="21"/>
              </w:rPr>
            </w:pP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位于滑坡影响范围外</w:t>
            </w:r>
          </w:p>
        </w:tc>
        <w:tc>
          <w:tcPr>
            <w:tcW w:w="2017"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269" w:type="dxa"/>
            <w:vMerge w:val="restart"/>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spacing w:line="240" w:lineRule="auto"/>
              <w:jc w:val="center"/>
              <w:rPr>
                <w:rFonts w:hint="eastAsia" w:ascii="宋体" w:hAnsi="宋体" w:eastAsia="宋体" w:cs="宋体"/>
                <w:color w:val="auto"/>
                <w:sz w:val="21"/>
                <w:szCs w:val="21"/>
              </w:rPr>
            </w:pPr>
          </w:p>
        </w:tc>
        <w:tc>
          <w:tcPr>
            <w:tcW w:w="2017" w:type="dxa"/>
            <w:vMerge w:val="continue"/>
            <w:vAlign w:val="center"/>
          </w:tcPr>
          <w:p>
            <w:pPr>
              <w:spacing w:line="240" w:lineRule="auto"/>
              <w:jc w:val="center"/>
              <w:rPr>
                <w:rFonts w:hint="eastAsia" w:ascii="宋体" w:hAnsi="宋体" w:eastAsia="宋体" w:cs="宋体"/>
                <w:color w:val="auto"/>
                <w:sz w:val="21"/>
                <w:szCs w:val="21"/>
              </w:rPr>
            </w:pP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269" w:type="dxa"/>
            <w:vMerge w:val="continue"/>
            <w:vAlign w:val="center"/>
          </w:tcPr>
          <w:p>
            <w:pPr>
              <w:spacing w:line="240" w:lineRule="auto"/>
              <w:jc w:val="center"/>
              <w:rPr>
                <w:rFonts w:hint="eastAsia" w:ascii="宋体" w:hAnsi="宋体" w:eastAsia="宋体" w:cs="宋体"/>
                <w:color w:val="auto"/>
                <w:sz w:val="21"/>
                <w:szCs w:val="21"/>
              </w:rPr>
            </w:pP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736" w:type="dxa"/>
            <w:vMerge w:val="continue"/>
            <w:vAlign w:val="center"/>
          </w:tcPr>
          <w:p>
            <w:pPr>
              <w:spacing w:line="240" w:lineRule="auto"/>
              <w:jc w:val="center"/>
              <w:rPr>
                <w:rFonts w:hint="eastAsia" w:ascii="宋体" w:hAnsi="宋体" w:eastAsia="宋体" w:cs="宋体"/>
                <w:color w:val="auto"/>
                <w:sz w:val="21"/>
                <w:szCs w:val="21"/>
              </w:rPr>
            </w:pPr>
          </w:p>
        </w:tc>
        <w:tc>
          <w:tcPr>
            <w:tcW w:w="2017" w:type="dxa"/>
            <w:vMerge w:val="continue"/>
            <w:vAlign w:val="center"/>
          </w:tcPr>
          <w:p>
            <w:pPr>
              <w:spacing w:line="240" w:lineRule="auto"/>
              <w:jc w:val="center"/>
              <w:rPr>
                <w:rFonts w:hint="eastAsia" w:ascii="宋体" w:hAnsi="宋体" w:eastAsia="宋体" w:cs="宋体"/>
                <w:color w:val="auto"/>
                <w:sz w:val="21"/>
                <w:szCs w:val="21"/>
              </w:rPr>
            </w:pPr>
          </w:p>
        </w:tc>
        <w:tc>
          <w:tcPr>
            <w:tcW w:w="1229"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269" w:type="dxa"/>
            <w:vMerge w:val="continue"/>
            <w:vAlign w:val="center"/>
          </w:tcPr>
          <w:p>
            <w:pPr>
              <w:spacing w:line="240" w:lineRule="auto"/>
              <w:jc w:val="center"/>
              <w:rPr>
                <w:rFonts w:hint="eastAsia" w:ascii="宋体" w:hAnsi="宋体" w:eastAsia="宋体" w:cs="宋体"/>
                <w:color w:val="auto"/>
                <w:sz w:val="21"/>
                <w:szCs w:val="21"/>
              </w:rPr>
            </w:pPr>
          </w:p>
        </w:tc>
        <w:tc>
          <w:tcPr>
            <w:tcW w:w="1382" w:type="dxa"/>
            <w:noWrap/>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（3）泥石流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评估区内无常年性地表流水，开采矿体位于山坡处，且山体基岩裸露，排泄条件较好，自然环境下形成泥石流的可能性小。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依据表3-</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、表 3-</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得出的结论，预测评估工程建设中、建设后引发或加剧</w:t>
      </w:r>
      <w:bookmarkStart w:id="135" w:name="_Hlk96819925"/>
      <w:r>
        <w:rPr>
          <w:rFonts w:hint="eastAsia" w:ascii="宋体" w:hAnsi="宋体" w:eastAsia="宋体" w:cs="宋体"/>
          <w:bCs/>
          <w:color w:val="auto"/>
          <w:sz w:val="24"/>
          <w:szCs w:val="24"/>
        </w:rPr>
        <w:t>泥石流地质灾害</w:t>
      </w:r>
      <w:bookmarkEnd w:id="135"/>
      <w:r>
        <w:rPr>
          <w:rFonts w:hint="eastAsia" w:ascii="宋体" w:hAnsi="宋体" w:eastAsia="宋体" w:cs="宋体"/>
          <w:bCs/>
          <w:color w:val="auto"/>
          <w:sz w:val="24"/>
          <w:szCs w:val="24"/>
        </w:rPr>
        <w:t>的可能性小，发育程度弱，危害程度小，危险性小。</w:t>
      </w:r>
    </w:p>
    <w:p>
      <w:pPr>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eastAsia="宋体" w:cs="宋体"/>
          <w:b/>
          <w:bCs/>
          <w:color w:val="auto"/>
          <w:sz w:val="21"/>
          <w:szCs w:val="21"/>
          <w:lang w:val="en-US" w:eastAsia="zh-CN"/>
        </w:rPr>
        <w:t>5</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工程建设中、建设后引发泥石流地质灾害危险性预测评估分级表</w:t>
      </w:r>
    </w:p>
    <w:tbl>
      <w:tblPr>
        <w:tblStyle w:val="53"/>
        <w:tblW w:w="87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2178"/>
        <w:gridCol w:w="1173"/>
        <w:gridCol w:w="1115"/>
        <w:gridCol w:w="13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294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工程建设与泥石流的位置关系</w:t>
            </w:r>
          </w:p>
        </w:tc>
        <w:tc>
          <w:tcPr>
            <w:tcW w:w="217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工程建设中、建设后引发泥石流的可能性</w:t>
            </w: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111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位于泥石流的影响范围内，弃渣量大，堵塞沟道，水源丰富</w:t>
            </w:r>
          </w:p>
        </w:tc>
        <w:tc>
          <w:tcPr>
            <w:tcW w:w="217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11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continue"/>
            <w:vAlign w:val="center"/>
          </w:tcPr>
          <w:p>
            <w:pPr>
              <w:jc w:val="center"/>
              <w:rPr>
                <w:rFonts w:hint="eastAsia" w:ascii="宋体" w:hAnsi="宋体" w:eastAsia="宋体" w:cs="宋体"/>
                <w:color w:val="auto"/>
                <w:sz w:val="21"/>
                <w:szCs w:val="21"/>
              </w:rPr>
            </w:pPr>
          </w:p>
        </w:tc>
        <w:tc>
          <w:tcPr>
            <w:tcW w:w="2178" w:type="dxa"/>
            <w:vMerge w:val="continue"/>
            <w:vAlign w:val="center"/>
          </w:tcPr>
          <w:p>
            <w:pPr>
              <w:jc w:val="center"/>
              <w:rPr>
                <w:rFonts w:hint="eastAsia" w:ascii="宋体" w:hAnsi="宋体" w:eastAsia="宋体" w:cs="宋体"/>
                <w:color w:val="auto"/>
                <w:sz w:val="21"/>
                <w:szCs w:val="21"/>
              </w:rPr>
            </w:pP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115" w:type="dxa"/>
            <w:vMerge w:val="continue"/>
            <w:vAlign w:val="center"/>
          </w:tcPr>
          <w:p>
            <w:pPr>
              <w:jc w:val="center"/>
              <w:rPr>
                <w:rFonts w:hint="eastAsia" w:ascii="宋体" w:hAnsi="宋体" w:eastAsia="宋体" w:cs="宋体"/>
                <w:color w:val="auto"/>
                <w:sz w:val="21"/>
                <w:szCs w:val="21"/>
              </w:rPr>
            </w:pP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continue"/>
            <w:vAlign w:val="center"/>
          </w:tcPr>
          <w:p>
            <w:pPr>
              <w:jc w:val="center"/>
              <w:rPr>
                <w:rFonts w:hint="eastAsia" w:ascii="宋体" w:hAnsi="宋体" w:eastAsia="宋体" w:cs="宋体"/>
                <w:color w:val="auto"/>
                <w:sz w:val="21"/>
                <w:szCs w:val="21"/>
              </w:rPr>
            </w:pPr>
          </w:p>
        </w:tc>
        <w:tc>
          <w:tcPr>
            <w:tcW w:w="2178" w:type="dxa"/>
            <w:vMerge w:val="continue"/>
            <w:vAlign w:val="center"/>
          </w:tcPr>
          <w:p>
            <w:pPr>
              <w:jc w:val="center"/>
              <w:rPr>
                <w:rFonts w:hint="eastAsia" w:ascii="宋体" w:hAnsi="宋体" w:eastAsia="宋体" w:cs="宋体"/>
                <w:color w:val="auto"/>
                <w:sz w:val="21"/>
                <w:szCs w:val="21"/>
              </w:rPr>
            </w:pP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115" w:type="dxa"/>
            <w:vMerge w:val="continue"/>
            <w:vAlign w:val="center"/>
          </w:tcPr>
          <w:p>
            <w:pPr>
              <w:jc w:val="center"/>
              <w:rPr>
                <w:rFonts w:hint="eastAsia" w:ascii="宋体" w:hAnsi="宋体" w:eastAsia="宋体" w:cs="宋体"/>
                <w:color w:val="auto"/>
                <w:sz w:val="21"/>
                <w:szCs w:val="21"/>
              </w:rPr>
            </w:pP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临近泥石流影响范围，弃渣量小，沟道基本通畅，水源较丰富</w:t>
            </w:r>
          </w:p>
        </w:tc>
        <w:tc>
          <w:tcPr>
            <w:tcW w:w="217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11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continue"/>
            <w:vAlign w:val="center"/>
          </w:tcPr>
          <w:p>
            <w:pPr>
              <w:jc w:val="center"/>
              <w:rPr>
                <w:rFonts w:hint="eastAsia" w:ascii="宋体" w:hAnsi="宋体" w:eastAsia="宋体" w:cs="宋体"/>
                <w:color w:val="auto"/>
                <w:sz w:val="21"/>
                <w:szCs w:val="21"/>
              </w:rPr>
            </w:pPr>
          </w:p>
        </w:tc>
        <w:tc>
          <w:tcPr>
            <w:tcW w:w="2178" w:type="dxa"/>
            <w:vMerge w:val="continue"/>
            <w:vAlign w:val="center"/>
          </w:tcPr>
          <w:p>
            <w:pPr>
              <w:jc w:val="center"/>
              <w:rPr>
                <w:rFonts w:hint="eastAsia" w:ascii="宋体" w:hAnsi="宋体" w:eastAsia="宋体" w:cs="宋体"/>
                <w:color w:val="auto"/>
                <w:sz w:val="21"/>
                <w:szCs w:val="21"/>
              </w:rPr>
            </w:pP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115" w:type="dxa"/>
            <w:vMerge w:val="continue"/>
            <w:vAlign w:val="center"/>
          </w:tcPr>
          <w:p>
            <w:pPr>
              <w:jc w:val="center"/>
              <w:rPr>
                <w:rFonts w:hint="eastAsia" w:ascii="宋体" w:hAnsi="宋体" w:eastAsia="宋体" w:cs="宋体"/>
                <w:color w:val="auto"/>
                <w:sz w:val="21"/>
                <w:szCs w:val="21"/>
              </w:rPr>
            </w:pP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continue"/>
            <w:vAlign w:val="center"/>
          </w:tcPr>
          <w:p>
            <w:pPr>
              <w:jc w:val="center"/>
              <w:rPr>
                <w:rFonts w:hint="eastAsia" w:ascii="宋体" w:hAnsi="宋体" w:eastAsia="宋体" w:cs="宋体"/>
                <w:color w:val="auto"/>
                <w:sz w:val="21"/>
                <w:szCs w:val="21"/>
              </w:rPr>
            </w:pPr>
          </w:p>
        </w:tc>
        <w:tc>
          <w:tcPr>
            <w:tcW w:w="2178" w:type="dxa"/>
            <w:vMerge w:val="continue"/>
            <w:vAlign w:val="center"/>
          </w:tcPr>
          <w:p>
            <w:pPr>
              <w:jc w:val="center"/>
              <w:rPr>
                <w:rFonts w:hint="eastAsia" w:ascii="宋体" w:hAnsi="宋体" w:eastAsia="宋体" w:cs="宋体"/>
                <w:color w:val="auto"/>
                <w:sz w:val="21"/>
                <w:szCs w:val="21"/>
              </w:rPr>
            </w:pP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115" w:type="dxa"/>
            <w:vMerge w:val="continue"/>
            <w:vAlign w:val="center"/>
          </w:tcPr>
          <w:p>
            <w:pPr>
              <w:jc w:val="center"/>
              <w:rPr>
                <w:rFonts w:hint="eastAsia" w:ascii="宋体" w:hAnsi="宋体" w:eastAsia="宋体" w:cs="宋体"/>
                <w:color w:val="auto"/>
                <w:sz w:val="21"/>
                <w:szCs w:val="21"/>
              </w:rPr>
            </w:pP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位于泥石流影响范围外，无弃渣，沟道通畅，水源较少</w:t>
            </w:r>
          </w:p>
        </w:tc>
        <w:tc>
          <w:tcPr>
            <w:tcW w:w="217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11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continue"/>
            <w:vAlign w:val="center"/>
          </w:tcPr>
          <w:p>
            <w:pPr>
              <w:jc w:val="center"/>
              <w:rPr>
                <w:rFonts w:hint="eastAsia" w:ascii="宋体" w:hAnsi="宋体" w:eastAsia="宋体" w:cs="宋体"/>
                <w:color w:val="auto"/>
                <w:sz w:val="21"/>
                <w:szCs w:val="21"/>
              </w:rPr>
            </w:pPr>
          </w:p>
        </w:tc>
        <w:tc>
          <w:tcPr>
            <w:tcW w:w="2178" w:type="dxa"/>
            <w:vMerge w:val="continue"/>
            <w:vAlign w:val="center"/>
          </w:tcPr>
          <w:p>
            <w:pPr>
              <w:jc w:val="center"/>
              <w:rPr>
                <w:rFonts w:hint="eastAsia" w:ascii="宋体" w:hAnsi="宋体" w:eastAsia="宋体" w:cs="宋体"/>
                <w:color w:val="auto"/>
                <w:sz w:val="21"/>
                <w:szCs w:val="21"/>
              </w:rPr>
            </w:pP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115" w:type="dxa"/>
            <w:vMerge w:val="continue"/>
            <w:vAlign w:val="center"/>
          </w:tcPr>
          <w:p>
            <w:pPr>
              <w:jc w:val="center"/>
              <w:rPr>
                <w:rFonts w:hint="eastAsia" w:ascii="宋体" w:hAnsi="宋体" w:eastAsia="宋体" w:cs="宋体"/>
                <w:color w:val="auto"/>
                <w:sz w:val="21"/>
                <w:szCs w:val="21"/>
              </w:rPr>
            </w:pP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946" w:type="dxa"/>
            <w:vMerge w:val="continue"/>
            <w:vAlign w:val="center"/>
          </w:tcPr>
          <w:p>
            <w:pPr>
              <w:jc w:val="center"/>
              <w:rPr>
                <w:rFonts w:hint="eastAsia" w:ascii="宋体" w:hAnsi="宋体" w:eastAsia="宋体" w:cs="宋体"/>
                <w:color w:val="auto"/>
                <w:sz w:val="21"/>
                <w:szCs w:val="21"/>
              </w:rPr>
            </w:pPr>
          </w:p>
        </w:tc>
        <w:tc>
          <w:tcPr>
            <w:tcW w:w="2178" w:type="dxa"/>
            <w:vMerge w:val="continue"/>
            <w:vAlign w:val="center"/>
          </w:tcPr>
          <w:p>
            <w:pPr>
              <w:jc w:val="center"/>
              <w:rPr>
                <w:rFonts w:hint="eastAsia" w:ascii="宋体" w:hAnsi="宋体" w:eastAsia="宋体" w:cs="宋体"/>
                <w:color w:val="auto"/>
                <w:sz w:val="21"/>
                <w:szCs w:val="21"/>
              </w:rPr>
            </w:pPr>
          </w:p>
        </w:tc>
        <w:tc>
          <w:tcPr>
            <w:tcW w:w="117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115" w:type="dxa"/>
            <w:vMerge w:val="continue"/>
            <w:vAlign w:val="center"/>
          </w:tcPr>
          <w:p>
            <w:pPr>
              <w:jc w:val="center"/>
              <w:rPr>
                <w:rFonts w:hint="eastAsia" w:ascii="宋体" w:hAnsi="宋体" w:eastAsia="宋体" w:cs="宋体"/>
                <w:color w:val="auto"/>
                <w:sz w:val="21"/>
                <w:szCs w:val="21"/>
              </w:rPr>
            </w:pPr>
          </w:p>
        </w:tc>
        <w:tc>
          <w:tcPr>
            <w:tcW w:w="1363"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（4）地面塌陷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根据矿产资源开发利用，矿山采用露天开采，不会产生地下采空区，不具备发生采空塌陷的地质环境条件。根据工程建设中、建设后引发采空塌陷地质灾害危险性预测评估分级表（表3-1</w:t>
      </w:r>
      <w:r>
        <w:rPr>
          <w:rFonts w:hint="eastAsia" w:ascii="宋体" w:hAnsi="宋体" w:cs="宋体"/>
          <w:bCs/>
          <w:color w:val="auto"/>
          <w:sz w:val="24"/>
          <w:szCs w:val="24"/>
          <w:lang w:val="en-US" w:eastAsia="zh-CN"/>
        </w:rPr>
        <w:t>6</w:t>
      </w:r>
      <w:r>
        <w:rPr>
          <w:rFonts w:hint="eastAsia" w:ascii="宋体" w:hAnsi="宋体" w:eastAsia="宋体" w:cs="宋体"/>
          <w:bCs/>
          <w:color w:val="auto"/>
          <w:sz w:val="24"/>
          <w:szCs w:val="24"/>
        </w:rPr>
        <w:t>），预测评估工程建设位于采空塌陷影响范围外，工程建设中、建设后引发采空塌陷地质灾害的可能性小，发育程度弱，危害程度小，危险性小。</w:t>
      </w:r>
    </w:p>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eastAsia="宋体" w:cs="宋体"/>
          <w:b/>
          <w:bCs/>
          <w:color w:val="auto"/>
          <w:sz w:val="21"/>
          <w:szCs w:val="21"/>
          <w:lang w:val="en-US" w:eastAsia="zh-CN"/>
        </w:rPr>
        <w:t>6</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工程建设中、建设后引发岩溶塌陷地质灾害危险性预测评估分级表</w:t>
      </w:r>
    </w:p>
    <w:tbl>
      <w:tblPr>
        <w:tblStyle w:val="53"/>
        <w:tblW w:w="879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6"/>
        <w:gridCol w:w="2530"/>
        <w:gridCol w:w="1056"/>
        <w:gridCol w:w="782"/>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31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工程建设与岩溶塌陷的位置关系</w:t>
            </w:r>
          </w:p>
        </w:tc>
        <w:tc>
          <w:tcPr>
            <w:tcW w:w="253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工程建设中、建设后引发岩溶塌陷的可能性</w:t>
            </w: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78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位于岩溶塌陷影响范围内</w:t>
            </w:r>
          </w:p>
        </w:tc>
        <w:tc>
          <w:tcPr>
            <w:tcW w:w="253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782"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continue"/>
            <w:vAlign w:val="center"/>
          </w:tcPr>
          <w:p>
            <w:pPr>
              <w:jc w:val="center"/>
              <w:rPr>
                <w:rFonts w:hint="eastAsia" w:ascii="宋体" w:hAnsi="宋体" w:eastAsia="宋体" w:cs="宋体"/>
                <w:color w:val="auto"/>
                <w:sz w:val="21"/>
                <w:szCs w:val="21"/>
              </w:rPr>
            </w:pPr>
          </w:p>
        </w:tc>
        <w:tc>
          <w:tcPr>
            <w:tcW w:w="2530" w:type="dxa"/>
            <w:vMerge w:val="continue"/>
            <w:vAlign w:val="center"/>
          </w:tcPr>
          <w:p>
            <w:pPr>
              <w:jc w:val="center"/>
              <w:rPr>
                <w:rFonts w:hint="eastAsia" w:ascii="宋体" w:hAnsi="宋体" w:eastAsia="宋体" w:cs="宋体"/>
                <w:color w:val="auto"/>
                <w:sz w:val="21"/>
                <w:szCs w:val="21"/>
              </w:rPr>
            </w:pP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782" w:type="dxa"/>
            <w:vMerge w:val="continue"/>
            <w:vAlign w:val="center"/>
          </w:tcPr>
          <w:p>
            <w:pPr>
              <w:jc w:val="center"/>
              <w:rPr>
                <w:rFonts w:hint="eastAsia" w:ascii="宋体" w:hAnsi="宋体" w:eastAsia="宋体" w:cs="宋体"/>
                <w:color w:val="auto"/>
                <w:sz w:val="21"/>
                <w:szCs w:val="21"/>
              </w:rPr>
            </w:pP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continue"/>
            <w:vAlign w:val="center"/>
          </w:tcPr>
          <w:p>
            <w:pPr>
              <w:jc w:val="center"/>
              <w:rPr>
                <w:rFonts w:hint="eastAsia" w:ascii="宋体" w:hAnsi="宋体" w:eastAsia="宋体" w:cs="宋体"/>
                <w:color w:val="auto"/>
                <w:sz w:val="21"/>
                <w:szCs w:val="21"/>
              </w:rPr>
            </w:pPr>
          </w:p>
        </w:tc>
        <w:tc>
          <w:tcPr>
            <w:tcW w:w="2530" w:type="dxa"/>
            <w:vMerge w:val="continue"/>
            <w:vAlign w:val="center"/>
          </w:tcPr>
          <w:p>
            <w:pPr>
              <w:jc w:val="center"/>
              <w:rPr>
                <w:rFonts w:hint="eastAsia" w:ascii="宋体" w:hAnsi="宋体" w:eastAsia="宋体" w:cs="宋体"/>
                <w:color w:val="auto"/>
                <w:sz w:val="21"/>
                <w:szCs w:val="21"/>
              </w:rPr>
            </w:pP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782" w:type="dxa"/>
            <w:vMerge w:val="continue"/>
            <w:vAlign w:val="center"/>
          </w:tcPr>
          <w:p>
            <w:pPr>
              <w:jc w:val="center"/>
              <w:rPr>
                <w:rFonts w:hint="eastAsia" w:ascii="宋体" w:hAnsi="宋体" w:eastAsia="宋体" w:cs="宋体"/>
                <w:color w:val="auto"/>
                <w:sz w:val="21"/>
                <w:szCs w:val="21"/>
              </w:rPr>
            </w:pP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临近岩溶塌陷影响范围内</w:t>
            </w:r>
          </w:p>
        </w:tc>
        <w:tc>
          <w:tcPr>
            <w:tcW w:w="253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782"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continue"/>
            <w:vAlign w:val="center"/>
          </w:tcPr>
          <w:p>
            <w:pPr>
              <w:jc w:val="center"/>
              <w:rPr>
                <w:rFonts w:hint="eastAsia" w:ascii="宋体" w:hAnsi="宋体" w:eastAsia="宋体" w:cs="宋体"/>
                <w:color w:val="auto"/>
                <w:sz w:val="21"/>
                <w:szCs w:val="21"/>
              </w:rPr>
            </w:pPr>
          </w:p>
        </w:tc>
        <w:tc>
          <w:tcPr>
            <w:tcW w:w="2530" w:type="dxa"/>
            <w:vMerge w:val="continue"/>
            <w:vAlign w:val="center"/>
          </w:tcPr>
          <w:p>
            <w:pPr>
              <w:jc w:val="center"/>
              <w:rPr>
                <w:rFonts w:hint="eastAsia" w:ascii="宋体" w:hAnsi="宋体" w:eastAsia="宋体" w:cs="宋体"/>
                <w:color w:val="auto"/>
                <w:sz w:val="21"/>
                <w:szCs w:val="21"/>
              </w:rPr>
            </w:pP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782" w:type="dxa"/>
            <w:vMerge w:val="continue"/>
            <w:vAlign w:val="center"/>
          </w:tcPr>
          <w:p>
            <w:pPr>
              <w:jc w:val="center"/>
              <w:rPr>
                <w:rFonts w:hint="eastAsia" w:ascii="宋体" w:hAnsi="宋体" w:eastAsia="宋体" w:cs="宋体"/>
                <w:color w:val="auto"/>
                <w:sz w:val="21"/>
                <w:szCs w:val="21"/>
              </w:rPr>
            </w:pP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continue"/>
            <w:vAlign w:val="center"/>
          </w:tcPr>
          <w:p>
            <w:pPr>
              <w:jc w:val="center"/>
              <w:rPr>
                <w:rFonts w:hint="eastAsia" w:ascii="宋体" w:hAnsi="宋体" w:eastAsia="宋体" w:cs="宋体"/>
                <w:color w:val="auto"/>
                <w:sz w:val="21"/>
                <w:szCs w:val="21"/>
              </w:rPr>
            </w:pPr>
          </w:p>
        </w:tc>
        <w:tc>
          <w:tcPr>
            <w:tcW w:w="2530" w:type="dxa"/>
            <w:vMerge w:val="continue"/>
            <w:vAlign w:val="center"/>
          </w:tcPr>
          <w:p>
            <w:pPr>
              <w:jc w:val="center"/>
              <w:rPr>
                <w:rFonts w:hint="eastAsia" w:ascii="宋体" w:hAnsi="宋体" w:eastAsia="宋体" w:cs="宋体"/>
                <w:color w:val="auto"/>
                <w:sz w:val="21"/>
                <w:szCs w:val="21"/>
              </w:rPr>
            </w:pP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782" w:type="dxa"/>
            <w:vMerge w:val="continue"/>
            <w:vAlign w:val="center"/>
          </w:tcPr>
          <w:p>
            <w:pPr>
              <w:jc w:val="center"/>
              <w:rPr>
                <w:rFonts w:hint="eastAsia" w:ascii="宋体" w:hAnsi="宋体" w:eastAsia="宋体" w:cs="宋体"/>
                <w:color w:val="auto"/>
                <w:sz w:val="21"/>
                <w:szCs w:val="21"/>
              </w:rPr>
            </w:pP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位于岩溶塌陷影响范围外</w:t>
            </w:r>
          </w:p>
        </w:tc>
        <w:tc>
          <w:tcPr>
            <w:tcW w:w="253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782"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continue"/>
            <w:vAlign w:val="center"/>
          </w:tcPr>
          <w:p>
            <w:pPr>
              <w:jc w:val="center"/>
              <w:rPr>
                <w:rFonts w:hint="eastAsia" w:ascii="宋体" w:hAnsi="宋体" w:eastAsia="宋体" w:cs="宋体"/>
                <w:color w:val="auto"/>
                <w:sz w:val="21"/>
                <w:szCs w:val="21"/>
              </w:rPr>
            </w:pPr>
          </w:p>
        </w:tc>
        <w:tc>
          <w:tcPr>
            <w:tcW w:w="2530" w:type="dxa"/>
            <w:vMerge w:val="continue"/>
            <w:vAlign w:val="center"/>
          </w:tcPr>
          <w:p>
            <w:pPr>
              <w:jc w:val="center"/>
              <w:rPr>
                <w:rFonts w:hint="eastAsia" w:ascii="宋体" w:hAnsi="宋体" w:eastAsia="宋体" w:cs="宋体"/>
                <w:color w:val="auto"/>
                <w:sz w:val="21"/>
                <w:szCs w:val="21"/>
              </w:rPr>
            </w:pP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782" w:type="dxa"/>
            <w:vMerge w:val="continue"/>
            <w:vAlign w:val="center"/>
          </w:tcPr>
          <w:p>
            <w:pPr>
              <w:jc w:val="center"/>
              <w:rPr>
                <w:rFonts w:hint="eastAsia" w:ascii="宋体" w:hAnsi="宋体" w:eastAsia="宋体" w:cs="宋体"/>
                <w:color w:val="auto"/>
                <w:sz w:val="21"/>
                <w:szCs w:val="21"/>
              </w:rPr>
            </w:pP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156" w:type="dxa"/>
            <w:vMerge w:val="continue"/>
            <w:vAlign w:val="center"/>
          </w:tcPr>
          <w:p>
            <w:pPr>
              <w:jc w:val="center"/>
              <w:rPr>
                <w:rFonts w:hint="eastAsia" w:ascii="宋体" w:hAnsi="宋体" w:eastAsia="宋体" w:cs="宋体"/>
                <w:color w:val="auto"/>
                <w:sz w:val="21"/>
                <w:szCs w:val="21"/>
              </w:rPr>
            </w:pPr>
          </w:p>
        </w:tc>
        <w:tc>
          <w:tcPr>
            <w:tcW w:w="2530" w:type="dxa"/>
            <w:vMerge w:val="continue"/>
            <w:vAlign w:val="center"/>
          </w:tcPr>
          <w:p>
            <w:pPr>
              <w:jc w:val="center"/>
              <w:rPr>
                <w:rFonts w:hint="eastAsia" w:ascii="宋体" w:hAnsi="宋体" w:eastAsia="宋体" w:cs="宋体"/>
                <w:color w:val="auto"/>
                <w:sz w:val="21"/>
                <w:szCs w:val="21"/>
              </w:rPr>
            </w:pPr>
          </w:p>
        </w:tc>
        <w:tc>
          <w:tcPr>
            <w:tcW w:w="105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782" w:type="dxa"/>
            <w:vMerge w:val="continue"/>
            <w:vAlign w:val="center"/>
          </w:tcPr>
          <w:p>
            <w:pPr>
              <w:jc w:val="center"/>
              <w:rPr>
                <w:rFonts w:hint="eastAsia" w:ascii="宋体" w:hAnsi="宋体" w:eastAsia="宋体" w:cs="宋体"/>
                <w:color w:val="auto"/>
                <w:sz w:val="21"/>
                <w:szCs w:val="21"/>
              </w:rPr>
            </w:pPr>
          </w:p>
        </w:tc>
        <w:tc>
          <w:tcPr>
            <w:tcW w:w="12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（5）地面沉降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地下水类型为第四系松散岩类孔隙水，矿体位于最低侵蚀面以上，矿山开采位于地下水位之上。开采后没有疏干地下水，也没有对地下水含水层进行破坏，根据工程建设中、建设后引发地面沉降地质灾害危险性预测评估分级表（3-1</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），预测评估工程建设位于岩溶塌陷影响范围外，工程建设中、建设后引发地面沉降地质灾害的可能性小，发育程度弱，危害程度小，危险性小。</w:t>
      </w:r>
    </w:p>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cs="宋体"/>
          <w:b/>
          <w:bCs/>
          <w:color w:val="auto"/>
          <w:sz w:val="21"/>
          <w:szCs w:val="21"/>
          <w:lang w:val="en-US" w:eastAsia="zh-CN"/>
        </w:rPr>
        <w:t>7</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工程建设中、建设后引发采空塌陷地质灾害危险性预测评估分级表</w:t>
      </w:r>
    </w:p>
    <w:tbl>
      <w:tblPr>
        <w:tblStyle w:val="53"/>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5"/>
        <w:gridCol w:w="2540"/>
        <w:gridCol w:w="1068"/>
        <w:gridCol w:w="794"/>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3485"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工程建设与采空塌陷的位置关系</w:t>
            </w:r>
          </w:p>
        </w:tc>
        <w:tc>
          <w:tcPr>
            <w:tcW w:w="254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工程建设中、建设后引发采空塌陷的可能性</w:t>
            </w: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794"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位于采空区及采空塌陷影响范围内</w:t>
            </w:r>
          </w:p>
        </w:tc>
        <w:tc>
          <w:tcPr>
            <w:tcW w:w="254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794"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continue"/>
            <w:vAlign w:val="center"/>
          </w:tcPr>
          <w:p>
            <w:pPr>
              <w:jc w:val="center"/>
              <w:rPr>
                <w:rFonts w:hint="eastAsia" w:ascii="宋体" w:hAnsi="宋体" w:eastAsia="宋体" w:cs="宋体"/>
                <w:color w:val="auto"/>
                <w:sz w:val="21"/>
                <w:szCs w:val="21"/>
              </w:rPr>
            </w:pPr>
          </w:p>
        </w:tc>
        <w:tc>
          <w:tcPr>
            <w:tcW w:w="2540" w:type="dxa"/>
            <w:vMerge w:val="continue"/>
            <w:vAlign w:val="center"/>
          </w:tcPr>
          <w:p>
            <w:pPr>
              <w:jc w:val="center"/>
              <w:rPr>
                <w:rFonts w:hint="eastAsia" w:ascii="宋体" w:hAnsi="宋体" w:eastAsia="宋体" w:cs="宋体"/>
                <w:color w:val="auto"/>
                <w:sz w:val="21"/>
                <w:szCs w:val="21"/>
              </w:rPr>
            </w:pP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794" w:type="dxa"/>
            <w:vMerge w:val="continue"/>
            <w:vAlign w:val="center"/>
          </w:tcPr>
          <w:p>
            <w:pPr>
              <w:jc w:val="center"/>
              <w:rPr>
                <w:rFonts w:hint="eastAsia" w:ascii="宋体" w:hAnsi="宋体" w:eastAsia="宋体" w:cs="宋体"/>
                <w:color w:val="auto"/>
                <w:sz w:val="21"/>
                <w:szCs w:val="21"/>
              </w:rPr>
            </w:pP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continue"/>
            <w:vAlign w:val="center"/>
          </w:tcPr>
          <w:p>
            <w:pPr>
              <w:jc w:val="center"/>
              <w:rPr>
                <w:rFonts w:hint="eastAsia" w:ascii="宋体" w:hAnsi="宋体" w:eastAsia="宋体" w:cs="宋体"/>
                <w:color w:val="auto"/>
                <w:sz w:val="21"/>
                <w:szCs w:val="21"/>
              </w:rPr>
            </w:pPr>
          </w:p>
        </w:tc>
        <w:tc>
          <w:tcPr>
            <w:tcW w:w="2540" w:type="dxa"/>
            <w:vMerge w:val="continue"/>
            <w:vAlign w:val="center"/>
          </w:tcPr>
          <w:p>
            <w:pPr>
              <w:jc w:val="center"/>
              <w:rPr>
                <w:rFonts w:hint="eastAsia" w:ascii="宋体" w:hAnsi="宋体" w:eastAsia="宋体" w:cs="宋体"/>
                <w:color w:val="auto"/>
                <w:sz w:val="21"/>
                <w:szCs w:val="21"/>
              </w:rPr>
            </w:pP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794" w:type="dxa"/>
            <w:vMerge w:val="continue"/>
            <w:vAlign w:val="center"/>
          </w:tcPr>
          <w:p>
            <w:pPr>
              <w:jc w:val="center"/>
              <w:rPr>
                <w:rFonts w:hint="eastAsia" w:ascii="宋体" w:hAnsi="宋体" w:eastAsia="宋体" w:cs="宋体"/>
                <w:color w:val="auto"/>
                <w:sz w:val="21"/>
                <w:szCs w:val="21"/>
              </w:rPr>
            </w:pP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临近采空区及采空塌陷影响范围内</w:t>
            </w:r>
          </w:p>
        </w:tc>
        <w:tc>
          <w:tcPr>
            <w:tcW w:w="254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794"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continue"/>
            <w:vAlign w:val="center"/>
          </w:tcPr>
          <w:p>
            <w:pPr>
              <w:jc w:val="center"/>
              <w:rPr>
                <w:rFonts w:hint="eastAsia" w:ascii="宋体" w:hAnsi="宋体" w:eastAsia="宋体" w:cs="宋体"/>
                <w:color w:val="auto"/>
                <w:sz w:val="21"/>
                <w:szCs w:val="21"/>
              </w:rPr>
            </w:pPr>
          </w:p>
        </w:tc>
        <w:tc>
          <w:tcPr>
            <w:tcW w:w="2540" w:type="dxa"/>
            <w:vMerge w:val="continue"/>
            <w:vAlign w:val="center"/>
          </w:tcPr>
          <w:p>
            <w:pPr>
              <w:jc w:val="center"/>
              <w:rPr>
                <w:rFonts w:hint="eastAsia" w:ascii="宋体" w:hAnsi="宋体" w:eastAsia="宋体" w:cs="宋体"/>
                <w:color w:val="auto"/>
                <w:sz w:val="21"/>
                <w:szCs w:val="21"/>
              </w:rPr>
            </w:pP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794" w:type="dxa"/>
            <w:vMerge w:val="continue"/>
            <w:vAlign w:val="center"/>
          </w:tcPr>
          <w:p>
            <w:pPr>
              <w:jc w:val="center"/>
              <w:rPr>
                <w:rFonts w:hint="eastAsia" w:ascii="宋体" w:hAnsi="宋体" w:eastAsia="宋体" w:cs="宋体"/>
                <w:color w:val="auto"/>
                <w:sz w:val="21"/>
                <w:szCs w:val="21"/>
              </w:rPr>
            </w:pP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continue"/>
            <w:vAlign w:val="center"/>
          </w:tcPr>
          <w:p>
            <w:pPr>
              <w:jc w:val="center"/>
              <w:rPr>
                <w:rFonts w:hint="eastAsia" w:ascii="宋体" w:hAnsi="宋体" w:eastAsia="宋体" w:cs="宋体"/>
                <w:color w:val="auto"/>
                <w:sz w:val="21"/>
                <w:szCs w:val="21"/>
              </w:rPr>
            </w:pPr>
          </w:p>
        </w:tc>
        <w:tc>
          <w:tcPr>
            <w:tcW w:w="2540" w:type="dxa"/>
            <w:vMerge w:val="continue"/>
            <w:vAlign w:val="center"/>
          </w:tcPr>
          <w:p>
            <w:pPr>
              <w:jc w:val="center"/>
              <w:rPr>
                <w:rFonts w:hint="eastAsia" w:ascii="宋体" w:hAnsi="宋体" w:eastAsia="宋体" w:cs="宋体"/>
                <w:color w:val="auto"/>
                <w:sz w:val="21"/>
                <w:szCs w:val="21"/>
              </w:rPr>
            </w:pP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794" w:type="dxa"/>
            <w:vMerge w:val="continue"/>
            <w:vAlign w:val="center"/>
          </w:tcPr>
          <w:p>
            <w:pPr>
              <w:jc w:val="center"/>
              <w:rPr>
                <w:rFonts w:hint="eastAsia" w:ascii="宋体" w:hAnsi="宋体" w:eastAsia="宋体" w:cs="宋体"/>
                <w:color w:val="auto"/>
                <w:sz w:val="21"/>
                <w:szCs w:val="21"/>
              </w:rPr>
            </w:pP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位于采空区及采空塌陷影响范围外</w:t>
            </w:r>
          </w:p>
        </w:tc>
        <w:tc>
          <w:tcPr>
            <w:tcW w:w="254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794"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continue"/>
            <w:vAlign w:val="center"/>
          </w:tcPr>
          <w:p>
            <w:pPr>
              <w:jc w:val="center"/>
              <w:rPr>
                <w:rFonts w:hint="eastAsia" w:ascii="宋体" w:hAnsi="宋体" w:eastAsia="宋体" w:cs="宋体"/>
                <w:color w:val="auto"/>
                <w:sz w:val="21"/>
                <w:szCs w:val="21"/>
              </w:rPr>
            </w:pPr>
          </w:p>
        </w:tc>
        <w:tc>
          <w:tcPr>
            <w:tcW w:w="2540" w:type="dxa"/>
            <w:vMerge w:val="continue"/>
            <w:vAlign w:val="center"/>
          </w:tcPr>
          <w:p>
            <w:pPr>
              <w:jc w:val="center"/>
              <w:rPr>
                <w:rFonts w:hint="eastAsia" w:ascii="宋体" w:hAnsi="宋体" w:eastAsia="宋体" w:cs="宋体"/>
                <w:color w:val="auto"/>
                <w:sz w:val="21"/>
                <w:szCs w:val="21"/>
              </w:rPr>
            </w:pP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794" w:type="dxa"/>
            <w:vMerge w:val="continue"/>
            <w:vAlign w:val="center"/>
          </w:tcPr>
          <w:p>
            <w:pPr>
              <w:jc w:val="center"/>
              <w:rPr>
                <w:rFonts w:hint="eastAsia" w:ascii="宋体" w:hAnsi="宋体" w:eastAsia="宋体" w:cs="宋体"/>
                <w:color w:val="auto"/>
                <w:sz w:val="21"/>
                <w:szCs w:val="21"/>
              </w:rPr>
            </w:pP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485" w:type="dxa"/>
            <w:vMerge w:val="continue"/>
            <w:vAlign w:val="center"/>
          </w:tcPr>
          <w:p>
            <w:pPr>
              <w:jc w:val="center"/>
              <w:rPr>
                <w:rFonts w:hint="eastAsia" w:ascii="宋体" w:hAnsi="宋体" w:eastAsia="宋体" w:cs="宋体"/>
                <w:color w:val="auto"/>
                <w:sz w:val="21"/>
                <w:szCs w:val="21"/>
              </w:rPr>
            </w:pPr>
          </w:p>
        </w:tc>
        <w:tc>
          <w:tcPr>
            <w:tcW w:w="2540" w:type="dxa"/>
            <w:vMerge w:val="continue"/>
            <w:vAlign w:val="center"/>
          </w:tcPr>
          <w:p>
            <w:pPr>
              <w:jc w:val="center"/>
              <w:rPr>
                <w:rFonts w:hint="eastAsia" w:ascii="宋体" w:hAnsi="宋体" w:eastAsia="宋体" w:cs="宋体"/>
                <w:color w:val="auto"/>
                <w:sz w:val="21"/>
                <w:szCs w:val="21"/>
              </w:rPr>
            </w:pPr>
          </w:p>
        </w:tc>
        <w:tc>
          <w:tcPr>
            <w:tcW w:w="10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794" w:type="dxa"/>
            <w:vMerge w:val="continue"/>
            <w:vAlign w:val="center"/>
          </w:tcPr>
          <w:p>
            <w:pPr>
              <w:jc w:val="center"/>
              <w:rPr>
                <w:rFonts w:hint="eastAsia" w:ascii="宋体" w:hAnsi="宋体" w:eastAsia="宋体" w:cs="宋体"/>
                <w:color w:val="auto"/>
                <w:sz w:val="21"/>
                <w:szCs w:val="21"/>
              </w:rPr>
            </w:pPr>
          </w:p>
        </w:tc>
        <w:tc>
          <w:tcPr>
            <w:tcW w:w="1280"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（6）地裂缝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矿山建设不会产生地面塌陷、地面沉降、含水层不会遭到疏干和破坏，现状条件下地裂缝灾害不发育。根据工程建设中、建设后引发地裂缝地质灾害危险性预测评估分级表（表3-1</w:t>
      </w:r>
      <w:r>
        <w:rPr>
          <w:rFonts w:hint="eastAsia" w:ascii="宋体" w:hAnsi="宋体" w:cs="宋体"/>
          <w:bCs/>
          <w:color w:val="auto"/>
          <w:sz w:val="24"/>
          <w:szCs w:val="24"/>
          <w:lang w:val="en-US" w:eastAsia="zh-CN"/>
        </w:rPr>
        <w:t>8</w:t>
      </w:r>
      <w:r>
        <w:rPr>
          <w:rFonts w:hint="eastAsia" w:ascii="宋体" w:hAnsi="宋体" w:eastAsia="宋体" w:cs="宋体"/>
          <w:bCs/>
          <w:color w:val="auto"/>
          <w:sz w:val="24"/>
          <w:szCs w:val="24"/>
        </w:rPr>
        <w:t>），预测评估工程建设位于地裂缝影响范围外，工程建设中、建设后引发地裂缝地质灾害的可能性小，发育程度弱，危害程度小，危险性小。</w:t>
      </w:r>
    </w:p>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 xml:space="preserve"> </w:t>
      </w:r>
    </w:p>
    <w:p>
      <w:pPr>
        <w:jc w:val="center"/>
        <w:rPr>
          <w:rFonts w:hint="eastAsia" w:ascii="宋体" w:hAnsi="宋体" w:eastAsia="宋体" w:cs="宋体"/>
          <w:b/>
          <w:bCs/>
          <w:color w:val="auto"/>
          <w:sz w:val="21"/>
          <w:szCs w:val="21"/>
        </w:rPr>
      </w:pPr>
    </w:p>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eastAsia="宋体" w:cs="宋体"/>
          <w:b/>
          <w:bCs/>
          <w:color w:val="auto"/>
          <w:sz w:val="21"/>
          <w:szCs w:val="21"/>
          <w:lang w:val="en-US" w:eastAsia="zh-CN"/>
        </w:rPr>
        <w:t>8</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工程建设中、建设后引发地裂缝地质灾害危险性预测评估分级表</w:t>
      </w:r>
    </w:p>
    <w:tbl>
      <w:tblPr>
        <w:tblStyle w:val="53"/>
        <w:tblW w:w="90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2490"/>
        <w:gridCol w:w="1268"/>
        <w:gridCol w:w="130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57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工程建设与地裂缝的位置关系</w:t>
            </w:r>
          </w:p>
        </w:tc>
        <w:tc>
          <w:tcPr>
            <w:tcW w:w="249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工程建设中、建设后引发地裂缝的可能性</w:t>
            </w: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130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位于地裂缝影响范围内</w:t>
            </w:r>
          </w:p>
        </w:tc>
        <w:tc>
          <w:tcPr>
            <w:tcW w:w="249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0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continue"/>
            <w:vAlign w:val="center"/>
          </w:tcPr>
          <w:p>
            <w:pPr>
              <w:jc w:val="center"/>
              <w:rPr>
                <w:rFonts w:hint="eastAsia" w:ascii="宋体" w:hAnsi="宋体" w:eastAsia="宋体" w:cs="宋体"/>
                <w:color w:val="auto"/>
                <w:sz w:val="21"/>
                <w:szCs w:val="21"/>
              </w:rPr>
            </w:pPr>
          </w:p>
        </w:tc>
        <w:tc>
          <w:tcPr>
            <w:tcW w:w="2490" w:type="dxa"/>
            <w:vMerge w:val="continue"/>
            <w:vAlign w:val="center"/>
          </w:tcPr>
          <w:p>
            <w:pPr>
              <w:jc w:val="center"/>
              <w:rPr>
                <w:rFonts w:hint="eastAsia" w:ascii="宋体" w:hAnsi="宋体" w:eastAsia="宋体" w:cs="宋体"/>
                <w:color w:val="auto"/>
                <w:sz w:val="21"/>
                <w:szCs w:val="21"/>
              </w:rPr>
            </w:pP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08"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continue"/>
            <w:vAlign w:val="center"/>
          </w:tcPr>
          <w:p>
            <w:pPr>
              <w:jc w:val="center"/>
              <w:rPr>
                <w:rFonts w:hint="eastAsia" w:ascii="宋体" w:hAnsi="宋体" w:eastAsia="宋体" w:cs="宋体"/>
                <w:color w:val="auto"/>
                <w:sz w:val="21"/>
                <w:szCs w:val="21"/>
              </w:rPr>
            </w:pPr>
          </w:p>
        </w:tc>
        <w:tc>
          <w:tcPr>
            <w:tcW w:w="2490" w:type="dxa"/>
            <w:vMerge w:val="continue"/>
            <w:vAlign w:val="center"/>
          </w:tcPr>
          <w:p>
            <w:pPr>
              <w:jc w:val="center"/>
              <w:rPr>
                <w:rFonts w:hint="eastAsia" w:ascii="宋体" w:hAnsi="宋体" w:eastAsia="宋体" w:cs="宋体"/>
                <w:color w:val="auto"/>
                <w:sz w:val="21"/>
                <w:szCs w:val="21"/>
              </w:rPr>
            </w:pP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08"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临近地裂缝影响范围内</w:t>
            </w:r>
          </w:p>
        </w:tc>
        <w:tc>
          <w:tcPr>
            <w:tcW w:w="249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0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continue"/>
            <w:vAlign w:val="center"/>
          </w:tcPr>
          <w:p>
            <w:pPr>
              <w:jc w:val="center"/>
              <w:rPr>
                <w:rFonts w:hint="eastAsia" w:ascii="宋体" w:hAnsi="宋体" w:eastAsia="宋体" w:cs="宋体"/>
                <w:color w:val="auto"/>
                <w:sz w:val="21"/>
                <w:szCs w:val="21"/>
              </w:rPr>
            </w:pPr>
          </w:p>
        </w:tc>
        <w:tc>
          <w:tcPr>
            <w:tcW w:w="2490" w:type="dxa"/>
            <w:vMerge w:val="continue"/>
            <w:vAlign w:val="center"/>
          </w:tcPr>
          <w:p>
            <w:pPr>
              <w:jc w:val="center"/>
              <w:rPr>
                <w:rFonts w:hint="eastAsia" w:ascii="宋体" w:hAnsi="宋体" w:eastAsia="宋体" w:cs="宋体"/>
                <w:color w:val="auto"/>
                <w:sz w:val="21"/>
                <w:szCs w:val="21"/>
              </w:rPr>
            </w:pP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08"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continue"/>
            <w:vAlign w:val="center"/>
          </w:tcPr>
          <w:p>
            <w:pPr>
              <w:jc w:val="center"/>
              <w:rPr>
                <w:rFonts w:hint="eastAsia" w:ascii="宋体" w:hAnsi="宋体" w:eastAsia="宋体" w:cs="宋体"/>
                <w:color w:val="auto"/>
                <w:sz w:val="21"/>
                <w:szCs w:val="21"/>
              </w:rPr>
            </w:pPr>
          </w:p>
        </w:tc>
        <w:tc>
          <w:tcPr>
            <w:tcW w:w="2490" w:type="dxa"/>
            <w:vMerge w:val="continue"/>
            <w:vAlign w:val="center"/>
          </w:tcPr>
          <w:p>
            <w:pPr>
              <w:jc w:val="center"/>
              <w:rPr>
                <w:rFonts w:hint="eastAsia" w:ascii="宋体" w:hAnsi="宋体" w:eastAsia="宋体" w:cs="宋体"/>
                <w:color w:val="auto"/>
                <w:sz w:val="21"/>
                <w:szCs w:val="21"/>
              </w:rPr>
            </w:pP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08"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位于地裂缝影响范围外</w:t>
            </w:r>
          </w:p>
        </w:tc>
        <w:tc>
          <w:tcPr>
            <w:tcW w:w="2490"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30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continue"/>
            <w:vAlign w:val="center"/>
          </w:tcPr>
          <w:p>
            <w:pPr>
              <w:jc w:val="center"/>
              <w:rPr>
                <w:rFonts w:hint="eastAsia" w:ascii="宋体" w:hAnsi="宋体" w:eastAsia="宋体" w:cs="宋体"/>
                <w:color w:val="auto"/>
                <w:sz w:val="21"/>
                <w:szCs w:val="21"/>
              </w:rPr>
            </w:pPr>
          </w:p>
        </w:tc>
        <w:tc>
          <w:tcPr>
            <w:tcW w:w="2490" w:type="dxa"/>
            <w:vMerge w:val="continue"/>
            <w:vAlign w:val="center"/>
          </w:tcPr>
          <w:p>
            <w:pPr>
              <w:jc w:val="center"/>
              <w:rPr>
                <w:rFonts w:hint="eastAsia" w:ascii="宋体" w:hAnsi="宋体" w:eastAsia="宋体" w:cs="宋体"/>
                <w:color w:val="auto"/>
                <w:sz w:val="21"/>
                <w:szCs w:val="21"/>
              </w:rPr>
            </w:pP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308"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2576" w:type="dxa"/>
            <w:vMerge w:val="continue"/>
            <w:vAlign w:val="center"/>
          </w:tcPr>
          <w:p>
            <w:pPr>
              <w:jc w:val="center"/>
              <w:rPr>
                <w:rFonts w:hint="eastAsia" w:ascii="宋体" w:hAnsi="宋体" w:eastAsia="宋体" w:cs="宋体"/>
                <w:color w:val="auto"/>
                <w:sz w:val="21"/>
                <w:szCs w:val="21"/>
              </w:rPr>
            </w:pPr>
          </w:p>
        </w:tc>
        <w:tc>
          <w:tcPr>
            <w:tcW w:w="2490" w:type="dxa"/>
            <w:vMerge w:val="continue"/>
            <w:vAlign w:val="center"/>
          </w:tcPr>
          <w:p>
            <w:pPr>
              <w:jc w:val="center"/>
              <w:rPr>
                <w:rFonts w:hint="eastAsia" w:ascii="宋体" w:hAnsi="宋体" w:eastAsia="宋体" w:cs="宋体"/>
                <w:color w:val="auto"/>
                <w:sz w:val="21"/>
                <w:szCs w:val="21"/>
              </w:rPr>
            </w:pPr>
          </w:p>
        </w:tc>
        <w:tc>
          <w:tcPr>
            <w:tcW w:w="1268"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308" w:type="dxa"/>
            <w:vMerge w:val="continue"/>
            <w:vAlign w:val="center"/>
          </w:tcPr>
          <w:p>
            <w:pPr>
              <w:jc w:val="center"/>
              <w:rPr>
                <w:rFonts w:hint="eastAsia" w:ascii="宋体" w:hAnsi="宋体" w:eastAsia="宋体" w:cs="宋体"/>
                <w:color w:val="auto"/>
                <w:sz w:val="21"/>
                <w:szCs w:val="21"/>
              </w:rPr>
            </w:pPr>
          </w:p>
        </w:tc>
        <w:tc>
          <w:tcPr>
            <w:tcW w:w="141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bookmarkStart w:id="136" w:name="_Toc14742"/>
      <w:bookmarkStart w:id="137" w:name="_Toc15145"/>
      <w:bookmarkStart w:id="138" w:name="_Toc23779"/>
      <w:bookmarkStart w:id="139" w:name="_Toc532760449"/>
      <w:bookmarkStart w:id="140" w:name="_Toc894"/>
      <w:bookmarkStart w:id="141" w:name="_Toc2594"/>
      <w:bookmarkStart w:id="142" w:name="_Toc6212"/>
      <w:bookmarkStart w:id="143" w:name="_Toc17854"/>
      <w:r>
        <w:rPr>
          <w:rFonts w:hint="eastAsia" w:ascii="宋体" w:hAnsi="宋体" w:cs="宋体"/>
          <w:b/>
          <w:bCs w:val="0"/>
          <w:color w:val="auto"/>
          <w:sz w:val="24"/>
          <w:szCs w:val="24"/>
          <w:lang w:val="en-US" w:eastAsia="zh-CN"/>
        </w:rPr>
        <w:t>4、</w:t>
      </w:r>
      <w:r>
        <w:rPr>
          <w:rFonts w:hint="eastAsia" w:ascii="宋体" w:hAnsi="宋体" w:eastAsia="宋体" w:cs="宋体"/>
          <w:b/>
          <w:bCs w:val="0"/>
          <w:color w:val="auto"/>
          <w:sz w:val="24"/>
          <w:szCs w:val="24"/>
        </w:rPr>
        <w:t>采矿活动可能遭受地质灾害危险性预测评估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矿山为新建矿山，现状尚未开工建设，矿山开发利用设计开采方式为露天开采，拟建主要为规划露天采矿场、规划排土场、规划矿区道路。评估区主要建设工程为地面建筑工程和交通工程。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对工程建设中、建设后可能引发或加剧的地质灾害危险性预测评估结论，预测引发或加剧崩塌、滑坡灾害的可能性中等，发育程度中等，危害程度中等，危险性中等；引发或加剧泥石流灾害的可能性小，发育程度弱，危害程度小，危险性小；评估区地面塌陷、地面沉降、地裂缝等地质灾害不发育，危害程度小，危险性小。预测评估露天采场边坡易引发不稳定斜坡地质灾害，发育程度中等、危害程度中等、危险性中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1</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工业与民用建筑工程遭受地质灾害危险性预测评估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评估区周边无人居住且均位于地形平缓地带，不在地质灾害影响范围内，建设工程位于地质灾害影响范围外，遭受地质灾害的可能性小、危害程度小、危险性小。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规划采矿场开采面易引发崩塌灾害，威胁采矿工作人员及设备安全，预测威胁人数20人，可能造成经济损失小于500万元，遭受地质灾害的可能性中等，危害程度中等，危险性中等。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规划排土场位于矿区外南部相对平坦开阔场地，地形坡度5-8°，占地面积约</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公顷，单层压实堆放，平均堆高约3米左右，堆积坡度约45°，不易产生地质灾害，不在地质灾害影响范围内，建设工程位于地质灾害影响范围外，遭受地质灾害的可能性小、危害程度小、危险性小。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规划采矿场遭受崩塌地质灾害的可能性中等、危害程度中等、发育程度中等、危险性中等；其他建设工程位于地质灾害影响范围外，遭受地质灾害的可能性小、发育程度弱，危害程度小、危险性小。</w:t>
      </w:r>
    </w:p>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表3-1</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工业与民用建筑工程遭受地质灾害危险性预测评估分级表</w:t>
      </w:r>
    </w:p>
    <w:tbl>
      <w:tblPr>
        <w:tblStyle w:val="53"/>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6"/>
        <w:gridCol w:w="1849"/>
        <w:gridCol w:w="1254"/>
        <w:gridCol w:w="1294"/>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trPr>
        <w:tc>
          <w:tcPr>
            <w:tcW w:w="3366"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建设工程与地质灾害体的位置关系</w:t>
            </w:r>
          </w:p>
        </w:tc>
        <w:tc>
          <w:tcPr>
            <w:tcW w:w="184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建设工程遭受地质灾害的可能性</w:t>
            </w: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1294"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位于地质灾害体影响范围内</w:t>
            </w:r>
          </w:p>
        </w:tc>
        <w:tc>
          <w:tcPr>
            <w:tcW w:w="1849"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294"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continue"/>
            <w:vAlign w:val="center"/>
          </w:tcPr>
          <w:p>
            <w:pPr>
              <w:jc w:val="center"/>
              <w:rPr>
                <w:rFonts w:hint="eastAsia" w:ascii="宋体" w:hAnsi="宋体" w:eastAsia="宋体" w:cs="宋体"/>
                <w:color w:val="auto"/>
                <w:sz w:val="21"/>
                <w:szCs w:val="21"/>
              </w:rPr>
            </w:pPr>
          </w:p>
        </w:tc>
        <w:tc>
          <w:tcPr>
            <w:tcW w:w="1849" w:type="dxa"/>
            <w:vMerge w:val="continue"/>
            <w:vAlign w:val="center"/>
          </w:tcPr>
          <w:p>
            <w:pPr>
              <w:jc w:val="center"/>
              <w:rPr>
                <w:rFonts w:hint="eastAsia" w:ascii="宋体" w:hAnsi="宋体" w:eastAsia="宋体" w:cs="宋体"/>
                <w:color w:val="auto"/>
                <w:sz w:val="21"/>
                <w:szCs w:val="21"/>
              </w:rPr>
            </w:pP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294" w:type="dxa"/>
            <w:vMerge w:val="continue"/>
            <w:vAlign w:val="center"/>
          </w:tcPr>
          <w:p>
            <w:pPr>
              <w:jc w:val="center"/>
              <w:rPr>
                <w:rFonts w:hint="eastAsia" w:ascii="宋体" w:hAnsi="宋体" w:eastAsia="宋体" w:cs="宋体"/>
                <w:color w:val="auto"/>
                <w:sz w:val="21"/>
                <w:szCs w:val="21"/>
              </w:rPr>
            </w:pP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continue"/>
            <w:vAlign w:val="center"/>
          </w:tcPr>
          <w:p>
            <w:pPr>
              <w:jc w:val="center"/>
              <w:rPr>
                <w:rFonts w:hint="eastAsia" w:ascii="宋体" w:hAnsi="宋体" w:eastAsia="宋体" w:cs="宋体"/>
                <w:color w:val="auto"/>
                <w:sz w:val="21"/>
                <w:szCs w:val="21"/>
              </w:rPr>
            </w:pPr>
          </w:p>
        </w:tc>
        <w:tc>
          <w:tcPr>
            <w:tcW w:w="1849" w:type="dxa"/>
            <w:vMerge w:val="continue"/>
            <w:vAlign w:val="center"/>
          </w:tcPr>
          <w:p>
            <w:pPr>
              <w:jc w:val="center"/>
              <w:rPr>
                <w:rFonts w:hint="eastAsia" w:ascii="宋体" w:hAnsi="宋体" w:eastAsia="宋体" w:cs="宋体"/>
                <w:color w:val="auto"/>
                <w:sz w:val="21"/>
                <w:szCs w:val="21"/>
              </w:rPr>
            </w:pP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294" w:type="dxa"/>
            <w:vMerge w:val="continue"/>
            <w:vAlign w:val="center"/>
          </w:tcPr>
          <w:p>
            <w:pPr>
              <w:jc w:val="center"/>
              <w:rPr>
                <w:rFonts w:hint="eastAsia" w:ascii="宋体" w:hAnsi="宋体" w:eastAsia="宋体" w:cs="宋体"/>
                <w:color w:val="auto"/>
                <w:sz w:val="21"/>
                <w:szCs w:val="21"/>
              </w:rPr>
            </w:pP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领近地质灾害体影响范围内</w:t>
            </w:r>
          </w:p>
        </w:tc>
        <w:tc>
          <w:tcPr>
            <w:tcW w:w="1849"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294"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continue"/>
            <w:vAlign w:val="center"/>
          </w:tcPr>
          <w:p>
            <w:pPr>
              <w:jc w:val="center"/>
              <w:rPr>
                <w:rFonts w:hint="eastAsia" w:ascii="宋体" w:hAnsi="宋体" w:eastAsia="宋体" w:cs="宋体"/>
                <w:color w:val="auto"/>
                <w:sz w:val="21"/>
                <w:szCs w:val="21"/>
              </w:rPr>
            </w:pPr>
          </w:p>
        </w:tc>
        <w:tc>
          <w:tcPr>
            <w:tcW w:w="1849" w:type="dxa"/>
            <w:vMerge w:val="continue"/>
            <w:vAlign w:val="center"/>
          </w:tcPr>
          <w:p>
            <w:pPr>
              <w:jc w:val="center"/>
              <w:rPr>
                <w:rFonts w:hint="eastAsia" w:ascii="宋体" w:hAnsi="宋体" w:eastAsia="宋体" w:cs="宋体"/>
                <w:color w:val="auto"/>
                <w:sz w:val="21"/>
                <w:szCs w:val="21"/>
              </w:rPr>
            </w:pP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294" w:type="dxa"/>
            <w:vMerge w:val="continue"/>
            <w:vAlign w:val="center"/>
          </w:tcPr>
          <w:p>
            <w:pPr>
              <w:jc w:val="center"/>
              <w:rPr>
                <w:rFonts w:hint="eastAsia" w:ascii="宋体" w:hAnsi="宋体" w:eastAsia="宋体" w:cs="宋体"/>
                <w:color w:val="auto"/>
                <w:sz w:val="21"/>
                <w:szCs w:val="21"/>
              </w:rPr>
            </w:pP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continue"/>
            <w:vAlign w:val="center"/>
          </w:tcPr>
          <w:p>
            <w:pPr>
              <w:jc w:val="center"/>
              <w:rPr>
                <w:rFonts w:hint="eastAsia" w:ascii="宋体" w:hAnsi="宋体" w:eastAsia="宋体" w:cs="宋体"/>
                <w:color w:val="auto"/>
                <w:sz w:val="21"/>
                <w:szCs w:val="21"/>
              </w:rPr>
            </w:pPr>
          </w:p>
        </w:tc>
        <w:tc>
          <w:tcPr>
            <w:tcW w:w="1849" w:type="dxa"/>
            <w:vMerge w:val="continue"/>
            <w:vAlign w:val="center"/>
          </w:tcPr>
          <w:p>
            <w:pPr>
              <w:jc w:val="center"/>
              <w:rPr>
                <w:rFonts w:hint="eastAsia" w:ascii="宋体" w:hAnsi="宋体" w:eastAsia="宋体" w:cs="宋体"/>
                <w:color w:val="auto"/>
                <w:sz w:val="21"/>
                <w:szCs w:val="21"/>
              </w:rPr>
            </w:pP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294" w:type="dxa"/>
            <w:vMerge w:val="continue"/>
            <w:vAlign w:val="center"/>
          </w:tcPr>
          <w:p>
            <w:pPr>
              <w:jc w:val="center"/>
              <w:rPr>
                <w:rFonts w:hint="eastAsia" w:ascii="宋体" w:hAnsi="宋体" w:eastAsia="宋体" w:cs="宋体"/>
                <w:color w:val="auto"/>
                <w:sz w:val="21"/>
                <w:szCs w:val="21"/>
              </w:rPr>
            </w:pP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位于地质灾害体影响范围外</w:t>
            </w:r>
          </w:p>
        </w:tc>
        <w:tc>
          <w:tcPr>
            <w:tcW w:w="1849"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294"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continue"/>
            <w:vAlign w:val="center"/>
          </w:tcPr>
          <w:p>
            <w:pPr>
              <w:jc w:val="center"/>
              <w:rPr>
                <w:rFonts w:hint="eastAsia" w:ascii="宋体" w:hAnsi="宋体" w:eastAsia="宋体" w:cs="宋体"/>
                <w:color w:val="auto"/>
                <w:sz w:val="21"/>
                <w:szCs w:val="21"/>
              </w:rPr>
            </w:pPr>
          </w:p>
        </w:tc>
        <w:tc>
          <w:tcPr>
            <w:tcW w:w="1849" w:type="dxa"/>
            <w:vMerge w:val="continue"/>
            <w:vAlign w:val="center"/>
          </w:tcPr>
          <w:p>
            <w:pPr>
              <w:jc w:val="center"/>
              <w:rPr>
                <w:rFonts w:hint="eastAsia" w:ascii="宋体" w:hAnsi="宋体" w:eastAsia="宋体" w:cs="宋体"/>
                <w:color w:val="auto"/>
                <w:sz w:val="21"/>
                <w:szCs w:val="21"/>
              </w:rPr>
            </w:pP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294" w:type="dxa"/>
            <w:vMerge w:val="continue"/>
            <w:vAlign w:val="center"/>
          </w:tcPr>
          <w:p>
            <w:pPr>
              <w:jc w:val="center"/>
              <w:rPr>
                <w:rFonts w:hint="eastAsia" w:ascii="宋体" w:hAnsi="宋体" w:eastAsia="宋体" w:cs="宋体"/>
                <w:color w:val="auto"/>
                <w:sz w:val="21"/>
                <w:szCs w:val="21"/>
              </w:rPr>
            </w:pP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3366" w:type="dxa"/>
            <w:vMerge w:val="continue"/>
            <w:vAlign w:val="center"/>
          </w:tcPr>
          <w:p>
            <w:pPr>
              <w:pStyle w:val="469"/>
              <w:ind w:left="1220" w:hanging="420"/>
              <w:jc w:val="center"/>
              <w:rPr>
                <w:rFonts w:hint="eastAsia" w:ascii="宋体" w:hAnsi="宋体" w:eastAsia="宋体" w:cs="宋体"/>
                <w:color w:val="auto"/>
                <w:kern w:val="0"/>
                <w:sz w:val="21"/>
                <w:szCs w:val="21"/>
              </w:rPr>
            </w:pPr>
          </w:p>
        </w:tc>
        <w:tc>
          <w:tcPr>
            <w:tcW w:w="1849" w:type="dxa"/>
            <w:vMerge w:val="continue"/>
            <w:vAlign w:val="center"/>
          </w:tcPr>
          <w:p>
            <w:pPr>
              <w:pStyle w:val="469"/>
              <w:ind w:left="1220" w:hanging="420"/>
              <w:jc w:val="center"/>
              <w:rPr>
                <w:rFonts w:hint="eastAsia" w:ascii="宋体" w:hAnsi="宋体" w:eastAsia="宋体" w:cs="宋体"/>
                <w:color w:val="auto"/>
                <w:kern w:val="0"/>
                <w:sz w:val="21"/>
                <w:szCs w:val="21"/>
              </w:rPr>
            </w:pPr>
          </w:p>
        </w:tc>
        <w:tc>
          <w:tcPr>
            <w:tcW w:w="125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294" w:type="dxa"/>
            <w:vMerge w:val="continue"/>
            <w:vAlign w:val="center"/>
          </w:tcPr>
          <w:p>
            <w:pPr>
              <w:jc w:val="center"/>
              <w:rPr>
                <w:rFonts w:hint="eastAsia" w:ascii="宋体" w:hAnsi="宋体" w:eastAsia="宋体" w:cs="宋体"/>
                <w:color w:val="auto"/>
                <w:sz w:val="21"/>
                <w:szCs w:val="21"/>
              </w:rPr>
            </w:pPr>
          </w:p>
        </w:tc>
        <w:tc>
          <w:tcPr>
            <w:tcW w:w="1404"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spacing w:line="360" w:lineRule="auto"/>
        <w:ind w:firstLine="480"/>
        <w:jc w:val="both"/>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2</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交通工程</w:t>
      </w:r>
    </w:p>
    <w:p>
      <w:pPr>
        <w:spacing w:line="360" w:lineRule="auto"/>
        <w:ind w:firstLine="480"/>
        <w:jc w:val="both"/>
        <w:rPr>
          <w:rFonts w:hint="eastAsia" w:ascii="宋体" w:hAnsi="宋体" w:eastAsia="宋体" w:cs="宋体"/>
          <w:color w:val="auto"/>
          <w:sz w:val="24"/>
          <w:szCs w:val="24"/>
        </w:rPr>
      </w:pPr>
      <w:r>
        <w:rPr>
          <w:rFonts w:hint="eastAsia" w:ascii="宋体" w:hAnsi="宋体" w:eastAsia="宋体" w:cs="宋体"/>
          <w:bCs/>
          <w:color w:val="auto"/>
          <w:sz w:val="24"/>
          <w:szCs w:val="24"/>
        </w:rPr>
        <w:t>矿区道路主要依沿地形布设，大部分无需修建，无切坡，不在地质灾害影响范围内，均位于地质灾害影响范围外。根据表3-</w:t>
      </w:r>
      <w:r>
        <w:rPr>
          <w:rFonts w:hint="eastAsia" w:ascii="宋体" w:hAnsi="宋体" w:cs="宋体"/>
          <w:bCs/>
          <w:color w:val="auto"/>
          <w:sz w:val="24"/>
          <w:szCs w:val="24"/>
          <w:lang w:val="en-US" w:eastAsia="zh-CN"/>
        </w:rPr>
        <w:t>20</w:t>
      </w:r>
      <w:r>
        <w:rPr>
          <w:rFonts w:hint="eastAsia" w:ascii="宋体" w:hAnsi="宋体" w:eastAsia="宋体" w:cs="宋体"/>
          <w:bCs/>
          <w:color w:val="auto"/>
          <w:sz w:val="24"/>
          <w:szCs w:val="24"/>
        </w:rPr>
        <w:t>，道路交通工程位于地质灾害影响范围外，遭受地质灾害的可能性小，危害程度小，发育程度弱、危险性等级小</w:t>
      </w:r>
      <w:r>
        <w:rPr>
          <w:rFonts w:hint="eastAsia" w:ascii="宋体" w:hAnsi="宋体" w:eastAsia="宋体" w:cs="宋体"/>
          <w:color w:val="auto"/>
          <w:sz w:val="24"/>
          <w:szCs w:val="24"/>
        </w:rPr>
        <w:t>。</w:t>
      </w:r>
    </w:p>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表3-</w:t>
      </w:r>
      <w:r>
        <w:rPr>
          <w:rFonts w:hint="eastAsia" w:ascii="宋体" w:hAnsi="宋体" w:eastAsia="宋体" w:cs="宋体"/>
          <w:b/>
          <w:bCs/>
          <w:color w:val="auto"/>
          <w:sz w:val="21"/>
          <w:szCs w:val="21"/>
          <w:lang w:val="en-US" w:eastAsia="zh-CN"/>
        </w:rPr>
        <w:t>20</w:t>
      </w:r>
      <w:r>
        <w:rPr>
          <w:rFonts w:hint="eastAsia" w:ascii="宋体" w:hAnsi="宋体" w:eastAsia="宋体" w:cs="宋体"/>
          <w:b/>
          <w:bCs/>
          <w:color w:val="auto"/>
          <w:sz w:val="21"/>
          <w:szCs w:val="21"/>
        </w:rPr>
        <w:t xml:space="preserve">   路基遭受地质灾害危险性预测评估分级</w:t>
      </w:r>
    </w:p>
    <w:tbl>
      <w:tblPr>
        <w:tblStyle w:val="53"/>
        <w:tblW w:w="88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7"/>
        <w:gridCol w:w="1828"/>
        <w:gridCol w:w="1229"/>
        <w:gridCol w:w="1075"/>
        <w:gridCol w:w="1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367"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建设工程与地质灾害体的位置关系</w:t>
            </w:r>
          </w:p>
        </w:tc>
        <w:tc>
          <w:tcPr>
            <w:tcW w:w="182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建设工程遭受地质灾害的可能性</w:t>
            </w: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发育程度</w:t>
            </w:r>
          </w:p>
        </w:tc>
        <w:tc>
          <w:tcPr>
            <w:tcW w:w="107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危害程度</w:t>
            </w: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位于地质灾害体影响范围内</w:t>
            </w:r>
          </w:p>
        </w:tc>
        <w:tc>
          <w:tcPr>
            <w:tcW w:w="182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可能性大</w:t>
            </w: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07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危害大</w:t>
            </w: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continue"/>
            <w:vAlign w:val="center"/>
          </w:tcPr>
          <w:p>
            <w:pPr>
              <w:jc w:val="center"/>
              <w:rPr>
                <w:rFonts w:hint="eastAsia" w:ascii="宋体" w:hAnsi="宋体" w:eastAsia="宋体" w:cs="宋体"/>
                <w:color w:val="auto"/>
                <w:sz w:val="21"/>
                <w:szCs w:val="21"/>
              </w:rPr>
            </w:pPr>
          </w:p>
        </w:tc>
        <w:tc>
          <w:tcPr>
            <w:tcW w:w="1828" w:type="dxa"/>
            <w:vMerge w:val="continue"/>
            <w:vAlign w:val="center"/>
          </w:tcPr>
          <w:p>
            <w:pPr>
              <w:jc w:val="center"/>
              <w:rPr>
                <w:rFonts w:hint="eastAsia" w:ascii="宋体" w:hAnsi="宋体" w:eastAsia="宋体" w:cs="宋体"/>
                <w:color w:val="auto"/>
                <w:sz w:val="21"/>
                <w:szCs w:val="21"/>
              </w:rPr>
            </w:pP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075" w:type="dxa"/>
            <w:vMerge w:val="continue"/>
            <w:vAlign w:val="center"/>
          </w:tcPr>
          <w:p>
            <w:pPr>
              <w:jc w:val="center"/>
              <w:rPr>
                <w:rFonts w:hint="eastAsia" w:ascii="宋体" w:hAnsi="宋体" w:eastAsia="宋体" w:cs="宋体"/>
                <w:color w:val="auto"/>
                <w:sz w:val="21"/>
                <w:szCs w:val="21"/>
              </w:rPr>
            </w:pP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continue"/>
            <w:vAlign w:val="center"/>
          </w:tcPr>
          <w:p>
            <w:pPr>
              <w:jc w:val="center"/>
              <w:rPr>
                <w:rFonts w:hint="eastAsia" w:ascii="宋体" w:hAnsi="宋体" w:eastAsia="宋体" w:cs="宋体"/>
                <w:color w:val="auto"/>
                <w:sz w:val="21"/>
                <w:szCs w:val="21"/>
              </w:rPr>
            </w:pPr>
          </w:p>
        </w:tc>
        <w:tc>
          <w:tcPr>
            <w:tcW w:w="1828" w:type="dxa"/>
            <w:vMerge w:val="continue"/>
            <w:vAlign w:val="center"/>
          </w:tcPr>
          <w:p>
            <w:pPr>
              <w:jc w:val="center"/>
              <w:rPr>
                <w:rFonts w:hint="eastAsia" w:ascii="宋体" w:hAnsi="宋体" w:eastAsia="宋体" w:cs="宋体"/>
                <w:color w:val="auto"/>
                <w:sz w:val="21"/>
                <w:szCs w:val="21"/>
              </w:rPr>
            </w:pP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075" w:type="dxa"/>
            <w:vMerge w:val="continue"/>
            <w:vAlign w:val="center"/>
          </w:tcPr>
          <w:p>
            <w:pPr>
              <w:jc w:val="center"/>
              <w:rPr>
                <w:rFonts w:hint="eastAsia" w:ascii="宋体" w:hAnsi="宋体" w:eastAsia="宋体" w:cs="宋体"/>
                <w:color w:val="auto"/>
                <w:sz w:val="21"/>
                <w:szCs w:val="21"/>
              </w:rPr>
            </w:pP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领近地质灾害体影响范围内</w:t>
            </w:r>
          </w:p>
        </w:tc>
        <w:tc>
          <w:tcPr>
            <w:tcW w:w="182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可能性中等</w:t>
            </w: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07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危害中等</w:t>
            </w: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continue"/>
            <w:vAlign w:val="center"/>
          </w:tcPr>
          <w:p>
            <w:pPr>
              <w:jc w:val="center"/>
              <w:rPr>
                <w:rFonts w:hint="eastAsia" w:ascii="宋体" w:hAnsi="宋体" w:eastAsia="宋体" w:cs="宋体"/>
                <w:color w:val="auto"/>
                <w:sz w:val="21"/>
                <w:szCs w:val="21"/>
              </w:rPr>
            </w:pPr>
          </w:p>
        </w:tc>
        <w:tc>
          <w:tcPr>
            <w:tcW w:w="1828" w:type="dxa"/>
            <w:vMerge w:val="continue"/>
            <w:vAlign w:val="center"/>
          </w:tcPr>
          <w:p>
            <w:pPr>
              <w:jc w:val="center"/>
              <w:rPr>
                <w:rFonts w:hint="eastAsia" w:ascii="宋体" w:hAnsi="宋体" w:eastAsia="宋体" w:cs="宋体"/>
                <w:color w:val="auto"/>
                <w:sz w:val="21"/>
                <w:szCs w:val="21"/>
              </w:rPr>
            </w:pP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075" w:type="dxa"/>
            <w:vMerge w:val="continue"/>
            <w:vAlign w:val="center"/>
          </w:tcPr>
          <w:p>
            <w:pPr>
              <w:jc w:val="center"/>
              <w:rPr>
                <w:rFonts w:hint="eastAsia" w:ascii="宋体" w:hAnsi="宋体" w:eastAsia="宋体" w:cs="宋体"/>
                <w:color w:val="auto"/>
                <w:sz w:val="21"/>
                <w:szCs w:val="21"/>
              </w:rPr>
            </w:pP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continue"/>
            <w:vAlign w:val="center"/>
          </w:tcPr>
          <w:p>
            <w:pPr>
              <w:jc w:val="center"/>
              <w:rPr>
                <w:rFonts w:hint="eastAsia" w:ascii="宋体" w:hAnsi="宋体" w:eastAsia="宋体" w:cs="宋体"/>
                <w:color w:val="auto"/>
                <w:sz w:val="21"/>
                <w:szCs w:val="21"/>
              </w:rPr>
            </w:pPr>
          </w:p>
        </w:tc>
        <w:tc>
          <w:tcPr>
            <w:tcW w:w="1828" w:type="dxa"/>
            <w:vMerge w:val="continue"/>
            <w:vAlign w:val="center"/>
          </w:tcPr>
          <w:p>
            <w:pPr>
              <w:jc w:val="center"/>
              <w:rPr>
                <w:rFonts w:hint="eastAsia" w:ascii="宋体" w:hAnsi="宋体" w:eastAsia="宋体" w:cs="宋体"/>
                <w:color w:val="auto"/>
                <w:sz w:val="21"/>
                <w:szCs w:val="21"/>
              </w:rPr>
            </w:pP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075" w:type="dxa"/>
            <w:vMerge w:val="continue"/>
            <w:vAlign w:val="center"/>
          </w:tcPr>
          <w:p>
            <w:pPr>
              <w:jc w:val="center"/>
              <w:rPr>
                <w:rFonts w:hint="eastAsia" w:ascii="宋体" w:hAnsi="宋体" w:eastAsia="宋体" w:cs="宋体"/>
                <w:color w:val="auto"/>
                <w:sz w:val="21"/>
                <w:szCs w:val="21"/>
              </w:rPr>
            </w:pP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位于地质灾害体影响范围外</w:t>
            </w:r>
          </w:p>
        </w:tc>
        <w:tc>
          <w:tcPr>
            <w:tcW w:w="182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可能性小</w:t>
            </w: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强发育</w:t>
            </w:r>
          </w:p>
        </w:tc>
        <w:tc>
          <w:tcPr>
            <w:tcW w:w="1075"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危害小</w:t>
            </w: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continue"/>
            <w:vAlign w:val="center"/>
          </w:tcPr>
          <w:p>
            <w:pPr>
              <w:jc w:val="center"/>
              <w:rPr>
                <w:rFonts w:hint="eastAsia" w:ascii="宋体" w:hAnsi="宋体" w:eastAsia="宋体" w:cs="宋体"/>
                <w:color w:val="auto"/>
                <w:sz w:val="21"/>
                <w:szCs w:val="21"/>
              </w:rPr>
            </w:pPr>
          </w:p>
        </w:tc>
        <w:tc>
          <w:tcPr>
            <w:tcW w:w="1828" w:type="dxa"/>
            <w:vMerge w:val="continue"/>
            <w:vAlign w:val="center"/>
          </w:tcPr>
          <w:p>
            <w:pPr>
              <w:jc w:val="center"/>
              <w:rPr>
                <w:rFonts w:hint="eastAsia" w:ascii="宋体" w:hAnsi="宋体" w:eastAsia="宋体" w:cs="宋体"/>
                <w:color w:val="auto"/>
                <w:sz w:val="21"/>
                <w:szCs w:val="21"/>
              </w:rPr>
            </w:pP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中等发育</w:t>
            </w:r>
          </w:p>
        </w:tc>
        <w:tc>
          <w:tcPr>
            <w:tcW w:w="1075" w:type="dxa"/>
            <w:vMerge w:val="continue"/>
            <w:vAlign w:val="center"/>
          </w:tcPr>
          <w:p>
            <w:pPr>
              <w:jc w:val="center"/>
              <w:rPr>
                <w:rFonts w:hint="eastAsia" w:ascii="宋体" w:hAnsi="宋体" w:eastAsia="宋体" w:cs="宋体"/>
                <w:color w:val="auto"/>
                <w:sz w:val="21"/>
                <w:szCs w:val="21"/>
              </w:rPr>
            </w:pP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367" w:type="dxa"/>
            <w:vMerge w:val="continue"/>
            <w:vAlign w:val="center"/>
          </w:tcPr>
          <w:p>
            <w:pPr>
              <w:jc w:val="center"/>
              <w:rPr>
                <w:rFonts w:hint="eastAsia" w:ascii="宋体" w:hAnsi="宋体" w:eastAsia="宋体" w:cs="宋体"/>
                <w:color w:val="auto"/>
                <w:sz w:val="21"/>
                <w:szCs w:val="21"/>
              </w:rPr>
            </w:pPr>
          </w:p>
        </w:tc>
        <w:tc>
          <w:tcPr>
            <w:tcW w:w="1828" w:type="dxa"/>
            <w:vMerge w:val="continue"/>
            <w:vAlign w:val="center"/>
          </w:tcPr>
          <w:p>
            <w:pPr>
              <w:jc w:val="center"/>
              <w:rPr>
                <w:rFonts w:hint="eastAsia" w:ascii="宋体" w:hAnsi="宋体" w:eastAsia="宋体" w:cs="宋体"/>
                <w:color w:val="auto"/>
                <w:sz w:val="21"/>
                <w:szCs w:val="21"/>
              </w:rPr>
            </w:pPr>
          </w:p>
        </w:tc>
        <w:tc>
          <w:tcPr>
            <w:tcW w:w="1229"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弱发育</w:t>
            </w:r>
          </w:p>
        </w:tc>
        <w:tc>
          <w:tcPr>
            <w:tcW w:w="1075" w:type="dxa"/>
            <w:vMerge w:val="continue"/>
            <w:vAlign w:val="center"/>
          </w:tcPr>
          <w:p>
            <w:pPr>
              <w:jc w:val="center"/>
              <w:rPr>
                <w:rFonts w:hint="eastAsia" w:ascii="宋体" w:hAnsi="宋体" w:eastAsia="宋体" w:cs="宋体"/>
                <w:color w:val="auto"/>
                <w:sz w:val="21"/>
                <w:szCs w:val="21"/>
              </w:rPr>
            </w:pPr>
          </w:p>
        </w:tc>
        <w:tc>
          <w:tcPr>
            <w:tcW w:w="1351" w:type="dxa"/>
            <w:noWrap/>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危险性小</w:t>
            </w:r>
          </w:p>
        </w:tc>
      </w:tr>
    </w:tbl>
    <w:p>
      <w:pPr>
        <w:widowControl w:val="0"/>
        <w:adjustRightInd w:val="0"/>
        <w:snapToGrid w:val="0"/>
        <w:spacing w:line="240" w:lineRule="exact"/>
        <w:ind w:firstLine="400" w:firstLineChars="200"/>
        <w:rPr>
          <w:rFonts w:hint="eastAsia" w:ascii="宋体" w:hAnsi="宋体" w:eastAsia="宋体" w:cs="宋体"/>
          <w:color w:val="auto"/>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预测评估结论：</w:t>
      </w:r>
      <w:r>
        <w:rPr>
          <w:rFonts w:hint="eastAsia" w:ascii="宋体" w:hAnsi="宋体" w:eastAsia="宋体" w:cs="宋体"/>
          <w:color w:val="auto"/>
          <w:sz w:val="24"/>
          <w:szCs w:val="24"/>
        </w:rPr>
        <w:t>预测评估矿山采矿活动引发或加剧规划采矿场崩塌灾害的可能性</w:t>
      </w:r>
      <w:r>
        <w:rPr>
          <w:rFonts w:hint="eastAsia" w:ascii="宋体" w:hAnsi="宋体" w:eastAsia="宋体" w:cs="宋体"/>
          <w:color w:val="auto"/>
          <w:sz w:val="24"/>
          <w:szCs w:val="24"/>
          <w:highlight w:val="none"/>
        </w:rPr>
        <w:t>中等，发育程度中等，危害程度中等，危险性中等。威胁采矿设备和人员的安全，预测威胁人数20人，可能造成经济损失小于500万元。引发或加剧其他地面设施、其他区域崩塌、滑坡灾害的可能性小，发育程度弱，危害程度</w:t>
      </w:r>
      <w:r>
        <w:rPr>
          <w:rFonts w:hint="eastAsia" w:ascii="宋体" w:hAnsi="宋体" w:eastAsia="宋体" w:cs="宋体"/>
          <w:color w:val="auto"/>
          <w:sz w:val="24"/>
          <w:szCs w:val="24"/>
        </w:rPr>
        <w:t>小，危险性小。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预测评估矿山采矿活动引发或加剧滑坡灾害的可能性小，发育程度弱，危害程度小，危险性小。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预测评估矿山采矿活动引发或加剧泥石流灾害的可能性小，发育程度弱，危害程度小，危险性小。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预测评估矿山采矿活动不会引发或加剧地面塌陷、地面沉降、地裂缝等地质灾害，危害程度小，危险性小。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根据《矿山地质环境保护与恢复治理方案编制规范》“附录E 矿山地质环境影响程度分级表”（表3-</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）的评判标准，预测评估矿山地质灾害的影响程度为</w:t>
      </w:r>
      <w:r>
        <w:rPr>
          <w:rFonts w:hint="eastAsia" w:ascii="宋体" w:hAnsi="宋体" w:eastAsia="宋体" w:cs="宋体"/>
          <w:b/>
          <w:bCs/>
          <w:color w:val="auto"/>
          <w:sz w:val="24"/>
          <w:szCs w:val="24"/>
        </w:rPr>
        <w:t>较轻-较严重。</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（三）矿区含水层破坏现状分析与预测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1、矿区含水层破坏现状分析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矿山为露天采矿，未进行地下开采活动。本次调查矿山现场为原始地貌，矿区内及附近无开采地下水活动，对地下含水层结构无破坏，未影响到矿区及周围生产生活供水。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2、矿区含水层破坏预测分析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的开采仅改变采场范围内大气降雨的汇水形状和面积，不会影响地下水的补给、水量、水质及径流方式。周围没有村庄，也无水源地，矿业活动不会对周边村庄居民生活用水产生影响。开采的矿体位于地下水位之上，采矿活动不会引起矿区及周围地表水体漏失。矿山无生活区，仅仅在开采过程中有工作人员活动，平时生活范围主要集中在附近的1号砖瓦厂，在矿区范围内产生的废水较少，不会对地表水和地下水带来影响。</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3、含水层破坏影响程度评价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根据《矿山地质环境影响程度分级表》，预测评估采矿活动对评估区含水层的影响和破坏程度“</w:t>
      </w:r>
      <w:r>
        <w:rPr>
          <w:rFonts w:hint="eastAsia" w:ascii="宋体" w:hAnsi="宋体" w:eastAsia="宋体" w:cs="宋体"/>
          <w:b/>
          <w:bCs w:val="0"/>
          <w:color w:val="auto"/>
          <w:sz w:val="24"/>
          <w:szCs w:val="24"/>
        </w:rPr>
        <w:t>较轻</w:t>
      </w:r>
      <w:r>
        <w:rPr>
          <w:rFonts w:hint="eastAsia" w:ascii="宋体" w:hAnsi="宋体" w:eastAsia="宋体" w:cs="宋体"/>
          <w:bCs/>
          <w:color w:val="auto"/>
          <w:sz w:val="24"/>
          <w:szCs w:val="24"/>
        </w:rPr>
        <w:t>”。</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（四）矿区地形地貌景观破坏现状分析与预测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1、矿区地形地貌景观破坏现状分析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评估区内及周边无地质遗迹和各类自然保护区，附近也没有重要的交通及其他工程建设。故矿山现状条件下对地形地貌破坏较轻。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2、矿区地形地貌景观破坏预测分析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及周边3千米范围内无各类自然保护区、人文景观、风景旅游区、城市及主要交通干线，不存在对其影响及破坏；今后对地形地貌景观产生破坏的主要为规划露天采矿场、规划排土场、规划矿山道路等，其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（1）规划露天采矿场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今后开采可形成的最终露天采场占地面积</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其中北部采场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南部采场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eastAsia="zh-CN"/>
        </w:rPr>
        <w:t>，</w:t>
      </w:r>
      <w:r>
        <w:rPr>
          <w:rFonts w:hint="eastAsia" w:ascii="宋体" w:hAnsi="宋体" w:eastAsia="宋体" w:cs="宋体"/>
          <w:bCs/>
          <w:color w:val="auto"/>
          <w:sz w:val="24"/>
          <w:szCs w:val="24"/>
          <w:highlight w:val="none"/>
        </w:rPr>
        <w:t>无足够回填料进行回填，无法恢复原始的地形地貌景观（可恢复至与周边地形地貌景观基本相适宜），对原生地形地貌景观影响及破坏程度严重。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（2）规划排土场</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随着矿山的后续生产，矿山将在矿区</w:t>
      </w:r>
      <w:r>
        <w:rPr>
          <w:rFonts w:hint="eastAsia" w:ascii="宋体" w:hAnsi="宋体" w:cs="宋体"/>
          <w:bCs/>
          <w:color w:val="auto"/>
          <w:kern w:val="0"/>
          <w:highlight w:val="none"/>
          <w:lang w:val="en-US" w:eastAsia="zh-CN"/>
        </w:rPr>
        <w:t>东</w:t>
      </w:r>
      <w:r>
        <w:rPr>
          <w:rFonts w:hint="eastAsia" w:ascii="宋体" w:hAnsi="宋体" w:eastAsia="宋体" w:cs="宋体"/>
          <w:bCs/>
          <w:color w:val="auto"/>
          <w:kern w:val="0"/>
          <w:highlight w:val="none"/>
        </w:rPr>
        <w:t>部设置排土场，堆高3米左右，压占土地类型为裸土地，压占土地面积</w:t>
      </w:r>
      <w:r>
        <w:rPr>
          <w:rFonts w:hint="eastAsia" w:ascii="宋体" w:hAnsi="宋体" w:cs="宋体"/>
          <w:bCs/>
          <w:color w:val="auto"/>
          <w:sz w:val="24"/>
          <w:szCs w:val="24"/>
          <w:lang w:val="en-US" w:eastAsia="zh-CN"/>
        </w:rPr>
        <w:t>****</w:t>
      </w:r>
      <w:r>
        <w:rPr>
          <w:rFonts w:hint="eastAsia" w:ascii="宋体" w:hAnsi="宋体" w:eastAsia="宋体" w:cs="宋体"/>
          <w:bCs/>
          <w:color w:val="auto"/>
          <w:kern w:val="0"/>
          <w:highlight w:val="none"/>
        </w:rPr>
        <w:t>平方米。对原生的地形地貌景观影响和破坏程度较严重。</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（3）</w:t>
      </w:r>
      <w:r>
        <w:rPr>
          <w:rFonts w:hint="eastAsia" w:ascii="宋体" w:hAnsi="宋体" w:eastAsia="宋体" w:cs="宋体"/>
          <w:bCs/>
          <w:color w:val="auto"/>
          <w:highlight w:val="none"/>
        </w:rPr>
        <w:t>规划矿山道路</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矿山计划修建矿山道路连接露天采场及外部运输道路，作为对外交通运输的主要通道，均呈带状分布，压占土地类型为裸土地，压占土地面积</w:t>
      </w:r>
      <w:r>
        <w:rPr>
          <w:rFonts w:hint="eastAsia" w:ascii="宋体" w:hAnsi="宋体" w:cs="宋体"/>
          <w:bCs/>
          <w:color w:val="auto"/>
          <w:sz w:val="24"/>
          <w:szCs w:val="24"/>
          <w:lang w:val="en-US" w:eastAsia="zh-CN"/>
        </w:rPr>
        <w:t>****</w:t>
      </w:r>
      <w:r>
        <w:rPr>
          <w:rFonts w:hint="eastAsia" w:ascii="宋体" w:hAnsi="宋体" w:eastAsia="宋体" w:cs="宋体"/>
          <w:bCs/>
          <w:color w:val="auto"/>
          <w:kern w:val="0"/>
          <w:highlight w:val="none"/>
        </w:rPr>
        <w:t>平方米，预测矿山道路对地形地貌景观影响和破坏程度较严重。</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kern w:val="0"/>
          <w:highlight w:val="none"/>
          <w:lang w:eastAsia="zh-CN"/>
        </w:rPr>
      </w:pPr>
      <w:r>
        <w:rPr>
          <w:rFonts w:hint="eastAsia" w:ascii="宋体" w:hAnsi="宋体" w:eastAsia="宋体" w:cs="宋体"/>
          <w:bCs/>
          <w:color w:val="auto"/>
          <w:kern w:val="0"/>
          <w:highlight w:val="none"/>
          <w:lang w:eastAsia="zh-CN"/>
        </w:rPr>
        <w:t>（</w:t>
      </w:r>
      <w:r>
        <w:rPr>
          <w:rFonts w:hint="eastAsia" w:ascii="宋体" w:hAnsi="宋体" w:eastAsia="宋体" w:cs="宋体"/>
          <w:bCs/>
          <w:color w:val="auto"/>
          <w:kern w:val="0"/>
          <w:highlight w:val="none"/>
          <w:lang w:val="en-US" w:eastAsia="zh-CN"/>
        </w:rPr>
        <w:t>4</w:t>
      </w:r>
      <w:r>
        <w:rPr>
          <w:rFonts w:hint="eastAsia" w:ascii="宋体" w:hAnsi="宋体" w:eastAsia="宋体" w:cs="宋体"/>
          <w:bCs/>
          <w:color w:val="auto"/>
          <w:kern w:val="0"/>
          <w:highlight w:val="none"/>
          <w:lang w:eastAsia="zh-CN"/>
        </w:rPr>
        <w:t>）</w:t>
      </w:r>
      <w:r>
        <w:rPr>
          <w:rFonts w:hint="eastAsia" w:ascii="宋体" w:hAnsi="宋体" w:eastAsia="宋体" w:cs="宋体"/>
          <w:bCs/>
          <w:color w:val="auto"/>
          <w:kern w:val="0"/>
          <w:highlight w:val="none"/>
        </w:rPr>
        <w:t>矿山</w:t>
      </w:r>
      <w:r>
        <w:rPr>
          <w:rFonts w:hint="eastAsia" w:ascii="宋体" w:hAnsi="宋体" w:eastAsia="宋体" w:cs="宋体"/>
          <w:bCs/>
          <w:color w:val="auto"/>
          <w:kern w:val="0"/>
          <w:highlight w:val="none"/>
          <w:lang w:val="en-US" w:eastAsia="zh-CN"/>
        </w:rPr>
        <w:t>计划</w:t>
      </w:r>
      <w:r>
        <w:rPr>
          <w:rFonts w:hint="eastAsia" w:ascii="宋体" w:hAnsi="宋体" w:eastAsia="宋体" w:cs="宋体"/>
          <w:bCs/>
          <w:color w:val="auto"/>
          <w:kern w:val="0"/>
          <w:highlight w:val="none"/>
        </w:rPr>
        <w:t>在矿区</w:t>
      </w:r>
      <w:r>
        <w:rPr>
          <w:rFonts w:hint="eastAsia" w:ascii="宋体" w:hAnsi="宋体" w:eastAsia="宋体" w:cs="宋体"/>
          <w:bCs/>
          <w:color w:val="auto"/>
          <w:kern w:val="0"/>
          <w:highlight w:val="none"/>
          <w:lang w:val="en-US" w:eastAsia="zh-CN"/>
        </w:rPr>
        <w:t>东</w:t>
      </w:r>
      <w:r>
        <w:rPr>
          <w:rFonts w:hint="eastAsia" w:ascii="宋体" w:hAnsi="宋体" w:eastAsia="宋体" w:cs="宋体"/>
          <w:bCs/>
          <w:color w:val="auto"/>
          <w:kern w:val="0"/>
          <w:highlight w:val="none"/>
        </w:rPr>
        <w:t>部</w:t>
      </w:r>
      <w:r>
        <w:rPr>
          <w:rFonts w:hint="eastAsia" w:ascii="宋体" w:hAnsi="宋体" w:eastAsia="宋体" w:cs="宋体"/>
          <w:bCs/>
          <w:color w:val="auto"/>
          <w:kern w:val="0"/>
          <w:highlight w:val="none"/>
          <w:lang w:val="en-US" w:eastAsia="zh-CN"/>
        </w:rPr>
        <w:t>建设生活区</w:t>
      </w:r>
      <w:r>
        <w:rPr>
          <w:rFonts w:hint="eastAsia" w:ascii="宋体" w:hAnsi="宋体" w:eastAsia="宋体" w:cs="宋体"/>
          <w:bCs/>
          <w:color w:val="auto"/>
          <w:kern w:val="0"/>
          <w:highlight w:val="none"/>
        </w:rPr>
        <w:t>，压占土地类型为裸土地，压占土地面积</w:t>
      </w:r>
      <w:r>
        <w:rPr>
          <w:rFonts w:hint="eastAsia" w:ascii="宋体" w:hAnsi="宋体" w:cs="宋体"/>
          <w:bCs/>
          <w:color w:val="auto"/>
          <w:sz w:val="24"/>
          <w:szCs w:val="24"/>
          <w:lang w:val="en-US" w:eastAsia="zh-CN"/>
        </w:rPr>
        <w:t>****</w:t>
      </w:r>
      <w:r>
        <w:rPr>
          <w:rFonts w:hint="eastAsia" w:ascii="宋体" w:hAnsi="宋体" w:eastAsia="宋体" w:cs="宋体"/>
          <w:bCs/>
          <w:color w:val="auto"/>
          <w:kern w:val="0"/>
          <w:highlight w:val="none"/>
        </w:rPr>
        <w:t>平方米。对原生的地形地貌景观影响和破坏程度较严重。</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kern w:val="0"/>
        </w:rPr>
      </w:pPr>
      <w:r>
        <w:rPr>
          <w:rFonts w:hint="eastAsia" w:ascii="宋体" w:hAnsi="宋体" w:eastAsia="宋体" w:cs="宋体"/>
          <w:bCs/>
          <w:color w:val="auto"/>
          <w:kern w:val="0"/>
        </w:rPr>
        <w:t>（</w:t>
      </w:r>
      <w:r>
        <w:rPr>
          <w:rFonts w:hint="eastAsia" w:ascii="宋体" w:hAnsi="宋体" w:cs="宋体"/>
          <w:bCs/>
          <w:color w:val="auto"/>
          <w:kern w:val="0"/>
          <w:lang w:val="en-US" w:eastAsia="zh-CN"/>
        </w:rPr>
        <w:t>5</w:t>
      </w:r>
      <w:r>
        <w:rPr>
          <w:rFonts w:hint="eastAsia" w:ascii="宋体" w:hAnsi="宋体" w:eastAsia="宋体" w:cs="宋体"/>
          <w:bCs/>
          <w:color w:val="auto"/>
          <w:kern w:val="0"/>
        </w:rPr>
        <w:t>）除以上述区域外评估区其他区域</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kern w:val="0"/>
        </w:rPr>
      </w:pPr>
      <w:r>
        <w:rPr>
          <w:rFonts w:hint="eastAsia" w:ascii="宋体" w:hAnsi="宋体" w:eastAsia="宋体" w:cs="宋体"/>
          <w:bCs/>
          <w:color w:val="auto"/>
          <w:kern w:val="0"/>
        </w:rPr>
        <w:t>除以上述区域外评估区其他区域未受采矿活动影响，仍保持原有地形地貌景观，矿山及其影响范围内无各类自然保护区、人文景观、风景旅游区，远离城市、主要交通干线，对城市和交通干线周围地形地貌景观影响较轻。依据矿山地质环境影响程度分级表3-</w:t>
      </w:r>
      <w:r>
        <w:rPr>
          <w:rFonts w:hint="eastAsia" w:ascii="宋体" w:hAnsi="宋体" w:cs="宋体"/>
          <w:bCs/>
          <w:color w:val="auto"/>
          <w:kern w:val="0"/>
          <w:lang w:val="en-US" w:eastAsia="zh-CN"/>
        </w:rPr>
        <w:t>6</w:t>
      </w:r>
      <w:r>
        <w:rPr>
          <w:rFonts w:hint="eastAsia" w:ascii="宋体" w:hAnsi="宋体" w:eastAsia="宋体" w:cs="宋体"/>
          <w:bCs/>
          <w:color w:val="auto"/>
          <w:kern w:val="0"/>
        </w:rPr>
        <w:t>，预测评估除以上述区域外评估区其他区域对地形地貌景的影响程度较轻。</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kern w:val="0"/>
        </w:rPr>
      </w:pPr>
      <w:r>
        <w:rPr>
          <w:rFonts w:hint="eastAsia" w:ascii="宋体" w:hAnsi="宋体" w:eastAsia="宋体" w:cs="宋体"/>
          <w:bCs/>
          <w:color w:val="auto"/>
          <w:kern w:val="0"/>
        </w:rPr>
        <w:t>小结：预测评估规划露天采场对地形地貌景观的影响为严重；规划排土场、规划矿山道路</w:t>
      </w:r>
      <w:r>
        <w:rPr>
          <w:rFonts w:hint="eastAsia" w:ascii="宋体" w:hAnsi="宋体" w:cs="宋体"/>
          <w:bCs/>
          <w:color w:val="auto"/>
          <w:kern w:val="0"/>
          <w:lang w:eastAsia="zh-CN"/>
        </w:rPr>
        <w:t>、</w:t>
      </w:r>
      <w:r>
        <w:rPr>
          <w:rFonts w:hint="eastAsia" w:ascii="宋体" w:hAnsi="宋体" w:cs="宋体"/>
          <w:bCs/>
          <w:color w:val="auto"/>
          <w:kern w:val="0"/>
          <w:lang w:val="en-US" w:eastAsia="zh-CN"/>
        </w:rPr>
        <w:t>规划生活区</w:t>
      </w:r>
      <w:r>
        <w:rPr>
          <w:rFonts w:hint="eastAsia" w:ascii="宋体" w:hAnsi="宋体" w:eastAsia="宋体" w:cs="宋体"/>
          <w:bCs/>
          <w:color w:val="auto"/>
          <w:kern w:val="0"/>
        </w:rPr>
        <w:t>对地形地貌景观的影响为较严重，除上述区域以外的其他区域对地形地貌景观的影响为较轻。根据《矿山地质环境保护与恢复治理方案编制规范》（DZ/T0223-2011）“附录E矿山地质环境影响程度分级表”（表3-</w:t>
      </w:r>
      <w:r>
        <w:rPr>
          <w:rFonts w:hint="eastAsia" w:ascii="宋体" w:hAnsi="宋体" w:cs="宋体"/>
          <w:bCs/>
          <w:color w:val="auto"/>
          <w:kern w:val="0"/>
          <w:lang w:val="en-US" w:eastAsia="zh-CN"/>
        </w:rPr>
        <w:t>6</w:t>
      </w:r>
      <w:r>
        <w:rPr>
          <w:rFonts w:hint="eastAsia" w:ascii="宋体" w:hAnsi="宋体" w:eastAsia="宋体" w:cs="宋体"/>
          <w:bCs/>
          <w:color w:val="auto"/>
          <w:kern w:val="0"/>
        </w:rPr>
        <w:t>）的评判标准，预测评估矿山开采影响区对地形地貌景观的影响程度为严重（见表3-2</w:t>
      </w:r>
      <w:r>
        <w:rPr>
          <w:rFonts w:hint="eastAsia" w:ascii="宋体" w:hAnsi="宋体" w:cs="宋体"/>
          <w:bCs/>
          <w:color w:val="auto"/>
          <w:kern w:val="0"/>
          <w:lang w:val="en-US" w:eastAsia="zh-CN"/>
        </w:rPr>
        <w:t>1</w:t>
      </w:r>
      <w:r>
        <w:rPr>
          <w:rFonts w:hint="eastAsia" w:ascii="宋体" w:hAnsi="宋体" w:eastAsia="宋体" w:cs="宋体"/>
          <w:bCs/>
          <w:color w:val="auto"/>
          <w:kern w:val="0"/>
        </w:rPr>
        <w:t>）。</w:t>
      </w:r>
    </w:p>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表3-2</w:t>
      </w:r>
      <w:r>
        <w:rPr>
          <w:rFonts w:hint="eastAsia" w:ascii="宋体" w:hAnsi="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 xml:space="preserve">   </w:t>
      </w:r>
      <w:r>
        <w:rPr>
          <w:rFonts w:hint="eastAsia" w:ascii="宋体" w:hAnsi="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地形地貌景观影响程度预测评估分区表 </w:t>
      </w:r>
    </w:p>
    <w:tbl>
      <w:tblPr>
        <w:tblStyle w:val="53"/>
        <w:tblW w:w="7350" w:type="dxa"/>
        <w:jc w:val="center"/>
        <w:tblInd w:w="0" w:type="dxa"/>
        <w:tblLayout w:type="fixed"/>
        <w:tblCellMar>
          <w:top w:w="0" w:type="dxa"/>
          <w:left w:w="108" w:type="dxa"/>
          <w:bottom w:w="0" w:type="dxa"/>
          <w:right w:w="108" w:type="dxa"/>
        </w:tblCellMar>
      </w:tblPr>
      <w:tblGrid>
        <w:gridCol w:w="1080"/>
        <w:gridCol w:w="2190"/>
        <w:gridCol w:w="1920"/>
        <w:gridCol w:w="1080"/>
        <w:gridCol w:w="1080"/>
      </w:tblGrid>
      <w:tr>
        <w:tblPrEx>
          <w:tblLayout w:type="fixed"/>
          <w:tblCellMar>
            <w:top w:w="0" w:type="dxa"/>
            <w:left w:w="108" w:type="dxa"/>
            <w:bottom w:w="0" w:type="dxa"/>
            <w:right w:w="108" w:type="dxa"/>
          </w:tblCellMar>
        </w:tblPrEx>
        <w:trPr>
          <w:trHeight w:val="510" w:hRule="atLeast"/>
          <w:tblHeader/>
          <w:jc w:val="center"/>
        </w:trPr>
        <w:tc>
          <w:tcPr>
            <w:tcW w:w="1080" w:type="dxa"/>
            <w:tcBorders>
              <w:top w:val="single" w:color="000000" w:sz="4" w:space="0"/>
              <w:left w:val="single" w:color="000000" w:sz="4" w:space="0"/>
              <w:bottom w:val="single" w:color="auto" w:sz="4" w:space="0"/>
              <w:right w:val="single" w:color="000000" w:sz="4" w:space="0"/>
            </w:tcBorders>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评估分区</w:t>
            </w:r>
          </w:p>
        </w:tc>
        <w:tc>
          <w:tcPr>
            <w:tcW w:w="219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分布区域</w:t>
            </w:r>
          </w:p>
        </w:tc>
        <w:tc>
          <w:tcPr>
            <w:tcW w:w="192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占地面积（hm</w:t>
            </w:r>
            <w:r>
              <w:rPr>
                <w:rFonts w:hint="eastAsia" w:ascii="宋体" w:hAnsi="宋体" w:eastAsia="宋体" w:cs="宋体"/>
                <w:b/>
                <w:bCs/>
                <w:color w:val="auto"/>
                <w:sz w:val="21"/>
                <w:szCs w:val="21"/>
                <w:vertAlign w:val="superscript"/>
                <w:lang w:bidi="ar"/>
              </w:rPr>
              <w:t>2</w:t>
            </w:r>
            <w:r>
              <w:rPr>
                <w:rFonts w:hint="eastAsia" w:ascii="宋体" w:hAnsi="宋体" w:eastAsia="宋体" w:cs="宋体"/>
                <w:b/>
                <w:bCs/>
                <w:color w:val="auto"/>
                <w:sz w:val="21"/>
                <w:szCs w:val="21"/>
                <w:lang w:bidi="ar"/>
              </w:rPr>
              <w:t>）</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破坏类型</w:t>
            </w:r>
          </w:p>
        </w:tc>
        <w:tc>
          <w:tcPr>
            <w:tcW w:w="108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地形地貌景观</w:t>
            </w:r>
          </w:p>
        </w:tc>
      </w:tr>
      <w:tr>
        <w:tblPrEx>
          <w:tblLayout w:type="fixed"/>
          <w:tblCellMar>
            <w:top w:w="0" w:type="dxa"/>
            <w:left w:w="108" w:type="dxa"/>
            <w:bottom w:w="0" w:type="dxa"/>
            <w:right w:w="108" w:type="dxa"/>
          </w:tblCellMar>
        </w:tblPrEx>
        <w:trPr>
          <w:trHeight w:val="340" w:hRule="exact"/>
          <w:jc w:val="center"/>
        </w:trPr>
        <w:tc>
          <w:tcPr>
            <w:tcW w:w="108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严重区</w:t>
            </w:r>
          </w:p>
        </w:tc>
        <w:tc>
          <w:tcPr>
            <w:tcW w:w="219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规划露天采场</w:t>
            </w:r>
          </w:p>
        </w:tc>
        <w:tc>
          <w:tcPr>
            <w:tcW w:w="19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挖损</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r>
      <w:tr>
        <w:tblPrEx>
          <w:tblLayout w:type="fixed"/>
          <w:tblCellMar>
            <w:top w:w="0" w:type="dxa"/>
            <w:left w:w="108" w:type="dxa"/>
            <w:bottom w:w="0" w:type="dxa"/>
            <w:right w:w="108" w:type="dxa"/>
          </w:tblCellMar>
        </w:tblPrEx>
        <w:trPr>
          <w:trHeight w:val="340" w:hRule="exact"/>
          <w:jc w:val="center"/>
        </w:trPr>
        <w:tc>
          <w:tcPr>
            <w:tcW w:w="1080" w:type="dxa"/>
            <w:vMerge w:val="restart"/>
            <w:tcBorders>
              <w:top w:val="single" w:color="auto" w:sz="4" w:space="0"/>
              <w:left w:val="single" w:color="auto" w:sz="4" w:space="0"/>
              <w:right w:val="single" w:color="auto"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219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规划排土场</w:t>
            </w:r>
          </w:p>
        </w:tc>
        <w:tc>
          <w:tcPr>
            <w:tcW w:w="19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压占</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r>
      <w:tr>
        <w:tblPrEx>
          <w:tblLayout w:type="fixed"/>
          <w:tblCellMar>
            <w:top w:w="0" w:type="dxa"/>
            <w:left w:w="108" w:type="dxa"/>
            <w:bottom w:w="0" w:type="dxa"/>
            <w:right w:w="108" w:type="dxa"/>
          </w:tblCellMar>
        </w:tblPrEx>
        <w:trPr>
          <w:trHeight w:val="340" w:hRule="exact"/>
          <w:jc w:val="center"/>
        </w:trPr>
        <w:tc>
          <w:tcPr>
            <w:tcW w:w="1080" w:type="dxa"/>
            <w:vMerge w:val="continue"/>
            <w:tcBorders>
              <w:left w:val="single" w:color="auto" w:sz="4" w:space="0"/>
              <w:right w:val="single" w:color="auto" w:sz="4" w:space="0"/>
            </w:tcBorders>
            <w:vAlign w:val="center"/>
          </w:tcPr>
          <w:p>
            <w:pPr>
              <w:spacing w:line="240" w:lineRule="auto"/>
              <w:jc w:val="center"/>
              <w:rPr>
                <w:rFonts w:hint="eastAsia" w:ascii="宋体" w:hAnsi="宋体" w:eastAsia="宋体" w:cs="宋体"/>
                <w:color w:val="auto"/>
                <w:sz w:val="21"/>
                <w:szCs w:val="21"/>
              </w:rPr>
            </w:pPr>
          </w:p>
        </w:tc>
        <w:tc>
          <w:tcPr>
            <w:tcW w:w="219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规划生活区</w:t>
            </w:r>
          </w:p>
        </w:tc>
        <w:tc>
          <w:tcPr>
            <w:tcW w:w="19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bCs/>
                <w:color w:val="auto"/>
                <w:sz w:val="24"/>
                <w:szCs w:val="24"/>
                <w:lang w:val="en-US" w:eastAsia="zh-CN"/>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压占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较严重</w:t>
            </w:r>
          </w:p>
        </w:tc>
      </w:tr>
      <w:tr>
        <w:tblPrEx>
          <w:tblLayout w:type="fixed"/>
          <w:tblCellMar>
            <w:top w:w="0" w:type="dxa"/>
            <w:left w:w="108" w:type="dxa"/>
            <w:bottom w:w="0" w:type="dxa"/>
            <w:right w:w="108" w:type="dxa"/>
          </w:tblCellMar>
        </w:tblPrEx>
        <w:trPr>
          <w:trHeight w:val="340" w:hRule="exact"/>
          <w:jc w:val="center"/>
        </w:trPr>
        <w:tc>
          <w:tcPr>
            <w:tcW w:w="1080" w:type="dxa"/>
            <w:vMerge w:val="continue"/>
            <w:tcBorders>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color w:val="auto"/>
                <w:sz w:val="21"/>
                <w:szCs w:val="21"/>
              </w:rPr>
            </w:pPr>
          </w:p>
        </w:tc>
        <w:tc>
          <w:tcPr>
            <w:tcW w:w="2190" w:type="dxa"/>
            <w:tcBorders>
              <w:top w:val="single" w:color="000000" w:sz="4" w:space="0"/>
              <w:left w:val="single" w:color="auto"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规划矿山道路</w:t>
            </w:r>
          </w:p>
        </w:tc>
        <w:tc>
          <w:tcPr>
            <w:tcW w:w="19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bCs/>
                <w:color w:val="auto"/>
                <w:sz w:val="24"/>
                <w:szCs w:val="24"/>
                <w:lang w:val="en-US" w:eastAsia="zh-CN"/>
              </w:rPr>
              <w:t>****</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压占</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r>
      <w:tr>
        <w:tblPrEx>
          <w:tblLayout w:type="fixed"/>
          <w:tblCellMar>
            <w:top w:w="0" w:type="dxa"/>
            <w:left w:w="108" w:type="dxa"/>
            <w:bottom w:w="0" w:type="dxa"/>
            <w:right w:w="108" w:type="dxa"/>
          </w:tblCellMar>
        </w:tblPrEx>
        <w:trPr>
          <w:trHeight w:val="340" w:hRule="exact"/>
          <w:jc w:val="center"/>
        </w:trPr>
        <w:tc>
          <w:tcPr>
            <w:tcW w:w="1080" w:type="dxa"/>
            <w:tcBorders>
              <w:top w:val="single" w:color="auto"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小计</w:t>
            </w:r>
          </w:p>
        </w:tc>
        <w:tc>
          <w:tcPr>
            <w:tcW w:w="627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cs="宋体"/>
                <w:bCs/>
                <w:color w:val="auto"/>
                <w:sz w:val="24"/>
                <w:szCs w:val="24"/>
                <w:lang w:val="en-US" w:eastAsia="zh-CN"/>
              </w:rPr>
              <w:t>****</w:t>
            </w:r>
          </w:p>
        </w:tc>
      </w:tr>
      <w:tr>
        <w:tblPrEx>
          <w:tblLayout w:type="fixed"/>
          <w:tblCellMar>
            <w:top w:w="0" w:type="dxa"/>
            <w:left w:w="108" w:type="dxa"/>
            <w:bottom w:w="0" w:type="dxa"/>
            <w:right w:w="108" w:type="dxa"/>
          </w:tblCellMar>
        </w:tblPrEx>
        <w:trPr>
          <w:trHeight w:val="340" w:hRule="exac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较轻区</w:t>
            </w:r>
          </w:p>
        </w:tc>
        <w:tc>
          <w:tcPr>
            <w:tcW w:w="219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其他区域</w:t>
            </w:r>
          </w:p>
        </w:tc>
        <w:tc>
          <w:tcPr>
            <w:tcW w:w="192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lang w:val="en-US" w:eastAsia="zh-CN"/>
              </w:rPr>
            </w:pPr>
            <w:r>
              <w:rPr>
                <w:rFonts w:hint="eastAsia" w:ascii="宋体" w:hAnsi="宋体" w:cs="宋体"/>
                <w:bCs/>
                <w:color w:val="auto"/>
                <w:sz w:val="24"/>
                <w:szCs w:val="24"/>
                <w:lang w:val="en-US" w:eastAsia="zh-CN"/>
              </w:rPr>
              <w:t>****</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未破坏</w:t>
            </w:r>
          </w:p>
        </w:tc>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r>
      <w:tr>
        <w:tblPrEx>
          <w:tblLayout w:type="fixed"/>
          <w:tblCellMar>
            <w:top w:w="0" w:type="dxa"/>
            <w:left w:w="108" w:type="dxa"/>
            <w:bottom w:w="0" w:type="dxa"/>
            <w:right w:w="108" w:type="dxa"/>
          </w:tblCellMar>
        </w:tblPrEx>
        <w:trPr>
          <w:trHeight w:val="340" w:hRule="exac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小计</w:t>
            </w:r>
          </w:p>
        </w:tc>
        <w:tc>
          <w:tcPr>
            <w:tcW w:w="627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cs="宋体"/>
                <w:bCs/>
                <w:color w:val="auto"/>
                <w:sz w:val="24"/>
                <w:szCs w:val="24"/>
                <w:lang w:val="en-US" w:eastAsia="zh-CN"/>
              </w:rPr>
              <w:t>****</w:t>
            </w:r>
          </w:p>
        </w:tc>
      </w:tr>
      <w:tr>
        <w:tblPrEx>
          <w:tblLayout w:type="fixed"/>
          <w:tblCellMar>
            <w:top w:w="0" w:type="dxa"/>
            <w:left w:w="108" w:type="dxa"/>
            <w:bottom w:w="0" w:type="dxa"/>
            <w:right w:w="108" w:type="dxa"/>
          </w:tblCellMar>
        </w:tblPrEx>
        <w:trPr>
          <w:trHeight w:val="340" w:hRule="exact"/>
          <w:jc w:val="center"/>
        </w:trPr>
        <w:tc>
          <w:tcPr>
            <w:tcW w:w="1080" w:type="dxa"/>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lang w:bidi="ar"/>
              </w:rPr>
              <w:t>合计</w:t>
            </w:r>
          </w:p>
        </w:tc>
        <w:tc>
          <w:tcPr>
            <w:tcW w:w="6270"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rPr>
            </w:pPr>
            <w:r>
              <w:rPr>
                <w:rFonts w:hint="eastAsia" w:ascii="宋体" w:hAnsi="宋体" w:cs="宋体"/>
                <w:bCs/>
                <w:color w:val="auto"/>
                <w:sz w:val="24"/>
                <w:szCs w:val="24"/>
                <w:lang w:val="en-US" w:eastAsia="zh-CN"/>
              </w:rPr>
              <w:t>****</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（五）矿区水土污染现状评估与预测</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1、水环境污染现状分析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rPr>
        <w:t>本次矿区内水环境污染分析从以下两个方面进行：地下/地表水水质分析</w:t>
      </w:r>
      <w:r>
        <w:rPr>
          <w:rFonts w:hint="eastAsia" w:ascii="宋体" w:hAnsi="宋体" w:cs="宋体"/>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矿山开采方式为露天开采，开采矿种为砖瓦用页岩，矿区无地表水体，也未见地下水露头。矿山未见开采活动，为原始地貌。并未造成地下水水质恶化，对地下水污染影响较轻。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2、土壤污染现状分析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根据现场调查，评价区现状为原始地貌，因此现状下不存在对土壤污染问题，现状污染程度较轻。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3、矿区水土环境污染预测分析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矿山以后进行生产活动，产生的生产废水主要来源于在生产过中降尘废水，主要为含泥沙的废水，无有毒污染物，矿山生产年限</w:t>
      </w:r>
      <w:r>
        <w:rPr>
          <w:rFonts w:hint="eastAsia" w:ascii="宋体" w:hAnsi="宋体" w:cs="宋体"/>
          <w:bCs/>
          <w:color w:val="auto"/>
          <w:sz w:val="24"/>
          <w:szCs w:val="24"/>
          <w:highlight w:val="none"/>
          <w:lang w:val="en-US" w:eastAsia="zh-CN"/>
        </w:rPr>
        <w:t>27.2</w:t>
      </w:r>
      <w:r>
        <w:rPr>
          <w:rFonts w:hint="eastAsia" w:ascii="宋体" w:hAnsi="宋体" w:eastAsia="宋体" w:cs="宋体"/>
          <w:bCs/>
          <w:color w:val="auto"/>
          <w:sz w:val="24"/>
          <w:szCs w:val="24"/>
          <w:highlight w:val="none"/>
        </w:rPr>
        <w:t>年，生产废水可循环利用。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综合分析预测矿区水土环境污染影响程度较轻。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4、矿区水土环境污染影响评价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矿山活动对区域内地下水、地表水、生活污水及土壤环境污染影响较小，综合判定对矿区水土环境污染程度较轻。</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（六）矿区大气环境污染现状分析与预测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矿区内未进行过开采活动，现状分析采矿活动对大气环境污染污染程度较轻。</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1</w:t>
      </w:r>
      <w:r>
        <w:rPr>
          <w:rFonts w:hint="eastAsia" w:ascii="宋体" w:hAnsi="宋体" w:cs="宋体"/>
          <w:b/>
          <w:bCs w:val="0"/>
          <w:color w:val="auto"/>
          <w:sz w:val="24"/>
          <w:szCs w:val="24"/>
          <w:lang w:eastAsia="zh-CN"/>
        </w:rPr>
        <w:t>、</w:t>
      </w:r>
      <w:r>
        <w:rPr>
          <w:rFonts w:hint="eastAsia" w:ascii="宋体" w:hAnsi="宋体" w:eastAsia="宋体" w:cs="宋体"/>
          <w:b/>
          <w:bCs w:val="0"/>
          <w:color w:val="auto"/>
          <w:sz w:val="24"/>
          <w:szCs w:val="24"/>
        </w:rPr>
        <w:t>矿区大气污染预测分析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（1）采场粉尘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矿山矿体开采过程中会产生粉尘，开采时通过洒水降尘。采取有效的降尘措施后，对大气污染程度较轻。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（2）矿山道路粉尘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运输道路扬尘主要是轮胎旋转时从路面带起的尘、车体运动形成的漩涡卷起的尘、道路表面的浮尘，设计采取洒水抑尘、控制车速、严禁超载、清扫路面等措施，可以大幅度降低运输道路扬尘，预测分析运输道路扬尘对大气环境影响较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由以上分析可知：对采矿场、运输道路粉尘在采取上述有效的降尘、防治措施后，其污染影响是有限的，不会对矿区及周边区域产生明显的大气污染影响。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综上所述，预测矿山开采对大气污染程度“较轻”。</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（七）矿山地质环境影响综合评估</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宋体" w:eastAsia="宋体" w:cs="宋体"/>
          <w:b/>
          <w:color w:val="auto"/>
          <w:sz w:val="24"/>
          <w:szCs w:val="24"/>
        </w:rPr>
      </w:pPr>
      <w:r>
        <w:rPr>
          <w:rFonts w:hint="eastAsia" w:ascii="宋体" w:hAnsi="宋体" w:cs="宋体"/>
          <w:b/>
          <w:color w:val="auto"/>
          <w:sz w:val="24"/>
          <w:szCs w:val="24"/>
          <w:lang w:val="en-US" w:eastAsia="zh-CN"/>
        </w:rPr>
        <w:t>1、</w:t>
      </w:r>
      <w:r>
        <w:rPr>
          <w:rFonts w:hint="eastAsia" w:ascii="宋体" w:hAnsi="宋体" w:eastAsia="宋体" w:cs="宋体"/>
          <w:b/>
          <w:color w:val="auto"/>
          <w:sz w:val="24"/>
          <w:szCs w:val="24"/>
        </w:rPr>
        <w:t>现状矿山地质环境问题</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1</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现状条件下，矿山范围内为原始地貌，评估区崩塌、滑坡、泥石流、地面塌陷、地面沉降、地裂缝地质灾害不发育，危害程度小，危险性小；评估区内地质灾害对矿山地质环境影响程度较轻。</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2</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现状条件下，评估区内含水层的破坏对矿山地质环境影响程度较轻。</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3</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现状条件下，评估区为原始地貌，评估区内地形地貌景观的破坏对矿山地质环境影响程度较轻。</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4</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现状条件下，评估区为原始地貌，矿山水土污染影响较轻。</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5</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综上所述，根据上述现状单要素评估结果，确定整个评估区地质环境影响分区划分为较轻区，较轻区面积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公顷。矿山地质环境影响与破坏现状评估分区见表3-2</w:t>
      </w: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rPr>
        <w:t>。</w:t>
      </w:r>
    </w:p>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表3-2</w:t>
      </w:r>
      <w:r>
        <w:rPr>
          <w:rFonts w:hint="eastAsia" w:ascii="宋体" w:hAnsi="宋体" w:cs="宋体"/>
          <w:b/>
          <w:bCs/>
          <w:color w:val="auto"/>
          <w:sz w:val="21"/>
          <w:szCs w:val="21"/>
          <w:highlight w:val="none"/>
          <w:lang w:val="en-US" w:eastAsia="zh-CN"/>
        </w:rPr>
        <w:t xml:space="preserve">2     </w:t>
      </w:r>
      <w:r>
        <w:rPr>
          <w:rFonts w:hint="eastAsia" w:ascii="宋体" w:hAnsi="宋体" w:eastAsia="宋体" w:cs="宋体"/>
          <w:b/>
          <w:bCs/>
          <w:color w:val="auto"/>
          <w:sz w:val="21"/>
          <w:szCs w:val="21"/>
          <w:highlight w:val="none"/>
        </w:rPr>
        <w:t xml:space="preserve"> 矿山地质问题现状分析表</w:t>
      </w:r>
    </w:p>
    <w:tbl>
      <w:tblPr>
        <w:tblStyle w:val="53"/>
        <w:tblW w:w="87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728"/>
        <w:gridCol w:w="987"/>
        <w:gridCol w:w="902"/>
        <w:gridCol w:w="1102"/>
        <w:gridCol w:w="767"/>
        <w:gridCol w:w="80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blHeader/>
          <w:jc w:val="center"/>
        </w:trPr>
        <w:tc>
          <w:tcPr>
            <w:tcW w:w="1097"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评估分区</w:t>
            </w:r>
          </w:p>
        </w:tc>
        <w:tc>
          <w:tcPr>
            <w:tcW w:w="1728"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影响区域</w:t>
            </w:r>
          </w:p>
        </w:tc>
        <w:tc>
          <w:tcPr>
            <w:tcW w:w="987"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地质灾害</w:t>
            </w:r>
          </w:p>
        </w:tc>
        <w:tc>
          <w:tcPr>
            <w:tcW w:w="902"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含水层</w:t>
            </w:r>
          </w:p>
        </w:tc>
        <w:tc>
          <w:tcPr>
            <w:tcW w:w="1102"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地形地貌景观</w:t>
            </w:r>
          </w:p>
        </w:tc>
        <w:tc>
          <w:tcPr>
            <w:tcW w:w="767"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水土资源</w:t>
            </w:r>
          </w:p>
        </w:tc>
        <w:tc>
          <w:tcPr>
            <w:tcW w:w="800"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大气污染</w:t>
            </w:r>
          </w:p>
        </w:tc>
        <w:tc>
          <w:tcPr>
            <w:tcW w:w="1346" w:type="dxa"/>
            <w:vAlign w:val="center"/>
          </w:tcPr>
          <w:p>
            <w:pPr>
              <w:autoSpaceDE w:val="0"/>
              <w:autoSpaceDN w:val="0"/>
              <w:adjustRightInd w:val="0"/>
              <w:snapToGrid w:val="0"/>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097"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较轻区</w:t>
            </w:r>
          </w:p>
        </w:tc>
        <w:tc>
          <w:tcPr>
            <w:tcW w:w="1728"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所有评估区区域</w:t>
            </w:r>
          </w:p>
        </w:tc>
        <w:tc>
          <w:tcPr>
            <w:tcW w:w="987"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较轻</w:t>
            </w:r>
          </w:p>
        </w:tc>
        <w:tc>
          <w:tcPr>
            <w:tcW w:w="902"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较轻</w:t>
            </w:r>
          </w:p>
        </w:tc>
        <w:tc>
          <w:tcPr>
            <w:tcW w:w="1102"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较轻</w:t>
            </w:r>
          </w:p>
        </w:tc>
        <w:tc>
          <w:tcPr>
            <w:tcW w:w="767"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较轻</w:t>
            </w:r>
          </w:p>
        </w:tc>
        <w:tc>
          <w:tcPr>
            <w:tcW w:w="800" w:type="dxa"/>
            <w:vAlign w:val="center"/>
          </w:tcPr>
          <w:p>
            <w:pPr>
              <w:ind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较轻</w:t>
            </w:r>
          </w:p>
        </w:tc>
        <w:tc>
          <w:tcPr>
            <w:tcW w:w="1346" w:type="dxa"/>
            <w:vAlign w:val="center"/>
          </w:tcPr>
          <w:p>
            <w:pPr>
              <w:ind w:right="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4"/>
                <w:szCs w:val="24"/>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bookmarkStart w:id="144" w:name="_Toc489606799"/>
      <w:r>
        <w:rPr>
          <w:rFonts w:hint="eastAsia" w:ascii="宋体" w:hAnsi="宋体" w:eastAsia="宋体" w:cs="宋体"/>
          <w:bCs/>
          <w:color w:val="auto"/>
          <w:sz w:val="24"/>
          <w:szCs w:val="24"/>
          <w:highlight w:val="none"/>
        </w:rPr>
        <w:t>根据表3-2</w:t>
      </w:r>
      <w:r>
        <w:rPr>
          <w:rFonts w:hint="eastAsia" w:ascii="宋体" w:hAnsi="宋体" w:cs="宋体"/>
          <w:bCs/>
          <w:color w:val="auto"/>
          <w:sz w:val="24"/>
          <w:szCs w:val="24"/>
          <w:highlight w:val="none"/>
          <w:lang w:val="en-US" w:eastAsia="zh-CN"/>
        </w:rPr>
        <w:t>2</w:t>
      </w:r>
      <w:r>
        <w:rPr>
          <w:rFonts w:hint="eastAsia" w:ascii="宋体" w:hAnsi="宋体" w:eastAsia="宋体" w:cs="宋体"/>
          <w:bCs/>
          <w:color w:val="auto"/>
          <w:sz w:val="24"/>
          <w:szCs w:val="24"/>
          <w:highlight w:val="none"/>
        </w:rPr>
        <w:t>，矿山地质环境影响现状评估划分为较轻区1个区，评估区总面积</w:t>
      </w:r>
      <w:r>
        <w:rPr>
          <w:rFonts w:hint="eastAsia" w:ascii="宋体" w:hAnsi="宋体" w:cs="宋体"/>
          <w:bCs/>
          <w:color w:val="auto"/>
          <w:sz w:val="24"/>
          <w:szCs w:val="24"/>
          <w:lang w:val="en-US" w:eastAsia="zh-CN"/>
        </w:rPr>
        <w:t>****</w:t>
      </w:r>
      <w:r>
        <w:rPr>
          <w:rFonts w:hint="eastAsia" w:ascii="宋体" w:hAnsi="宋体" w:cs="宋体"/>
          <w:bCs/>
          <w:color w:val="auto"/>
          <w:sz w:val="24"/>
          <w:szCs w:val="24"/>
          <w:highlight w:val="none"/>
          <w:lang w:val="en-US" w:eastAsia="zh-CN"/>
        </w:rPr>
        <w:t>公顷</w:t>
      </w:r>
      <w:r>
        <w:rPr>
          <w:rFonts w:hint="eastAsia" w:ascii="宋体" w:hAnsi="宋体" w:eastAsia="宋体" w:cs="宋体"/>
          <w:bCs/>
          <w:color w:val="auto"/>
          <w:sz w:val="24"/>
          <w:szCs w:val="24"/>
          <w:highlight w:val="none"/>
        </w:rPr>
        <w:t>，即较轻区面积。</w:t>
      </w:r>
    </w:p>
    <w:bookmarkEnd w:id="144"/>
    <w:p>
      <w:pPr>
        <w:autoSpaceDE w:val="0"/>
        <w:autoSpaceDN w:val="0"/>
        <w:adjustRightInd w:val="0"/>
        <w:snapToGrid w:val="0"/>
        <w:spacing w:line="360" w:lineRule="auto"/>
        <w:ind w:firstLine="482" w:firstLineChars="200"/>
        <w:jc w:val="both"/>
        <w:rPr>
          <w:rFonts w:hint="eastAsia" w:ascii="宋体" w:hAnsi="宋体" w:eastAsia="宋体" w:cs="宋体"/>
          <w:b/>
          <w:color w:val="auto"/>
          <w:sz w:val="24"/>
          <w:szCs w:val="22"/>
        </w:rPr>
      </w:pPr>
      <w:r>
        <w:rPr>
          <w:rFonts w:hint="eastAsia" w:ascii="宋体" w:hAnsi="宋体" w:cs="宋体"/>
          <w:b/>
          <w:color w:val="auto"/>
          <w:sz w:val="24"/>
          <w:szCs w:val="22"/>
          <w:lang w:val="en-US" w:eastAsia="zh-CN"/>
        </w:rPr>
        <w:t>2、</w:t>
      </w:r>
      <w:r>
        <w:rPr>
          <w:rFonts w:hint="eastAsia" w:ascii="宋体" w:hAnsi="宋体" w:eastAsia="宋体" w:cs="宋体"/>
          <w:b/>
          <w:color w:val="auto"/>
          <w:sz w:val="24"/>
          <w:szCs w:val="22"/>
        </w:rPr>
        <w:t>预测矿山地质环境问题</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1</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方案适用期内地质灾害影响为较轻区，位于评估区全部区域，面积约为</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2</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方案适用期内采矿活动对含水层影响程度为较轻区，位于评估区全部区域，面积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3</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方案适用期内，采矿对地形地貌影响分为</w:t>
      </w:r>
      <w:r>
        <w:rPr>
          <w:rFonts w:hint="eastAsia" w:ascii="宋体" w:hAnsi="宋体" w:cs="宋体"/>
          <w:bCs/>
          <w:color w:val="auto"/>
          <w:sz w:val="24"/>
          <w:szCs w:val="24"/>
          <w:lang w:val="en-US" w:eastAsia="zh-CN"/>
        </w:rPr>
        <w:t>三</w:t>
      </w:r>
      <w:r>
        <w:rPr>
          <w:rFonts w:hint="eastAsia" w:ascii="宋体" w:hAnsi="宋体" w:eastAsia="宋体" w:cs="宋体"/>
          <w:bCs/>
          <w:color w:val="auto"/>
          <w:sz w:val="24"/>
          <w:szCs w:val="24"/>
        </w:rPr>
        <w:t>个</w:t>
      </w:r>
      <w:r>
        <w:rPr>
          <w:rFonts w:hint="eastAsia" w:ascii="宋体" w:hAnsi="宋体" w:eastAsia="宋体" w:cs="宋体"/>
          <w:bCs/>
          <w:color w:val="auto"/>
          <w:sz w:val="24"/>
          <w:szCs w:val="24"/>
          <w:highlight w:val="none"/>
        </w:rPr>
        <w:t>区：①影响严重区位于规划露天采矿场区域，影响面积约</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公顷；②影响较严重区为排土场</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生活区</w:t>
      </w:r>
      <w:r>
        <w:rPr>
          <w:rFonts w:hint="eastAsia" w:ascii="宋体" w:hAnsi="宋体" w:eastAsia="宋体" w:cs="宋体"/>
          <w:bCs/>
          <w:color w:val="auto"/>
          <w:sz w:val="24"/>
          <w:szCs w:val="24"/>
          <w:highlight w:val="none"/>
        </w:rPr>
        <w:t>和矿山道路区域，面积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公顷；③影响较轻区为评估其他区域，面积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w:t>
      </w:r>
    </w:p>
    <w:p>
      <w:pPr>
        <w:spacing w:line="360" w:lineRule="auto"/>
        <w:ind w:firstLine="480" w:firstLineChars="200"/>
        <w:jc w:val="both"/>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4</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预测评估区采矿活动对水土污染程度较轻。</w:t>
      </w:r>
    </w:p>
    <w:p>
      <w:pPr>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eastAsia="zh-CN"/>
        </w:rPr>
        <w:t>）</w:t>
      </w:r>
      <w:r>
        <w:rPr>
          <w:rFonts w:hint="eastAsia" w:ascii="宋体" w:hAnsi="宋体" w:eastAsia="宋体" w:cs="宋体"/>
          <w:bCs/>
          <w:color w:val="auto"/>
          <w:sz w:val="24"/>
          <w:szCs w:val="24"/>
          <w:highlight w:val="none"/>
        </w:rPr>
        <w:t>综上所述，评估区采矿活动对地质环境影响与破坏分为三个区，即矿山地质环境影响程度严重区、较严重区、较轻区，严重区由方案适用期的规划露天采矿场区域（包括最终露天采坑）来确定，面积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公顷；较严重区包含矿山道路、</w:t>
      </w:r>
      <w:r>
        <w:rPr>
          <w:rFonts w:hint="eastAsia" w:ascii="宋体" w:hAnsi="宋体" w:cs="宋体"/>
          <w:bCs/>
          <w:color w:val="auto"/>
          <w:sz w:val="24"/>
          <w:szCs w:val="24"/>
          <w:highlight w:val="none"/>
          <w:lang w:val="en-US" w:eastAsia="zh-CN"/>
        </w:rPr>
        <w:t>生活区和</w:t>
      </w:r>
      <w:r>
        <w:rPr>
          <w:rFonts w:hint="eastAsia" w:ascii="宋体" w:hAnsi="宋体" w:eastAsia="宋体" w:cs="宋体"/>
          <w:bCs/>
          <w:color w:val="auto"/>
          <w:sz w:val="24"/>
          <w:szCs w:val="24"/>
          <w:highlight w:val="none"/>
        </w:rPr>
        <w:t>排土场，面积为</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公顷；其余区域为较轻区，面积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highlight w:val="none"/>
        </w:rPr>
        <w:t>公顷。见表3-2</w:t>
      </w:r>
      <w:r>
        <w:rPr>
          <w:rFonts w:hint="eastAsia" w:ascii="宋体" w:hAnsi="宋体" w:cs="宋体"/>
          <w:bCs/>
          <w:color w:val="auto"/>
          <w:sz w:val="24"/>
          <w:szCs w:val="24"/>
          <w:highlight w:val="none"/>
          <w:lang w:val="en-US" w:eastAsia="zh-CN"/>
        </w:rPr>
        <w:t>3</w:t>
      </w:r>
      <w:r>
        <w:rPr>
          <w:rFonts w:hint="eastAsia" w:ascii="宋体" w:hAnsi="宋体" w:eastAsia="宋体" w:cs="宋体"/>
          <w:bCs/>
          <w:color w:val="auto"/>
          <w:sz w:val="24"/>
          <w:szCs w:val="24"/>
          <w:highlight w:val="none"/>
        </w:rPr>
        <w:t>。</w:t>
      </w:r>
    </w:p>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表3-2</w:t>
      </w:r>
      <w:r>
        <w:rPr>
          <w:rFonts w:hint="eastAsia" w:ascii="宋体" w:hAnsi="宋体" w:cs="宋体"/>
          <w:b/>
          <w:bCs/>
          <w:color w:val="auto"/>
          <w:sz w:val="21"/>
          <w:szCs w:val="21"/>
          <w:highlight w:val="none"/>
          <w:lang w:val="en-US" w:eastAsia="zh-CN"/>
        </w:rPr>
        <w:t xml:space="preserve">3     </w:t>
      </w:r>
      <w:r>
        <w:rPr>
          <w:rFonts w:hint="eastAsia" w:ascii="宋体" w:hAnsi="宋体" w:eastAsia="宋体" w:cs="宋体"/>
          <w:b/>
          <w:bCs/>
          <w:color w:val="auto"/>
          <w:sz w:val="21"/>
          <w:szCs w:val="21"/>
          <w:highlight w:val="none"/>
        </w:rPr>
        <w:t xml:space="preserve"> 矿山地质环境问题预测分析表</w:t>
      </w:r>
    </w:p>
    <w:tbl>
      <w:tblPr>
        <w:tblStyle w:val="53"/>
        <w:tblW w:w="8879" w:type="dxa"/>
        <w:jc w:val="center"/>
        <w:tblInd w:w="0" w:type="dxa"/>
        <w:tblLayout w:type="fixed"/>
        <w:tblCellMar>
          <w:top w:w="0" w:type="dxa"/>
          <w:left w:w="108" w:type="dxa"/>
          <w:bottom w:w="0" w:type="dxa"/>
          <w:right w:w="108" w:type="dxa"/>
        </w:tblCellMar>
      </w:tblPr>
      <w:tblGrid>
        <w:gridCol w:w="988"/>
        <w:gridCol w:w="1275"/>
        <w:gridCol w:w="1134"/>
        <w:gridCol w:w="851"/>
        <w:gridCol w:w="1417"/>
        <w:gridCol w:w="859"/>
        <w:gridCol w:w="1005"/>
        <w:gridCol w:w="1350"/>
      </w:tblGrid>
      <w:tr>
        <w:tblPrEx>
          <w:tblLayout w:type="fixed"/>
          <w:tblCellMar>
            <w:top w:w="0" w:type="dxa"/>
            <w:left w:w="108" w:type="dxa"/>
            <w:bottom w:w="0" w:type="dxa"/>
            <w:right w:w="108" w:type="dxa"/>
          </w:tblCellMar>
        </w:tblPrEx>
        <w:trPr>
          <w:trHeight w:val="510" w:hRule="atLeast"/>
          <w:jc w:val="center"/>
        </w:trPr>
        <w:tc>
          <w:tcPr>
            <w:tcW w:w="988"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评估分区</w:t>
            </w:r>
          </w:p>
        </w:tc>
        <w:tc>
          <w:tcPr>
            <w:tcW w:w="1275"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影响区域</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地质灾害</w:t>
            </w:r>
          </w:p>
        </w:tc>
        <w:tc>
          <w:tcPr>
            <w:tcW w:w="851"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含水层</w:t>
            </w:r>
          </w:p>
        </w:tc>
        <w:tc>
          <w:tcPr>
            <w:tcW w:w="1417"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地形地貌景观</w:t>
            </w:r>
          </w:p>
        </w:tc>
        <w:tc>
          <w:tcPr>
            <w:tcW w:w="859"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水土资源</w:t>
            </w:r>
          </w:p>
        </w:tc>
        <w:tc>
          <w:tcPr>
            <w:tcW w:w="1005"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大气污染</w:t>
            </w:r>
          </w:p>
        </w:tc>
        <w:tc>
          <w:tcPr>
            <w:tcW w:w="1350" w:type="dxa"/>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面积（公顷）</w:t>
            </w:r>
          </w:p>
        </w:tc>
      </w:tr>
      <w:tr>
        <w:tblPrEx>
          <w:tblLayout w:type="fixed"/>
          <w:tblCellMar>
            <w:top w:w="0" w:type="dxa"/>
            <w:left w:w="108" w:type="dxa"/>
            <w:bottom w:w="0" w:type="dxa"/>
            <w:right w:w="108" w:type="dxa"/>
          </w:tblCellMar>
        </w:tblPrEx>
        <w:trPr>
          <w:trHeight w:val="340" w:hRule="exact"/>
          <w:jc w:val="center"/>
        </w:trPr>
        <w:tc>
          <w:tcPr>
            <w:tcW w:w="9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严重区</w:t>
            </w:r>
          </w:p>
        </w:tc>
        <w:tc>
          <w:tcPr>
            <w:tcW w:w="127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露天采矿场</w:t>
            </w:r>
          </w:p>
        </w:tc>
        <w:tc>
          <w:tcPr>
            <w:tcW w:w="1134"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8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859"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00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3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yellow"/>
              </w:rPr>
            </w:pPr>
            <w:r>
              <w:rPr>
                <w:rFonts w:hint="eastAsia" w:ascii="宋体" w:hAnsi="宋体" w:cs="宋体"/>
                <w:bCs/>
                <w:color w:val="auto"/>
                <w:sz w:val="24"/>
                <w:szCs w:val="24"/>
                <w:lang w:val="en-US" w:eastAsia="zh-CN"/>
              </w:rPr>
              <w:t>****</w:t>
            </w:r>
          </w:p>
        </w:tc>
      </w:tr>
      <w:tr>
        <w:tblPrEx>
          <w:tblLayout w:type="fixed"/>
          <w:tblCellMar>
            <w:top w:w="0" w:type="dxa"/>
            <w:left w:w="108" w:type="dxa"/>
            <w:bottom w:w="0" w:type="dxa"/>
            <w:right w:w="108" w:type="dxa"/>
          </w:tblCellMar>
        </w:tblPrEx>
        <w:trPr>
          <w:trHeight w:val="340" w:hRule="exact"/>
          <w:jc w:val="center"/>
        </w:trPr>
        <w:tc>
          <w:tcPr>
            <w:tcW w:w="98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较严重区</w:t>
            </w:r>
          </w:p>
        </w:tc>
        <w:tc>
          <w:tcPr>
            <w:tcW w:w="127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排土场</w:t>
            </w:r>
          </w:p>
        </w:tc>
        <w:tc>
          <w:tcPr>
            <w:tcW w:w="1134"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8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859"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00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3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yellow"/>
              </w:rPr>
            </w:pPr>
            <w:r>
              <w:rPr>
                <w:rFonts w:hint="eastAsia" w:ascii="宋体" w:hAnsi="宋体" w:cs="宋体"/>
                <w:bCs/>
                <w:color w:val="auto"/>
                <w:sz w:val="24"/>
                <w:szCs w:val="24"/>
                <w:lang w:val="en-US" w:eastAsia="zh-CN"/>
              </w:rPr>
              <w:t>****</w:t>
            </w:r>
          </w:p>
        </w:tc>
      </w:tr>
      <w:tr>
        <w:tblPrEx>
          <w:tblLayout w:type="fixed"/>
          <w:tblCellMar>
            <w:top w:w="0" w:type="dxa"/>
            <w:left w:w="108" w:type="dxa"/>
            <w:bottom w:w="0" w:type="dxa"/>
            <w:right w:w="108" w:type="dxa"/>
          </w:tblCellMar>
        </w:tblPrEx>
        <w:trPr>
          <w:trHeight w:val="340" w:hRule="exact"/>
          <w:jc w:val="center"/>
        </w:trPr>
        <w:tc>
          <w:tcPr>
            <w:tcW w:w="988" w:type="dxa"/>
            <w:vMerge w:val="continue"/>
            <w:tcBorders>
              <w:left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p>
        </w:tc>
        <w:tc>
          <w:tcPr>
            <w:tcW w:w="127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生活区</w:t>
            </w:r>
          </w:p>
        </w:tc>
        <w:tc>
          <w:tcPr>
            <w:tcW w:w="1134"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较轻</w:t>
            </w:r>
          </w:p>
        </w:tc>
        <w:tc>
          <w:tcPr>
            <w:tcW w:w="8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较轻</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较严重</w:t>
            </w:r>
          </w:p>
        </w:tc>
        <w:tc>
          <w:tcPr>
            <w:tcW w:w="859"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较轻</w:t>
            </w:r>
          </w:p>
        </w:tc>
        <w:tc>
          <w:tcPr>
            <w:tcW w:w="100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较轻</w:t>
            </w:r>
          </w:p>
        </w:tc>
        <w:tc>
          <w:tcPr>
            <w:tcW w:w="13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yellow"/>
              </w:rPr>
            </w:pPr>
            <w:r>
              <w:rPr>
                <w:rFonts w:hint="eastAsia" w:ascii="宋体" w:hAnsi="宋体" w:cs="宋体"/>
                <w:bCs/>
                <w:color w:val="auto"/>
                <w:sz w:val="24"/>
                <w:szCs w:val="24"/>
                <w:lang w:val="en-US" w:eastAsia="zh-CN"/>
              </w:rPr>
              <w:t>****</w:t>
            </w:r>
          </w:p>
        </w:tc>
      </w:tr>
      <w:tr>
        <w:tblPrEx>
          <w:tblLayout w:type="fixed"/>
          <w:tblCellMar>
            <w:top w:w="0" w:type="dxa"/>
            <w:left w:w="108" w:type="dxa"/>
            <w:bottom w:w="0" w:type="dxa"/>
            <w:right w:w="108" w:type="dxa"/>
          </w:tblCellMar>
        </w:tblPrEx>
        <w:trPr>
          <w:trHeight w:val="340" w:hRule="exact"/>
          <w:jc w:val="center"/>
        </w:trPr>
        <w:tc>
          <w:tcPr>
            <w:tcW w:w="988"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27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矿山道路</w:t>
            </w:r>
          </w:p>
        </w:tc>
        <w:tc>
          <w:tcPr>
            <w:tcW w:w="1134"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8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859"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00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350"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yellow"/>
              </w:rPr>
            </w:pPr>
            <w:r>
              <w:rPr>
                <w:rFonts w:hint="eastAsia" w:ascii="宋体" w:hAnsi="宋体" w:cs="宋体"/>
                <w:bCs/>
                <w:color w:val="auto"/>
                <w:sz w:val="24"/>
                <w:szCs w:val="24"/>
                <w:lang w:val="en-US" w:eastAsia="zh-CN"/>
              </w:rPr>
              <w:t>****</w:t>
            </w:r>
          </w:p>
        </w:tc>
      </w:tr>
      <w:tr>
        <w:tblPrEx>
          <w:tblLayout w:type="fixed"/>
          <w:tblCellMar>
            <w:top w:w="0" w:type="dxa"/>
            <w:left w:w="108" w:type="dxa"/>
            <w:bottom w:w="0" w:type="dxa"/>
            <w:right w:w="108" w:type="dxa"/>
          </w:tblCellMar>
        </w:tblPrEx>
        <w:trPr>
          <w:trHeight w:val="340" w:hRule="exact"/>
          <w:jc w:val="center"/>
        </w:trPr>
        <w:tc>
          <w:tcPr>
            <w:tcW w:w="9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较轻区</w:t>
            </w:r>
          </w:p>
        </w:tc>
        <w:tc>
          <w:tcPr>
            <w:tcW w:w="127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其他区域</w:t>
            </w:r>
          </w:p>
        </w:tc>
        <w:tc>
          <w:tcPr>
            <w:tcW w:w="1134"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851"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417"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859"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005"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1350"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highlight w:val="yellow"/>
                <w:lang w:val="en-US"/>
              </w:rPr>
            </w:pPr>
            <w:r>
              <w:rPr>
                <w:rFonts w:hint="eastAsia" w:ascii="宋体" w:hAnsi="宋体" w:cs="宋体"/>
                <w:bCs/>
                <w:color w:val="auto"/>
                <w:sz w:val="24"/>
                <w:szCs w:val="24"/>
                <w:lang w:val="en-US" w:eastAsia="zh-CN"/>
              </w:rPr>
              <w:t>****</w:t>
            </w:r>
          </w:p>
        </w:tc>
      </w:tr>
      <w:tr>
        <w:tblPrEx>
          <w:tblLayout w:type="fixed"/>
          <w:tblCellMar>
            <w:top w:w="0" w:type="dxa"/>
            <w:left w:w="108" w:type="dxa"/>
            <w:bottom w:w="0" w:type="dxa"/>
            <w:right w:w="108" w:type="dxa"/>
          </w:tblCellMar>
        </w:tblPrEx>
        <w:trPr>
          <w:trHeight w:val="340" w:hRule="exact"/>
          <w:jc w:val="center"/>
        </w:trPr>
        <w:tc>
          <w:tcPr>
            <w:tcW w:w="988" w:type="dxa"/>
            <w:tcBorders>
              <w:top w:val="nil"/>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6541" w:type="dxa"/>
            <w:gridSpan w:val="6"/>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rPr>
            </w:pPr>
          </w:p>
        </w:tc>
        <w:tc>
          <w:tcPr>
            <w:tcW w:w="1350" w:type="dxa"/>
            <w:tcBorders>
              <w:top w:val="nil"/>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highlight w:val="yellow"/>
              </w:rPr>
            </w:pPr>
            <w:r>
              <w:rPr>
                <w:rFonts w:hint="eastAsia" w:ascii="宋体" w:hAnsi="宋体" w:cs="宋体"/>
                <w:bCs/>
                <w:color w:val="auto"/>
                <w:sz w:val="24"/>
                <w:szCs w:val="24"/>
                <w:lang w:val="en-US" w:eastAsia="zh-CN"/>
              </w:rPr>
              <w:t>****</w:t>
            </w:r>
          </w:p>
        </w:tc>
      </w:tr>
    </w:tbl>
    <w:p>
      <w:pPr>
        <w:spacing w:line="360" w:lineRule="auto"/>
        <w:ind w:firstLine="590" w:firstLineChars="196"/>
        <w:outlineLvl w:val="1"/>
        <w:rPr>
          <w:rFonts w:hint="eastAsia" w:ascii="宋体" w:hAnsi="宋体" w:eastAsia="宋体" w:cs="宋体"/>
          <w:b/>
          <w:color w:val="auto"/>
          <w:sz w:val="30"/>
          <w:szCs w:val="30"/>
        </w:rPr>
      </w:pPr>
      <w:bookmarkStart w:id="145" w:name="_Toc7737"/>
      <w:r>
        <w:rPr>
          <w:rFonts w:hint="eastAsia" w:ascii="宋体" w:hAnsi="宋体" w:eastAsia="宋体" w:cs="宋体"/>
          <w:b/>
          <w:color w:val="auto"/>
          <w:sz w:val="30"/>
          <w:szCs w:val="30"/>
        </w:rPr>
        <w:t>二</w:t>
      </w:r>
      <w:bookmarkEnd w:id="136"/>
      <w:bookmarkEnd w:id="137"/>
      <w:bookmarkEnd w:id="138"/>
      <w:bookmarkEnd w:id="139"/>
      <w:r>
        <w:rPr>
          <w:rFonts w:hint="eastAsia" w:ascii="宋体" w:hAnsi="宋体" w:eastAsia="宋体" w:cs="宋体"/>
          <w:b/>
          <w:color w:val="auto"/>
          <w:sz w:val="30"/>
          <w:szCs w:val="30"/>
        </w:rPr>
        <w:t>、矿山</w:t>
      </w:r>
      <w:bookmarkEnd w:id="140"/>
      <w:bookmarkEnd w:id="141"/>
      <w:r>
        <w:rPr>
          <w:rFonts w:hint="eastAsia" w:ascii="宋体" w:hAnsi="宋体" w:eastAsia="宋体" w:cs="宋体"/>
          <w:b/>
          <w:color w:val="auto"/>
          <w:sz w:val="30"/>
          <w:szCs w:val="30"/>
        </w:rPr>
        <w:t>土地损毁预测与评估</w:t>
      </w:r>
      <w:bookmarkEnd w:id="145"/>
    </w:p>
    <w:bookmarkEnd w:id="142"/>
    <w:bookmarkEnd w:id="143"/>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bookmarkStart w:id="146" w:name="_Toc10778"/>
      <w:bookmarkStart w:id="147" w:name="_Toc4158"/>
      <w:r>
        <w:rPr>
          <w:rFonts w:hint="eastAsia"/>
          <w:color w:val="auto"/>
          <w:sz w:val="28"/>
          <w:szCs w:val="28"/>
        </w:rPr>
        <w:t>（一）</w:t>
      </w:r>
      <w:bookmarkEnd w:id="146"/>
      <w:bookmarkEnd w:id="147"/>
      <w:r>
        <w:rPr>
          <w:rFonts w:hint="eastAsia"/>
          <w:color w:val="auto"/>
          <w:sz w:val="28"/>
          <w:szCs w:val="28"/>
        </w:rPr>
        <w:t>土地损毁环节与时序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1、项目区对土地的损毁类型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矿山采用露天开采方式，公路开拓汽车运输方案，矿山在生产建设过程中的土地损毁主要体现在开采期。露天开采期间形成的露天采矿场对土地造成挖损损毁，矿山道路</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生活区</w:t>
      </w:r>
      <w:r>
        <w:rPr>
          <w:rFonts w:hint="eastAsia" w:ascii="宋体" w:hAnsi="宋体" w:eastAsia="宋体" w:cs="宋体"/>
          <w:bCs/>
          <w:color w:val="auto"/>
          <w:sz w:val="24"/>
          <w:szCs w:val="24"/>
        </w:rPr>
        <w:t>及排土场对土地造成压占损毁。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2、项目区土地损毁时序分析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rPr>
        <w:t>土地损毁活动是随</w:t>
      </w:r>
      <w:r>
        <w:rPr>
          <w:rFonts w:hint="eastAsia" w:ascii="宋体" w:hAnsi="宋体" w:eastAsia="宋体" w:cs="宋体"/>
          <w:bCs/>
          <w:color w:val="auto"/>
          <w:sz w:val="24"/>
          <w:szCs w:val="24"/>
          <w:highlight w:val="none"/>
        </w:rPr>
        <w:t>着生产建设活动逐渐发生的，本矿为新建矿山。根据本矿山生产建设活动土地损毁时序，将工程损毁土地分为</w:t>
      </w:r>
      <w:bookmarkStart w:id="148" w:name="_Hlk97009441"/>
      <w:r>
        <w:rPr>
          <w:rFonts w:hint="eastAsia" w:ascii="宋体" w:hAnsi="宋体" w:eastAsia="宋体" w:cs="宋体"/>
          <w:bCs/>
          <w:color w:val="auto"/>
          <w:sz w:val="24"/>
          <w:szCs w:val="24"/>
          <w:highlight w:val="none"/>
        </w:rPr>
        <w:t>基建期（202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年11月-202</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年4月）、生产服务年限（20</w:t>
      </w:r>
      <w:r>
        <w:rPr>
          <w:rFonts w:hint="eastAsia" w:ascii="宋体" w:hAnsi="宋体" w:cs="宋体"/>
          <w:bCs/>
          <w:color w:val="auto"/>
          <w:sz w:val="24"/>
          <w:szCs w:val="24"/>
          <w:highlight w:val="none"/>
          <w:lang w:val="en-US" w:eastAsia="zh-CN"/>
        </w:rPr>
        <w:t>25</w:t>
      </w:r>
      <w:r>
        <w:rPr>
          <w:rFonts w:hint="eastAsia" w:ascii="宋体" w:hAnsi="宋体" w:eastAsia="宋体" w:cs="宋体"/>
          <w:bCs/>
          <w:color w:val="auto"/>
          <w:sz w:val="24"/>
          <w:szCs w:val="24"/>
          <w:highlight w:val="none"/>
        </w:rPr>
        <w:t>年</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月-20</w:t>
      </w:r>
      <w:r>
        <w:rPr>
          <w:rFonts w:hint="eastAsia" w:ascii="宋体" w:hAnsi="宋体" w:cs="宋体"/>
          <w:bCs/>
          <w:color w:val="auto"/>
          <w:sz w:val="24"/>
          <w:szCs w:val="24"/>
          <w:highlight w:val="none"/>
          <w:lang w:val="en-US" w:eastAsia="zh-CN"/>
        </w:rPr>
        <w:t>52</w:t>
      </w:r>
      <w:r>
        <w:rPr>
          <w:rFonts w:hint="eastAsia" w:ascii="宋体" w:hAnsi="宋体" w:eastAsia="宋体" w:cs="宋体"/>
          <w:bCs/>
          <w:color w:val="auto"/>
          <w:sz w:val="24"/>
          <w:szCs w:val="24"/>
          <w:highlight w:val="none"/>
        </w:rPr>
        <w:t>年</w:t>
      </w:r>
      <w:r>
        <w:rPr>
          <w:rFonts w:hint="eastAsia" w:ascii="宋体" w:hAnsi="宋体" w:cs="宋体"/>
          <w:bCs/>
          <w:color w:val="auto"/>
          <w:sz w:val="24"/>
          <w:szCs w:val="24"/>
          <w:highlight w:val="none"/>
          <w:lang w:val="en-US" w:eastAsia="zh-CN"/>
        </w:rPr>
        <w:t>6</w:t>
      </w:r>
      <w:r>
        <w:rPr>
          <w:rFonts w:hint="eastAsia" w:ascii="宋体" w:hAnsi="宋体" w:eastAsia="宋体" w:cs="宋体"/>
          <w:bCs/>
          <w:color w:val="auto"/>
          <w:sz w:val="24"/>
          <w:szCs w:val="24"/>
          <w:highlight w:val="none"/>
        </w:rPr>
        <w:t>月）</w:t>
      </w:r>
      <w:bookmarkEnd w:id="148"/>
      <w:r>
        <w:rPr>
          <w:rFonts w:hint="eastAsia" w:ascii="宋体" w:hAnsi="宋体" w:eastAsia="宋体" w:cs="宋体"/>
          <w:bCs/>
          <w:color w:val="auto"/>
          <w:sz w:val="24"/>
          <w:szCs w:val="24"/>
          <w:highlight w:val="none"/>
        </w:rPr>
        <w:t>2个时段。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（1）基建期（202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年11月-202</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年4月）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根据本方案设计，矿山基建期</w:t>
      </w:r>
      <w:bookmarkStart w:id="149" w:name="_Hlk97009829"/>
      <w:r>
        <w:rPr>
          <w:rFonts w:hint="eastAsia" w:ascii="宋体" w:hAnsi="宋体" w:eastAsia="宋体" w:cs="宋体"/>
          <w:bCs/>
          <w:color w:val="auto"/>
          <w:sz w:val="24"/>
          <w:szCs w:val="24"/>
          <w:highlight w:val="none"/>
        </w:rPr>
        <w:t>损毁时段为</w:t>
      </w:r>
      <w:bookmarkEnd w:id="149"/>
      <w:r>
        <w:rPr>
          <w:rFonts w:hint="eastAsia" w:ascii="宋体" w:hAnsi="宋体" w:eastAsia="宋体" w:cs="宋体"/>
          <w:bCs/>
          <w:color w:val="auto"/>
          <w:sz w:val="24"/>
          <w:szCs w:val="24"/>
          <w:highlight w:val="none"/>
        </w:rPr>
        <w:t>202</w:t>
      </w:r>
      <w:r>
        <w:rPr>
          <w:rFonts w:hint="eastAsia" w:ascii="宋体" w:hAnsi="宋体" w:cs="宋体"/>
          <w:bCs/>
          <w:color w:val="auto"/>
          <w:sz w:val="24"/>
          <w:szCs w:val="24"/>
          <w:highlight w:val="none"/>
          <w:lang w:val="en-US" w:eastAsia="zh-CN"/>
        </w:rPr>
        <w:t>4</w:t>
      </w:r>
      <w:r>
        <w:rPr>
          <w:rFonts w:hint="eastAsia" w:ascii="宋体" w:hAnsi="宋体" w:eastAsia="宋体" w:cs="宋体"/>
          <w:bCs/>
          <w:color w:val="auto"/>
          <w:sz w:val="24"/>
          <w:szCs w:val="24"/>
          <w:highlight w:val="none"/>
        </w:rPr>
        <w:t>年11月-202</w:t>
      </w:r>
      <w:r>
        <w:rPr>
          <w:rFonts w:hint="eastAsia" w:ascii="宋体" w:hAnsi="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年4月，共0.5年（6个月）。矿山将进行排土场</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生活区</w:t>
      </w:r>
      <w:r>
        <w:rPr>
          <w:rFonts w:hint="eastAsia" w:ascii="宋体" w:hAnsi="宋体" w:eastAsia="宋体" w:cs="宋体"/>
          <w:bCs/>
          <w:color w:val="auto"/>
          <w:sz w:val="24"/>
          <w:szCs w:val="24"/>
          <w:highlight w:val="none"/>
        </w:rPr>
        <w:t>和矿区道路的建设。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highlight w:val="none"/>
        </w:rPr>
      </w:pPr>
      <w:r>
        <w:rPr>
          <w:rFonts w:hint="eastAsia" w:ascii="宋体" w:hAnsi="宋体" w:eastAsia="宋体" w:cs="宋体"/>
          <w:bCs/>
          <w:color w:val="auto"/>
          <w:sz w:val="24"/>
          <w:szCs w:val="24"/>
          <w:highlight w:val="none"/>
        </w:rPr>
        <w:t>（2）生产期</w:t>
      </w:r>
      <w:r>
        <w:rPr>
          <w:rFonts w:hint="eastAsia" w:ascii="宋体" w:hAnsi="宋体" w:eastAsia="宋体" w:cs="宋体"/>
          <w:color w:val="auto"/>
          <w:sz w:val="24"/>
          <w:highlight w:val="none"/>
        </w:rPr>
        <w:t>（202</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月-20</w:t>
      </w:r>
      <w:r>
        <w:rPr>
          <w:rFonts w:hint="eastAsia" w:ascii="宋体" w:hAnsi="宋体" w:cs="宋体"/>
          <w:color w:val="auto"/>
          <w:sz w:val="24"/>
          <w:highlight w:val="none"/>
          <w:lang w:val="en-US" w:eastAsia="zh-CN"/>
        </w:rPr>
        <w:t>52</w:t>
      </w:r>
      <w:r>
        <w:rPr>
          <w:rFonts w:hint="eastAsia" w:ascii="宋体" w:hAnsi="宋体" w:eastAsia="宋体" w:cs="宋体"/>
          <w:color w:val="auto"/>
          <w:sz w:val="24"/>
          <w:highlight w:val="none"/>
        </w:rPr>
        <w:t>年</w:t>
      </w: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rPr>
        <w:t>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根据本方案设计，矿山采用自上而下水平分层台阶式开采方法。矿区北</w:t>
      </w:r>
      <w:r>
        <w:rPr>
          <w:rFonts w:hint="eastAsia" w:ascii="宋体" w:hAnsi="宋体" w:eastAsia="宋体" w:cs="宋体"/>
          <w:bCs/>
          <w:color w:val="auto"/>
          <w:sz w:val="24"/>
          <w:szCs w:val="24"/>
          <w:lang w:val="en-US" w:eastAsia="zh-CN"/>
        </w:rPr>
        <w:t>部</w:t>
      </w:r>
      <w:r>
        <w:rPr>
          <w:rFonts w:hint="eastAsia" w:ascii="宋体" w:hAnsi="宋体" w:eastAsia="宋体" w:cs="宋体"/>
          <w:bCs/>
          <w:color w:val="auto"/>
          <w:sz w:val="24"/>
          <w:szCs w:val="24"/>
        </w:rPr>
        <w:t>位于高处，故先从矿区北部进行开采，自上而下直接开采至矿体底盘换层面，逐步向南推进开采至矿体厚度大于机械的最大挖掘高度时然后由北向南自上而下水平分层台阶式开采至南矿界。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（3）采矿结束后矿山将形成</w:t>
      </w:r>
      <w:r>
        <w:rPr>
          <w:rFonts w:hint="eastAsia" w:ascii="宋体" w:hAnsi="宋体" w:eastAsia="宋体" w:cs="宋体"/>
          <w:bCs/>
          <w:color w:val="auto"/>
          <w:sz w:val="24"/>
          <w:szCs w:val="24"/>
          <w:lang w:val="en-US" w:eastAsia="zh-CN"/>
        </w:rPr>
        <w:t>两</w:t>
      </w:r>
      <w:r>
        <w:rPr>
          <w:rFonts w:hint="eastAsia" w:ascii="宋体" w:hAnsi="宋体" w:eastAsia="宋体" w:cs="宋体"/>
          <w:bCs/>
          <w:color w:val="auto"/>
          <w:sz w:val="24"/>
          <w:szCs w:val="24"/>
        </w:rPr>
        <w:t>个最终露天采场，如不及时复垦可造成对土地的损毁。综上所述，矿山损毁土地时序为：矿山道路→</w:t>
      </w:r>
      <w:r>
        <w:rPr>
          <w:rFonts w:hint="eastAsia" w:ascii="宋体" w:hAnsi="宋体" w:eastAsia="宋体" w:cs="宋体"/>
          <w:bCs/>
          <w:color w:val="auto"/>
          <w:sz w:val="24"/>
          <w:szCs w:val="24"/>
          <w:lang w:val="en-US" w:eastAsia="zh-CN"/>
        </w:rPr>
        <w:t>规划生活区</w:t>
      </w:r>
      <w:r>
        <w:rPr>
          <w:rFonts w:hint="eastAsia" w:ascii="宋体" w:hAnsi="宋体" w:eastAsia="宋体" w:cs="宋体"/>
          <w:bCs/>
          <w:color w:val="auto"/>
          <w:sz w:val="24"/>
          <w:szCs w:val="24"/>
        </w:rPr>
        <w:t>→规划露天采场→排土场→最终露天采场（表3-2</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w:t>
      </w:r>
    </w:p>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表3-2</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损毁土地资源情况表</w:t>
      </w:r>
    </w:p>
    <w:tbl>
      <w:tblPr>
        <w:tblStyle w:val="53"/>
        <w:tblW w:w="83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2631"/>
        <w:gridCol w:w="841"/>
        <w:gridCol w:w="1110"/>
        <w:gridCol w:w="117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jc w:val="center"/>
        </w:trPr>
        <w:tc>
          <w:tcPr>
            <w:tcW w:w="1266" w:type="dxa"/>
            <w:vAlign w:val="center"/>
          </w:tcPr>
          <w:p>
            <w:pPr>
              <w:widowControl w:val="0"/>
              <w:adjustRightInd w:val="0"/>
              <w:snapToGrid w:val="0"/>
              <w:jc w:val="center"/>
              <w:rPr>
                <w:rFonts w:hint="eastAsia" w:ascii="宋体" w:hAnsi="宋体" w:eastAsia="宋体" w:cs="宋体"/>
                <w:bCs/>
                <w:color w:val="auto"/>
                <w:sz w:val="21"/>
                <w:szCs w:val="21"/>
              </w:rPr>
            </w:pPr>
            <w:bookmarkStart w:id="150" w:name="OLE_LINK2"/>
            <w:bookmarkStart w:id="151" w:name="OLE_LINK1"/>
            <w:bookmarkStart w:id="152" w:name="_Toc22751"/>
            <w:bookmarkStart w:id="153" w:name="_Toc7247"/>
            <w:r>
              <w:rPr>
                <w:rFonts w:hint="eastAsia" w:ascii="宋体" w:hAnsi="宋体" w:eastAsia="宋体" w:cs="宋体"/>
                <w:bCs/>
                <w:color w:val="auto"/>
                <w:sz w:val="21"/>
                <w:szCs w:val="21"/>
              </w:rPr>
              <w:t>用地名称</w:t>
            </w:r>
          </w:p>
        </w:tc>
        <w:tc>
          <w:tcPr>
            <w:tcW w:w="263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毁损时间</w:t>
            </w:r>
          </w:p>
        </w:tc>
        <w:tc>
          <w:tcPr>
            <w:tcW w:w="84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毁损形式</w:t>
            </w:r>
          </w:p>
        </w:tc>
        <w:tc>
          <w:tcPr>
            <w:tcW w:w="111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占地面</w:t>
            </w:r>
            <w:r>
              <w:rPr>
                <w:rFonts w:hint="eastAsia" w:ascii="宋体" w:hAnsi="宋体" w:cs="宋体"/>
                <w:bCs/>
                <w:color w:val="auto"/>
                <w:sz w:val="21"/>
                <w:szCs w:val="21"/>
                <w:lang w:val="en-US" w:eastAsia="zh-CN"/>
              </w:rPr>
              <w:t>积</w:t>
            </w:r>
            <w:r>
              <w:rPr>
                <w:rFonts w:hint="eastAsia" w:ascii="宋体" w:hAnsi="宋体" w:eastAsia="宋体" w:cs="宋体"/>
                <w:bCs/>
                <w:color w:val="auto"/>
                <w:sz w:val="21"/>
                <w:szCs w:val="21"/>
              </w:rPr>
              <w:t>（公顷）</w:t>
            </w:r>
          </w:p>
        </w:tc>
        <w:tc>
          <w:tcPr>
            <w:tcW w:w="117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土地类型</w:t>
            </w:r>
          </w:p>
        </w:tc>
        <w:tc>
          <w:tcPr>
            <w:tcW w:w="128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合计（公顷）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jc w:val="center"/>
        </w:trPr>
        <w:tc>
          <w:tcPr>
            <w:tcW w:w="1266"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露天采矿场</w:t>
            </w:r>
          </w:p>
        </w:tc>
        <w:tc>
          <w:tcPr>
            <w:tcW w:w="263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月-20</w:t>
            </w:r>
            <w:r>
              <w:rPr>
                <w:rFonts w:hint="eastAsia" w:ascii="宋体" w:hAnsi="宋体" w:cs="宋体"/>
                <w:bCs/>
                <w:color w:val="auto"/>
                <w:sz w:val="21"/>
                <w:szCs w:val="21"/>
                <w:lang w:val="en-US" w:eastAsia="zh-CN"/>
              </w:rPr>
              <w:t>52</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6</w:t>
            </w:r>
            <w:r>
              <w:rPr>
                <w:rFonts w:hint="eastAsia" w:ascii="宋体" w:hAnsi="宋体" w:eastAsia="宋体" w:cs="宋体"/>
                <w:bCs/>
                <w:color w:val="auto"/>
                <w:sz w:val="21"/>
                <w:szCs w:val="21"/>
              </w:rPr>
              <w:t>月</w:t>
            </w:r>
          </w:p>
        </w:tc>
        <w:tc>
          <w:tcPr>
            <w:tcW w:w="84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挖损</w:t>
            </w:r>
          </w:p>
        </w:tc>
        <w:tc>
          <w:tcPr>
            <w:tcW w:w="111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cs="宋体"/>
                <w:bCs/>
                <w:color w:val="auto"/>
                <w:sz w:val="24"/>
                <w:szCs w:val="24"/>
                <w:lang w:val="en-US" w:eastAsia="zh-CN"/>
              </w:rPr>
              <w:t>****</w:t>
            </w:r>
          </w:p>
        </w:tc>
        <w:tc>
          <w:tcPr>
            <w:tcW w:w="117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裸土地</w:t>
            </w:r>
          </w:p>
        </w:tc>
        <w:tc>
          <w:tcPr>
            <w:tcW w:w="1287" w:type="dxa"/>
            <w:vMerge w:val="restart"/>
            <w:vAlign w:val="center"/>
          </w:tcPr>
          <w:p>
            <w:pPr>
              <w:widowControl w:val="0"/>
              <w:adjustRightInd w:val="0"/>
              <w:snapToGrid w:val="0"/>
              <w:jc w:val="center"/>
              <w:rPr>
                <w:rFonts w:hint="default" w:ascii="宋体" w:hAnsi="宋体" w:eastAsia="宋体" w:cs="宋体"/>
                <w:bCs/>
                <w:color w:val="auto"/>
                <w:sz w:val="21"/>
                <w:szCs w:val="21"/>
                <w:lang w:val="en-US" w:eastAsia="zh-CN"/>
              </w:rPr>
            </w:pPr>
            <w:r>
              <w:rPr>
                <w:rFonts w:hint="eastAsia" w:ascii="宋体" w:hAnsi="宋体" w:cs="宋体"/>
                <w:bCs/>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266"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排土场</w:t>
            </w:r>
          </w:p>
        </w:tc>
        <w:tc>
          <w:tcPr>
            <w:tcW w:w="263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年11月-202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年4月</w:t>
            </w:r>
          </w:p>
        </w:tc>
        <w:tc>
          <w:tcPr>
            <w:tcW w:w="84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111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cs="宋体"/>
                <w:bCs/>
                <w:color w:val="auto"/>
                <w:sz w:val="24"/>
                <w:szCs w:val="24"/>
                <w:lang w:val="en-US" w:eastAsia="zh-CN"/>
              </w:rPr>
              <w:t>****</w:t>
            </w:r>
          </w:p>
        </w:tc>
        <w:tc>
          <w:tcPr>
            <w:tcW w:w="117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裸土地</w:t>
            </w:r>
          </w:p>
        </w:tc>
        <w:tc>
          <w:tcPr>
            <w:tcW w:w="1287" w:type="dxa"/>
            <w:vMerge w:val="continue"/>
            <w:vAlign w:val="center"/>
          </w:tcPr>
          <w:p>
            <w:pPr>
              <w:adjustRightInd w:val="0"/>
              <w:snapToGrid w:val="0"/>
              <w:jc w:val="center"/>
              <w:rPr>
                <w:rFonts w:hint="eastAsia" w:ascii="宋体" w:hAnsi="宋体" w:eastAsia="宋体" w:cs="宋体"/>
                <w:color w:val="auto"/>
                <w:kern w:val="1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266" w:type="dxa"/>
            <w:vAlign w:val="center"/>
          </w:tcPr>
          <w:p>
            <w:pPr>
              <w:widowControl w:val="0"/>
              <w:adjustRightInd w:val="0"/>
              <w:snapToGrid w:val="0"/>
              <w:jc w:val="center"/>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生活区</w:t>
            </w:r>
          </w:p>
        </w:tc>
        <w:tc>
          <w:tcPr>
            <w:tcW w:w="263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年11月-202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年4月</w:t>
            </w:r>
          </w:p>
        </w:tc>
        <w:tc>
          <w:tcPr>
            <w:tcW w:w="84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111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cs="宋体"/>
                <w:bCs/>
                <w:color w:val="auto"/>
                <w:sz w:val="24"/>
                <w:szCs w:val="24"/>
                <w:lang w:val="en-US" w:eastAsia="zh-CN"/>
              </w:rPr>
              <w:t>****</w:t>
            </w:r>
          </w:p>
        </w:tc>
        <w:tc>
          <w:tcPr>
            <w:tcW w:w="117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裸土地</w:t>
            </w:r>
          </w:p>
        </w:tc>
        <w:tc>
          <w:tcPr>
            <w:tcW w:w="1287" w:type="dxa"/>
            <w:vMerge w:val="continue"/>
            <w:vAlign w:val="center"/>
          </w:tcPr>
          <w:p>
            <w:pPr>
              <w:adjustRightInd w:val="0"/>
              <w:snapToGrid w:val="0"/>
              <w:jc w:val="center"/>
              <w:rPr>
                <w:rFonts w:hint="eastAsia" w:ascii="宋体" w:hAnsi="宋体" w:eastAsia="宋体" w:cs="宋体"/>
                <w:color w:val="auto"/>
                <w:kern w:val="144"/>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266"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矿山道路</w:t>
            </w:r>
          </w:p>
        </w:tc>
        <w:tc>
          <w:tcPr>
            <w:tcW w:w="263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年11月-202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年4月</w:t>
            </w:r>
          </w:p>
        </w:tc>
        <w:tc>
          <w:tcPr>
            <w:tcW w:w="84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111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cs="宋体"/>
                <w:bCs/>
                <w:color w:val="auto"/>
                <w:sz w:val="24"/>
                <w:szCs w:val="24"/>
                <w:lang w:val="en-US" w:eastAsia="zh-CN"/>
              </w:rPr>
              <w:t>****</w:t>
            </w:r>
          </w:p>
        </w:tc>
        <w:tc>
          <w:tcPr>
            <w:tcW w:w="1170"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裸土地</w:t>
            </w:r>
          </w:p>
        </w:tc>
        <w:tc>
          <w:tcPr>
            <w:tcW w:w="1287" w:type="dxa"/>
            <w:vMerge w:val="continue"/>
            <w:vAlign w:val="center"/>
          </w:tcPr>
          <w:p>
            <w:pPr>
              <w:adjustRightInd w:val="0"/>
              <w:snapToGrid w:val="0"/>
              <w:jc w:val="center"/>
              <w:rPr>
                <w:rFonts w:hint="eastAsia" w:ascii="宋体" w:hAnsi="宋体" w:eastAsia="宋体" w:cs="宋体"/>
                <w:color w:val="auto"/>
                <w:kern w:val="144"/>
                <w:sz w:val="21"/>
                <w:szCs w:val="21"/>
              </w:rPr>
            </w:pPr>
          </w:p>
        </w:tc>
      </w:tr>
      <w:bookmarkEnd w:id="150"/>
      <w:bookmarkEnd w:id="151"/>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w:t>
      </w:r>
      <w:bookmarkEnd w:id="152"/>
      <w:bookmarkEnd w:id="153"/>
      <w:r>
        <w:rPr>
          <w:rFonts w:hint="eastAsia"/>
          <w:color w:val="auto"/>
          <w:sz w:val="28"/>
          <w:szCs w:val="28"/>
        </w:rPr>
        <w:t>已损毁各类土地现状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土地损毁程度评价标准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中华人民共和国土地管理法》和国务院颁布的《土地复垦条例》，把土地损毁程度等级数确定为三级标准，分别为：一级：轻度损毁，土地损毁轻微，基本不影响土地功能；二级：中度损毁，土地损毁比较严重，影响土地功能；三级：重度损毁，土地严重损毁，丧失原有功能。评价因素的具体等级标准目前国内尚无精确的划分值，本方案是根据疆内类似工程的土地破坏因素调查情况，不同损毁类型的不同特点，选取不同的主要评价因子，根据预测损毁情况对评价因子进行综合分析，确定土地损毁程度，见表3-2</w:t>
      </w: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w:t>
      </w:r>
    </w:p>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表3-2</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rPr>
        <w:t xml:space="preserve">   土地损毁程度评价标准表  </w:t>
      </w:r>
    </w:p>
    <w:tbl>
      <w:tblPr>
        <w:tblStyle w:val="53"/>
        <w:tblW w:w="85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9"/>
        <w:gridCol w:w="2737"/>
        <w:gridCol w:w="1263"/>
        <w:gridCol w:w="1719"/>
        <w:gridCol w:w="1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blHeader/>
          <w:jc w:val="center"/>
        </w:trPr>
        <w:tc>
          <w:tcPr>
            <w:tcW w:w="969" w:type="dxa"/>
            <w:vMerge w:val="restart"/>
            <w:vAlign w:val="center"/>
          </w:tcPr>
          <w:p>
            <w:pPr>
              <w:widowControl w:val="0"/>
              <w:adjustRightInd w:val="0"/>
              <w:snapToGrid w:val="0"/>
              <w:jc w:val="cente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土地损毁形式</w:t>
            </w:r>
          </w:p>
        </w:tc>
        <w:tc>
          <w:tcPr>
            <w:tcW w:w="2737" w:type="dxa"/>
            <w:vMerge w:val="restart"/>
            <w:vAlign w:val="center"/>
          </w:tcPr>
          <w:p>
            <w:pPr>
              <w:widowControl w:val="0"/>
              <w:adjustRightInd w:val="0"/>
              <w:snapToGrid w:val="0"/>
              <w:jc w:val="cente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评价因子</w:t>
            </w:r>
          </w:p>
        </w:tc>
        <w:tc>
          <w:tcPr>
            <w:tcW w:w="4893" w:type="dxa"/>
            <w:gridSpan w:val="3"/>
            <w:vAlign w:val="center"/>
          </w:tcPr>
          <w:p>
            <w:pPr>
              <w:widowControl w:val="0"/>
              <w:adjustRightInd w:val="0"/>
              <w:snapToGrid w:val="0"/>
              <w:jc w:val="cente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土地损毁程度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blHeader/>
          <w:jc w:val="center"/>
        </w:trPr>
        <w:tc>
          <w:tcPr>
            <w:tcW w:w="969" w:type="dxa"/>
            <w:vMerge w:val="continue"/>
            <w:vAlign w:val="center"/>
          </w:tcPr>
          <w:p>
            <w:pPr>
              <w:widowControl w:val="0"/>
              <w:adjustRightInd w:val="0"/>
              <w:snapToGrid w:val="0"/>
              <w:jc w:val="center"/>
              <w:rPr>
                <w:rFonts w:hint="eastAsia" w:ascii="宋体" w:hAnsi="宋体" w:eastAsia="宋体" w:cs="宋体"/>
                <w:b/>
                <w:bCs w:val="0"/>
                <w:color w:val="auto"/>
                <w:sz w:val="21"/>
                <w:szCs w:val="21"/>
              </w:rPr>
            </w:pPr>
          </w:p>
        </w:tc>
        <w:tc>
          <w:tcPr>
            <w:tcW w:w="2737" w:type="dxa"/>
            <w:vMerge w:val="continue"/>
            <w:vAlign w:val="center"/>
          </w:tcPr>
          <w:p>
            <w:pPr>
              <w:widowControl w:val="0"/>
              <w:adjustRightInd w:val="0"/>
              <w:snapToGrid w:val="0"/>
              <w:jc w:val="center"/>
              <w:rPr>
                <w:rFonts w:hint="eastAsia" w:ascii="宋体" w:hAnsi="宋体" w:eastAsia="宋体" w:cs="宋体"/>
                <w:b/>
                <w:bCs w:val="0"/>
                <w:color w:val="auto"/>
                <w:sz w:val="21"/>
                <w:szCs w:val="21"/>
              </w:rPr>
            </w:pPr>
          </w:p>
        </w:tc>
        <w:tc>
          <w:tcPr>
            <w:tcW w:w="1263" w:type="dxa"/>
            <w:vAlign w:val="center"/>
          </w:tcPr>
          <w:p>
            <w:pPr>
              <w:widowControl w:val="0"/>
              <w:adjustRightInd w:val="0"/>
              <w:snapToGrid w:val="0"/>
              <w:jc w:val="cente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轻度</w:t>
            </w:r>
          </w:p>
        </w:tc>
        <w:tc>
          <w:tcPr>
            <w:tcW w:w="1719" w:type="dxa"/>
            <w:vAlign w:val="center"/>
          </w:tcPr>
          <w:p>
            <w:pPr>
              <w:widowControl w:val="0"/>
              <w:adjustRightInd w:val="0"/>
              <w:snapToGrid w:val="0"/>
              <w:jc w:val="cente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中度</w:t>
            </w:r>
          </w:p>
        </w:tc>
        <w:tc>
          <w:tcPr>
            <w:tcW w:w="1911" w:type="dxa"/>
            <w:vAlign w:val="center"/>
          </w:tcPr>
          <w:p>
            <w:pPr>
              <w:widowControl w:val="0"/>
              <w:adjustRightInd w:val="0"/>
              <w:snapToGrid w:val="0"/>
              <w:jc w:val="cente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969" w:type="dxa"/>
            <w:vMerge w:val="restart"/>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表土层损毁厚度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＜10cm</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10-20cm</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7" w:hRule="atLeast"/>
          <w:jc w:val="center"/>
        </w:trPr>
        <w:tc>
          <w:tcPr>
            <w:tcW w:w="969" w:type="dxa"/>
            <w:vMerge w:val="continue"/>
            <w:vAlign w:val="center"/>
          </w:tcPr>
          <w:p>
            <w:pPr>
              <w:widowControl w:val="0"/>
              <w:adjustRightInd w:val="0"/>
              <w:snapToGrid w:val="0"/>
              <w:jc w:val="center"/>
              <w:rPr>
                <w:rFonts w:hint="eastAsia" w:ascii="宋体" w:hAnsi="宋体" w:eastAsia="宋体" w:cs="宋体"/>
                <w:bCs/>
                <w:color w:val="auto"/>
                <w:sz w:val="21"/>
                <w:szCs w:val="21"/>
              </w:rPr>
            </w:pP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坡度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＜6°</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6-15°</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69" w:type="dxa"/>
            <w:vMerge w:val="continue"/>
            <w:vAlign w:val="center"/>
          </w:tcPr>
          <w:p>
            <w:pPr>
              <w:widowControl w:val="0"/>
              <w:adjustRightInd w:val="0"/>
              <w:snapToGrid w:val="0"/>
              <w:jc w:val="center"/>
              <w:rPr>
                <w:rFonts w:hint="eastAsia" w:ascii="宋体" w:hAnsi="宋体" w:eastAsia="宋体" w:cs="宋体"/>
                <w:bCs/>
                <w:color w:val="auto"/>
                <w:sz w:val="21"/>
                <w:szCs w:val="21"/>
              </w:rPr>
            </w:pP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压占物</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原始土壤</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原始土壤和岩石混合物</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岩土、砾石、建筑物、建筑垃圾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969" w:type="dxa"/>
            <w:vMerge w:val="restart"/>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挖损</w:t>
            </w: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表土层损毁厚度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＜10cm</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10-20cm</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jc w:val="center"/>
        </w:trPr>
        <w:tc>
          <w:tcPr>
            <w:tcW w:w="969" w:type="dxa"/>
            <w:vMerge w:val="continue"/>
            <w:vAlign w:val="center"/>
          </w:tcPr>
          <w:p>
            <w:pPr>
              <w:widowControl w:val="0"/>
              <w:adjustRightInd w:val="0"/>
              <w:snapToGrid w:val="0"/>
              <w:jc w:val="center"/>
              <w:rPr>
                <w:rFonts w:hint="eastAsia" w:ascii="宋体" w:hAnsi="宋体" w:eastAsia="宋体" w:cs="宋体"/>
                <w:bCs/>
                <w:color w:val="auto"/>
                <w:sz w:val="21"/>
                <w:szCs w:val="21"/>
              </w:rPr>
            </w:pP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开挖深度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＜2m</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2-4m</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969" w:type="dxa"/>
            <w:vMerge w:val="continue"/>
            <w:vAlign w:val="center"/>
          </w:tcPr>
          <w:p>
            <w:pPr>
              <w:widowControl w:val="0"/>
              <w:adjustRightInd w:val="0"/>
              <w:snapToGrid w:val="0"/>
              <w:jc w:val="center"/>
              <w:rPr>
                <w:rFonts w:hint="eastAsia" w:ascii="宋体" w:hAnsi="宋体" w:eastAsia="宋体" w:cs="宋体"/>
                <w:bCs/>
                <w:color w:val="auto"/>
                <w:sz w:val="21"/>
                <w:szCs w:val="21"/>
              </w:rPr>
            </w:pP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挖损边坡坡度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＜6°</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6-15°</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jc w:val="center"/>
        </w:trPr>
        <w:tc>
          <w:tcPr>
            <w:tcW w:w="969" w:type="dxa"/>
            <w:vMerge w:val="restart"/>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塌陷</w:t>
            </w: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单个塌陷坑面积</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＜10m</w:t>
            </w:r>
            <w:r>
              <w:rPr>
                <w:rFonts w:hint="eastAsia" w:ascii="宋体" w:hAnsi="宋体" w:eastAsia="宋体" w:cs="宋体"/>
                <w:bCs/>
                <w:color w:val="auto"/>
                <w:sz w:val="21"/>
                <w:szCs w:val="21"/>
                <w:vertAlign w:val="superscript"/>
              </w:rPr>
              <w:t>2</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10-30m</w:t>
            </w:r>
            <w:r>
              <w:rPr>
                <w:rFonts w:hint="eastAsia" w:ascii="宋体" w:hAnsi="宋体" w:eastAsia="宋体" w:cs="宋体"/>
                <w:bCs/>
                <w:color w:val="auto"/>
                <w:sz w:val="21"/>
                <w:szCs w:val="21"/>
                <w:vertAlign w:val="superscript"/>
              </w:rPr>
              <w:t>2</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＞30m</w:t>
            </w:r>
            <w:r>
              <w:rPr>
                <w:rFonts w:hint="eastAsia" w:ascii="宋体" w:hAnsi="宋体" w:eastAsia="宋体" w:cs="宋体"/>
                <w:bCs/>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969" w:type="dxa"/>
            <w:vMerge w:val="continue"/>
            <w:vAlign w:val="center"/>
          </w:tcPr>
          <w:p>
            <w:pPr>
              <w:widowControl w:val="0"/>
              <w:adjustRightInd w:val="0"/>
              <w:snapToGrid w:val="0"/>
              <w:jc w:val="center"/>
              <w:rPr>
                <w:rFonts w:hint="eastAsia" w:ascii="宋体" w:hAnsi="宋体" w:eastAsia="宋体" w:cs="宋体"/>
                <w:bCs/>
                <w:color w:val="auto"/>
                <w:sz w:val="21"/>
                <w:szCs w:val="21"/>
              </w:rPr>
            </w:pP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塌陷坑深度（最大深度）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＜2m</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2-4m</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jc w:val="center"/>
        </w:trPr>
        <w:tc>
          <w:tcPr>
            <w:tcW w:w="969" w:type="dxa"/>
            <w:vMerge w:val="continue"/>
            <w:vAlign w:val="center"/>
          </w:tcPr>
          <w:p>
            <w:pPr>
              <w:widowControl w:val="0"/>
              <w:adjustRightInd w:val="0"/>
              <w:snapToGrid w:val="0"/>
              <w:jc w:val="center"/>
              <w:rPr>
                <w:rFonts w:hint="eastAsia" w:ascii="宋体" w:hAnsi="宋体" w:eastAsia="宋体" w:cs="宋体"/>
                <w:bCs/>
                <w:color w:val="auto"/>
                <w:sz w:val="21"/>
                <w:szCs w:val="21"/>
              </w:rPr>
            </w:pP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塌陷坑边沿裸露断面高度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＜0.3m</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0.3-0.5m</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969" w:type="dxa"/>
            <w:vMerge w:val="continue"/>
            <w:vAlign w:val="center"/>
          </w:tcPr>
          <w:p>
            <w:pPr>
              <w:widowControl w:val="0"/>
              <w:adjustRightInd w:val="0"/>
              <w:snapToGrid w:val="0"/>
              <w:jc w:val="center"/>
              <w:rPr>
                <w:rFonts w:hint="eastAsia" w:ascii="宋体" w:hAnsi="宋体" w:eastAsia="宋体" w:cs="宋体"/>
                <w:bCs/>
                <w:color w:val="auto"/>
                <w:sz w:val="21"/>
                <w:szCs w:val="21"/>
              </w:rPr>
            </w:pPr>
          </w:p>
        </w:tc>
        <w:tc>
          <w:tcPr>
            <w:tcW w:w="2737"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塌陷坑边坡坡度</w:t>
            </w:r>
          </w:p>
        </w:tc>
        <w:tc>
          <w:tcPr>
            <w:tcW w:w="1263"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＜6°</w:t>
            </w:r>
          </w:p>
        </w:tc>
        <w:tc>
          <w:tcPr>
            <w:tcW w:w="1719"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6-15°</w:t>
            </w:r>
          </w:p>
        </w:tc>
        <w:tc>
          <w:tcPr>
            <w:tcW w:w="1911" w:type="dxa"/>
            <w:vAlign w:val="center"/>
          </w:tcPr>
          <w:p>
            <w:pPr>
              <w:widowControl w:val="0"/>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＞15°</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已损毁土地现状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根据本次现场调查结果与矿方提供的资料，</w:t>
      </w:r>
      <w:bookmarkStart w:id="154" w:name="_Toc31113"/>
      <w:bookmarkStart w:id="155" w:name="_Toc10774"/>
      <w:r>
        <w:rPr>
          <w:rFonts w:hint="eastAsia" w:ascii="宋体" w:hAnsi="宋体" w:eastAsia="宋体" w:cs="宋体"/>
          <w:bCs/>
          <w:color w:val="auto"/>
          <w:sz w:val="24"/>
          <w:szCs w:val="24"/>
        </w:rPr>
        <w:t>矿山现状为原始地貌，没有土地损毁。</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w:t>
      </w:r>
      <w:bookmarkEnd w:id="154"/>
      <w:bookmarkEnd w:id="155"/>
      <w:r>
        <w:rPr>
          <w:rFonts w:hint="eastAsia"/>
          <w:color w:val="auto"/>
          <w:sz w:val="28"/>
          <w:szCs w:val="28"/>
        </w:rPr>
        <w:t>拟损毁土地预测与评估</w:t>
      </w:r>
    </w:p>
    <w:p>
      <w:pPr>
        <w:widowControl w:val="0"/>
        <w:adjustRightInd w:val="0"/>
        <w:snapToGrid w:val="0"/>
        <w:spacing w:line="360" w:lineRule="auto"/>
        <w:ind w:firstLine="480" w:firstLineChars="200"/>
        <w:jc w:val="both"/>
        <w:rPr>
          <w:rFonts w:hint="eastAsia" w:ascii="宋体" w:hAnsi="宋体" w:eastAsia="宋体" w:cs="宋体"/>
          <w:bCs/>
          <w:color w:val="auto"/>
          <w:sz w:val="24"/>
          <w:szCs w:val="24"/>
        </w:rPr>
      </w:pPr>
      <w:bookmarkStart w:id="156" w:name="_Toc28101"/>
      <w:bookmarkStart w:id="157" w:name="_Toc14059"/>
      <w:r>
        <w:rPr>
          <w:rFonts w:hint="eastAsia" w:ascii="宋体" w:hAnsi="宋体" w:eastAsia="宋体" w:cs="宋体"/>
          <w:bCs/>
          <w:color w:val="auto"/>
          <w:sz w:val="24"/>
          <w:szCs w:val="24"/>
        </w:rPr>
        <w:t>根据本次现场调查结果与开发利用方案等资料，经统计本矿山拟损毁土地面积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公顷，损毁土地现状情况如下，见表3-2</w:t>
      </w:r>
      <w:r>
        <w:rPr>
          <w:rFonts w:hint="eastAsia" w:ascii="宋体" w:hAnsi="宋体" w:cs="宋体"/>
          <w:bCs/>
          <w:color w:val="auto"/>
          <w:sz w:val="24"/>
          <w:szCs w:val="24"/>
          <w:lang w:val="en-US" w:eastAsia="zh-CN"/>
        </w:rPr>
        <w:t>6</w:t>
      </w:r>
      <w:r>
        <w:rPr>
          <w:rFonts w:hint="eastAsia" w:ascii="宋体" w:hAnsi="宋体" w:eastAsia="宋体" w:cs="宋体"/>
          <w:bCs/>
          <w:color w:val="auto"/>
          <w:sz w:val="24"/>
          <w:szCs w:val="24"/>
        </w:rPr>
        <w:t>。</w:t>
      </w:r>
    </w:p>
    <w:p>
      <w:pPr>
        <w:widowControl w:val="0"/>
        <w:adjustRightInd w:val="0"/>
        <w:snapToGrid w:val="0"/>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1、拟挖损损毁土地现状</w:t>
      </w:r>
    </w:p>
    <w:p>
      <w:pPr>
        <w:widowControl w:val="0"/>
        <w:adjustRightInd w:val="0"/>
        <w:snapToGrid w:val="0"/>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拟挖损露天采坑</w:t>
      </w: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rPr>
        <w:t>处，拟挖损损毁土地资源总面积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公顷，采坑坡面角控制在50°内，台阶开采高度10米，矿山闭坑后需要进行治理恢复及土地复垦工作。拟毁的土地类型均为裸土地，对原有土地损毁程度为重度。</w:t>
      </w:r>
    </w:p>
    <w:p>
      <w:pPr>
        <w:widowControl w:val="0"/>
        <w:adjustRightInd w:val="0"/>
        <w:snapToGrid w:val="0"/>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2、拟压占损毁土地现状</w:t>
      </w:r>
    </w:p>
    <w:p>
      <w:pPr>
        <w:widowControl w:val="0"/>
        <w:adjustRightInd w:val="0"/>
        <w:snapToGrid w:val="0"/>
        <w:spacing w:line="360" w:lineRule="auto"/>
        <w:ind w:firstLine="480" w:firstLineChars="200"/>
        <w:jc w:val="both"/>
        <w:rPr>
          <w:rFonts w:hint="eastAsia" w:ascii="宋体" w:hAnsi="宋体" w:eastAsia="宋体" w:cs="宋体"/>
          <w:bCs/>
          <w:color w:val="auto"/>
          <w:sz w:val="24"/>
          <w:szCs w:val="24"/>
        </w:rPr>
      </w:pPr>
      <w:r>
        <w:rPr>
          <w:rFonts w:hint="eastAsia" w:ascii="宋体" w:hAnsi="宋体" w:eastAsia="宋体" w:cs="宋体"/>
          <w:bCs/>
          <w:color w:val="auto"/>
          <w:sz w:val="24"/>
          <w:szCs w:val="24"/>
        </w:rPr>
        <w:t>排土场，位于矿</w:t>
      </w:r>
      <w:r>
        <w:rPr>
          <w:rFonts w:hint="eastAsia" w:ascii="宋体" w:hAnsi="宋体" w:cs="宋体"/>
          <w:bCs/>
          <w:color w:val="auto"/>
          <w:sz w:val="24"/>
          <w:szCs w:val="24"/>
          <w:lang w:val="en-US" w:eastAsia="zh-CN"/>
        </w:rPr>
        <w:t>区东</w:t>
      </w:r>
      <w:r>
        <w:rPr>
          <w:rFonts w:hint="eastAsia" w:ascii="宋体" w:hAnsi="宋体" w:eastAsia="宋体" w:cs="宋体"/>
          <w:bCs/>
          <w:color w:val="auto"/>
          <w:sz w:val="24"/>
          <w:szCs w:val="24"/>
        </w:rPr>
        <w:t>部，占地面积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公顷</w:t>
      </w:r>
      <w:r>
        <w:rPr>
          <w:rFonts w:hint="eastAsia" w:ascii="宋体" w:hAnsi="宋体" w:cs="宋体"/>
          <w:bCs/>
          <w:color w:val="auto"/>
          <w:sz w:val="24"/>
          <w:szCs w:val="24"/>
          <w:lang w:eastAsia="zh-CN"/>
        </w:rPr>
        <w:t>，地形坡度5-8°，单层压实堆放，平均堆高约3米左右，堆积坡度约45°，堆积量约</w:t>
      </w:r>
      <w:r>
        <w:rPr>
          <w:rFonts w:hint="eastAsia" w:ascii="宋体" w:hAnsi="宋体" w:cs="宋体"/>
          <w:bCs/>
          <w:color w:val="auto"/>
          <w:sz w:val="24"/>
          <w:szCs w:val="24"/>
          <w:lang w:val="en-US" w:eastAsia="zh-CN"/>
        </w:rPr>
        <w:t>****</w:t>
      </w:r>
      <w:r>
        <w:rPr>
          <w:rFonts w:hint="eastAsia" w:ascii="宋体" w:hAnsi="宋体" w:cs="宋体"/>
          <w:bCs/>
          <w:color w:val="auto"/>
          <w:sz w:val="24"/>
          <w:szCs w:val="24"/>
          <w:lang w:eastAsia="zh-CN"/>
        </w:rPr>
        <w:t>立方米</w:t>
      </w:r>
      <w:r>
        <w:rPr>
          <w:rFonts w:hint="eastAsia" w:ascii="宋体" w:hAnsi="宋体" w:eastAsia="宋体" w:cs="宋体"/>
          <w:bCs/>
          <w:color w:val="auto"/>
          <w:sz w:val="24"/>
          <w:szCs w:val="24"/>
        </w:rPr>
        <w:t>；</w:t>
      </w:r>
      <w:r>
        <w:rPr>
          <w:rFonts w:hint="eastAsia" w:ascii="宋体" w:hAnsi="宋体" w:cs="宋体"/>
          <w:bCs/>
          <w:color w:val="auto"/>
          <w:sz w:val="24"/>
          <w:szCs w:val="24"/>
          <w:lang w:val="en-US" w:eastAsia="zh-CN"/>
        </w:rPr>
        <w:t>生活区，</w:t>
      </w:r>
      <w:r>
        <w:rPr>
          <w:rFonts w:hint="eastAsia" w:ascii="宋体" w:hAnsi="宋体" w:eastAsia="宋体" w:cs="宋体"/>
          <w:bCs/>
          <w:color w:val="auto"/>
          <w:sz w:val="24"/>
          <w:szCs w:val="24"/>
        </w:rPr>
        <w:t>位于矿</w:t>
      </w:r>
      <w:r>
        <w:rPr>
          <w:rFonts w:hint="eastAsia" w:ascii="宋体" w:hAnsi="宋体" w:eastAsia="宋体" w:cs="宋体"/>
          <w:bCs/>
          <w:color w:val="auto"/>
          <w:sz w:val="24"/>
          <w:szCs w:val="24"/>
          <w:lang w:val="en-US" w:eastAsia="zh-CN"/>
        </w:rPr>
        <w:t>区</w:t>
      </w:r>
      <w:r>
        <w:rPr>
          <w:rFonts w:hint="eastAsia" w:ascii="宋体" w:hAnsi="宋体" w:cs="宋体"/>
          <w:bCs/>
          <w:color w:val="auto"/>
          <w:sz w:val="24"/>
          <w:szCs w:val="24"/>
          <w:lang w:val="en-US" w:eastAsia="zh-CN"/>
        </w:rPr>
        <w:t>东</w:t>
      </w:r>
      <w:r>
        <w:rPr>
          <w:rFonts w:hint="eastAsia" w:ascii="宋体" w:hAnsi="宋体" w:eastAsia="宋体" w:cs="宋体"/>
          <w:bCs/>
          <w:color w:val="auto"/>
          <w:sz w:val="24"/>
          <w:szCs w:val="24"/>
        </w:rPr>
        <w:t>部，占地面积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公顷</w:t>
      </w:r>
      <w:r>
        <w:rPr>
          <w:rFonts w:hint="eastAsia" w:ascii="宋体" w:hAnsi="宋体" w:cs="宋体"/>
          <w:bCs/>
          <w:color w:val="auto"/>
          <w:sz w:val="24"/>
          <w:szCs w:val="24"/>
          <w:lang w:eastAsia="zh-CN"/>
        </w:rPr>
        <w:t>，现状地形坡度约3°，建设前需对场地进行平整。规划办公生活区由办公区、生活区和职工食堂等组成</w:t>
      </w:r>
      <w:r>
        <w:rPr>
          <w:rFonts w:hint="eastAsia" w:ascii="宋体" w:hAnsi="宋体" w:eastAsia="宋体" w:cs="宋体"/>
          <w:bCs/>
          <w:color w:val="auto"/>
          <w:sz w:val="24"/>
          <w:szCs w:val="24"/>
        </w:rPr>
        <w:t>；矿山道路，占地面积</w:t>
      </w:r>
      <w:r>
        <w:rPr>
          <w:rFonts w:hint="eastAsia" w:ascii="宋体" w:hAnsi="宋体" w:cs="宋体"/>
          <w:bCs/>
          <w:color w:val="auto"/>
          <w:sz w:val="24"/>
          <w:szCs w:val="24"/>
          <w:lang w:val="en-US" w:eastAsia="zh-CN"/>
        </w:rPr>
        <w:t>****</w:t>
      </w:r>
      <w:r>
        <w:rPr>
          <w:rFonts w:hint="eastAsia" w:ascii="宋体" w:hAnsi="宋体" w:eastAsia="宋体" w:cs="宋体"/>
          <w:bCs/>
          <w:color w:val="auto"/>
          <w:sz w:val="24"/>
          <w:szCs w:val="24"/>
        </w:rPr>
        <w:t>公顷</w:t>
      </w:r>
      <w:r>
        <w:rPr>
          <w:rFonts w:hint="eastAsia" w:ascii="宋体" w:hAnsi="宋体" w:cs="宋体"/>
          <w:bCs/>
          <w:color w:val="auto"/>
          <w:sz w:val="24"/>
          <w:szCs w:val="24"/>
          <w:lang w:eastAsia="zh-CN"/>
        </w:rPr>
        <w:t>，地形坡度约3-5°，无切坡工程，无高陡边坡</w:t>
      </w:r>
      <w:r>
        <w:rPr>
          <w:rFonts w:hint="eastAsia" w:ascii="宋体" w:hAnsi="宋体" w:eastAsia="宋体" w:cs="宋体"/>
          <w:bCs/>
          <w:color w:val="auto"/>
          <w:sz w:val="24"/>
          <w:szCs w:val="24"/>
        </w:rPr>
        <w:t>。上述区域损毁的土地类型均为裸土地，对原有土地拟</w:t>
      </w:r>
      <w:r>
        <w:rPr>
          <w:rFonts w:hint="eastAsia" w:ascii="宋体" w:hAnsi="宋体" w:cs="宋体"/>
          <w:bCs/>
          <w:color w:val="auto"/>
          <w:sz w:val="24"/>
          <w:szCs w:val="24"/>
          <w:lang w:val="en-US" w:eastAsia="zh-CN"/>
        </w:rPr>
        <w:t>损</w:t>
      </w:r>
      <w:r>
        <w:rPr>
          <w:rFonts w:hint="eastAsia" w:ascii="宋体" w:hAnsi="宋体" w:eastAsia="宋体" w:cs="宋体"/>
          <w:bCs/>
          <w:color w:val="auto"/>
          <w:sz w:val="24"/>
          <w:szCs w:val="24"/>
        </w:rPr>
        <w:t>毁程度均为</w:t>
      </w:r>
      <w:r>
        <w:rPr>
          <w:rFonts w:hint="eastAsia" w:ascii="宋体" w:hAnsi="宋体" w:cs="宋体"/>
          <w:bCs/>
          <w:color w:val="auto"/>
          <w:sz w:val="24"/>
          <w:szCs w:val="24"/>
          <w:lang w:val="en-US" w:eastAsia="zh-CN"/>
        </w:rPr>
        <w:t>中度</w:t>
      </w:r>
      <w:r>
        <w:rPr>
          <w:rFonts w:hint="eastAsia" w:ascii="宋体" w:hAnsi="宋体" w:eastAsia="宋体" w:cs="宋体"/>
          <w:bCs/>
          <w:color w:val="auto"/>
          <w:sz w:val="24"/>
          <w:szCs w:val="24"/>
        </w:rPr>
        <w:t>。</w:t>
      </w:r>
    </w:p>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表 3-2</w:t>
      </w:r>
      <w:r>
        <w:rPr>
          <w:rFonts w:hint="eastAsia" w:ascii="宋体" w:hAnsi="宋体" w:eastAsia="宋体" w:cs="宋体"/>
          <w:b/>
          <w:bCs/>
          <w:color w:val="auto"/>
          <w:sz w:val="21"/>
          <w:szCs w:val="21"/>
          <w:highlight w:val="none"/>
          <w:lang w:val="en-US" w:eastAsia="zh-CN"/>
        </w:rPr>
        <w:t>6</w:t>
      </w:r>
      <w:r>
        <w:rPr>
          <w:rFonts w:hint="eastAsia" w:ascii="宋体" w:hAnsi="宋体" w:eastAsia="宋体" w:cs="宋体"/>
          <w:b/>
          <w:bCs/>
          <w:color w:val="auto"/>
          <w:sz w:val="21"/>
          <w:szCs w:val="21"/>
          <w:highlight w:val="none"/>
        </w:rPr>
        <w:t xml:space="preserve">  </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拟损毁土地资源情况表</w:t>
      </w:r>
    </w:p>
    <w:tbl>
      <w:tblPr>
        <w:tblStyle w:val="53"/>
        <w:tblW w:w="8799" w:type="dxa"/>
        <w:jc w:val="center"/>
        <w:tblInd w:w="0" w:type="dxa"/>
        <w:tblLayout w:type="fixed"/>
        <w:tblCellMar>
          <w:top w:w="0" w:type="dxa"/>
          <w:left w:w="108" w:type="dxa"/>
          <w:bottom w:w="0" w:type="dxa"/>
          <w:right w:w="108" w:type="dxa"/>
        </w:tblCellMar>
      </w:tblPr>
      <w:tblGrid>
        <w:gridCol w:w="735"/>
        <w:gridCol w:w="1276"/>
        <w:gridCol w:w="1276"/>
        <w:gridCol w:w="709"/>
        <w:gridCol w:w="709"/>
        <w:gridCol w:w="1134"/>
        <w:gridCol w:w="992"/>
        <w:gridCol w:w="993"/>
        <w:gridCol w:w="975"/>
      </w:tblGrid>
      <w:tr>
        <w:tblPrEx>
          <w:tblLayout w:type="fixed"/>
          <w:tblCellMar>
            <w:top w:w="0" w:type="dxa"/>
            <w:left w:w="108" w:type="dxa"/>
            <w:bottom w:w="0" w:type="dxa"/>
            <w:right w:w="108" w:type="dxa"/>
          </w:tblCellMar>
        </w:tblPrEx>
        <w:trPr>
          <w:trHeight w:val="325" w:hRule="atLeast"/>
          <w:jc w:val="center"/>
        </w:trPr>
        <w:tc>
          <w:tcPr>
            <w:tcW w:w="73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损毁</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形式</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拟损毁</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单元</w:t>
            </w:r>
          </w:p>
        </w:tc>
        <w:tc>
          <w:tcPr>
            <w:tcW w:w="1276"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拟损毁</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土地类型</w:t>
            </w:r>
          </w:p>
        </w:tc>
        <w:tc>
          <w:tcPr>
            <w:tcW w:w="709"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地类</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代码</w:t>
            </w:r>
          </w:p>
        </w:tc>
        <w:tc>
          <w:tcPr>
            <w:tcW w:w="3828" w:type="dxa"/>
            <w:gridSpan w:val="4"/>
            <w:tcBorders>
              <w:top w:val="single" w:color="auto" w:sz="4" w:space="0"/>
              <w:left w:val="nil"/>
              <w:bottom w:val="single" w:color="auto" w:sz="4" w:space="0"/>
              <w:right w:val="single" w:color="000000"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拟</w:t>
            </w:r>
            <w:r>
              <w:rPr>
                <w:rFonts w:hint="eastAsia" w:ascii="宋体" w:hAnsi="宋体" w:eastAsia="宋体" w:cs="宋体"/>
                <w:color w:val="auto"/>
                <w:sz w:val="21"/>
                <w:szCs w:val="21"/>
                <w:lang w:val="en-US" w:eastAsia="zh-CN"/>
              </w:rPr>
              <w:t>损</w:t>
            </w:r>
            <w:r>
              <w:rPr>
                <w:rFonts w:hint="eastAsia" w:ascii="宋体" w:hAnsi="宋体" w:eastAsia="宋体" w:cs="宋体"/>
                <w:color w:val="auto"/>
                <w:sz w:val="21"/>
                <w:szCs w:val="21"/>
              </w:rPr>
              <w:t>毁面积（公顷）</w:t>
            </w: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损毁</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情况</w:t>
            </w:r>
          </w:p>
        </w:tc>
      </w:tr>
      <w:tr>
        <w:tblPrEx>
          <w:tblLayout w:type="fixed"/>
          <w:tblCellMar>
            <w:top w:w="0" w:type="dxa"/>
            <w:left w:w="108" w:type="dxa"/>
            <w:bottom w:w="0" w:type="dxa"/>
            <w:right w:w="108" w:type="dxa"/>
          </w:tblCellMar>
        </w:tblPrEx>
        <w:trPr>
          <w:trHeight w:val="390" w:hRule="atLeast"/>
          <w:jc w:val="center"/>
        </w:trPr>
        <w:tc>
          <w:tcPr>
            <w:tcW w:w="73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276"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轻度</w:t>
            </w:r>
          </w:p>
        </w:tc>
        <w:tc>
          <w:tcPr>
            <w:tcW w:w="1134" w:type="dxa"/>
            <w:tcBorders>
              <w:top w:val="nil"/>
              <w:left w:val="nil"/>
              <w:bottom w:val="single" w:color="auto" w:sz="4" w:space="0"/>
              <w:right w:val="single" w:color="auto" w:sz="4" w:space="0"/>
            </w:tcBorders>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中度</w:t>
            </w:r>
          </w:p>
        </w:tc>
        <w:tc>
          <w:tcPr>
            <w:tcW w:w="992"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重度</w:t>
            </w:r>
          </w:p>
        </w:tc>
        <w:tc>
          <w:tcPr>
            <w:tcW w:w="993"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r>
      <w:tr>
        <w:tblPrEx>
          <w:tblLayout w:type="fixed"/>
          <w:tblCellMar>
            <w:top w:w="0" w:type="dxa"/>
            <w:left w:w="108" w:type="dxa"/>
            <w:bottom w:w="0" w:type="dxa"/>
            <w:right w:w="108" w:type="dxa"/>
          </w:tblCellMar>
        </w:tblPrEx>
        <w:trPr>
          <w:trHeight w:val="51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挖损</w:t>
            </w:r>
          </w:p>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损毁</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露天采坑</w:t>
            </w: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1206</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134"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992"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93"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75"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拟损毁</w:t>
            </w:r>
          </w:p>
        </w:tc>
      </w:tr>
      <w:tr>
        <w:tblPrEx>
          <w:tblLayout w:type="fixed"/>
          <w:tblCellMar>
            <w:top w:w="0" w:type="dxa"/>
            <w:left w:w="108" w:type="dxa"/>
            <w:bottom w:w="0" w:type="dxa"/>
            <w:right w:w="108" w:type="dxa"/>
          </w:tblCellMar>
        </w:tblPrEx>
        <w:trPr>
          <w:trHeight w:val="510" w:hRule="atLeast"/>
          <w:jc w:val="center"/>
        </w:trPr>
        <w:tc>
          <w:tcPr>
            <w:tcW w:w="735" w:type="dxa"/>
            <w:vMerge w:val="restart"/>
            <w:tcBorders>
              <w:top w:val="nil"/>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压占损毁</w:t>
            </w:r>
          </w:p>
        </w:tc>
        <w:tc>
          <w:tcPr>
            <w:tcW w:w="1276" w:type="dxa"/>
            <w:tcBorders>
              <w:top w:val="single" w:color="auto" w:sz="4" w:space="0"/>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排土场</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1206</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134"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92"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99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拟压占</w:t>
            </w:r>
          </w:p>
        </w:tc>
      </w:tr>
      <w:tr>
        <w:tblPrEx>
          <w:tblLayout w:type="fixed"/>
          <w:tblCellMar>
            <w:top w:w="0" w:type="dxa"/>
            <w:left w:w="108" w:type="dxa"/>
            <w:bottom w:w="0" w:type="dxa"/>
            <w:right w:w="108" w:type="dxa"/>
          </w:tblCellMar>
        </w:tblPrEx>
        <w:trPr>
          <w:trHeight w:val="510" w:hRule="atLeast"/>
          <w:jc w:val="center"/>
        </w:trPr>
        <w:tc>
          <w:tcPr>
            <w:tcW w:w="735" w:type="dxa"/>
            <w:vMerge w:val="continue"/>
            <w:tcBorders>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276" w:type="dxa"/>
            <w:tcBorders>
              <w:top w:val="single" w:color="auto" w:sz="4" w:space="0"/>
              <w:left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生活区</w:t>
            </w:r>
          </w:p>
        </w:tc>
        <w:tc>
          <w:tcPr>
            <w:tcW w:w="1276"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裸土地</w:t>
            </w:r>
          </w:p>
        </w:tc>
        <w:tc>
          <w:tcPr>
            <w:tcW w:w="709"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1206</w:t>
            </w:r>
          </w:p>
        </w:tc>
        <w:tc>
          <w:tcPr>
            <w:tcW w:w="709"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宋体" w:hAnsi="宋体" w:eastAsia="宋体" w:cs="宋体"/>
                <w:color w:val="auto"/>
                <w:sz w:val="21"/>
                <w:szCs w:val="21"/>
                <w:lang w:val="en-US" w:eastAsia="zh-CN" w:bidi="ar-SA"/>
              </w:rPr>
            </w:pPr>
          </w:p>
        </w:tc>
        <w:tc>
          <w:tcPr>
            <w:tcW w:w="1134"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bidi="ar-SA"/>
              </w:rPr>
            </w:pPr>
            <w:r>
              <w:rPr>
                <w:rFonts w:hint="eastAsia" w:ascii="宋体" w:hAnsi="宋体" w:cs="宋体"/>
                <w:bCs/>
                <w:color w:val="auto"/>
                <w:sz w:val="24"/>
                <w:szCs w:val="24"/>
                <w:lang w:val="en-US" w:eastAsia="zh-CN"/>
              </w:rPr>
              <w:t>****</w:t>
            </w:r>
          </w:p>
        </w:tc>
        <w:tc>
          <w:tcPr>
            <w:tcW w:w="992"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宋体" w:hAnsi="宋体" w:eastAsia="宋体" w:cs="宋体"/>
                <w:color w:val="auto"/>
                <w:sz w:val="21"/>
                <w:szCs w:val="21"/>
                <w:lang w:val="en-US" w:eastAsia="zh-CN" w:bidi="ar-SA"/>
              </w:rPr>
            </w:pPr>
          </w:p>
        </w:tc>
        <w:tc>
          <w:tcPr>
            <w:tcW w:w="993"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bidi="ar-SA"/>
              </w:rPr>
            </w:pPr>
            <w:r>
              <w:rPr>
                <w:rFonts w:hint="eastAsia" w:ascii="宋体" w:hAnsi="宋体" w:cs="宋体"/>
                <w:bCs/>
                <w:color w:val="auto"/>
                <w:sz w:val="24"/>
                <w:szCs w:val="24"/>
                <w:lang w:val="en-US" w:eastAsia="zh-CN"/>
              </w:rPr>
              <w:t>****</w:t>
            </w:r>
          </w:p>
        </w:tc>
        <w:tc>
          <w:tcPr>
            <w:tcW w:w="975" w:type="dxa"/>
            <w:tcBorders>
              <w:top w:val="nil"/>
              <w:left w:val="nil"/>
              <w:bottom w:val="single" w:color="auto" w:sz="4" w:space="0"/>
              <w:right w:val="single" w:color="auto" w:sz="4" w:space="0"/>
            </w:tcBorders>
            <w:shd w:val="clear" w:color="auto" w:fill="auto"/>
            <w:vAlign w:val="center"/>
          </w:tcPr>
          <w:p>
            <w:pPr>
              <w:spacing w:line="240" w:lineRule="exact"/>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拟压占</w:t>
            </w:r>
          </w:p>
        </w:tc>
      </w:tr>
      <w:tr>
        <w:tblPrEx>
          <w:tblLayout w:type="fixed"/>
          <w:tblCellMar>
            <w:top w:w="0" w:type="dxa"/>
            <w:left w:w="108" w:type="dxa"/>
            <w:bottom w:w="0" w:type="dxa"/>
            <w:right w:w="108" w:type="dxa"/>
          </w:tblCellMar>
        </w:tblPrEx>
        <w:trPr>
          <w:trHeight w:val="510" w:hRule="atLeast"/>
          <w:jc w:val="center"/>
        </w:trPr>
        <w:tc>
          <w:tcPr>
            <w:tcW w:w="735" w:type="dxa"/>
            <w:vMerge w:val="continue"/>
            <w:tcBorders>
              <w:top w:val="nil"/>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276" w:type="dxa"/>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矿山道路</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1206</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134"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92"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993" w:type="dxa"/>
            <w:tcBorders>
              <w:top w:val="nil"/>
              <w:left w:val="nil"/>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拟压占</w:t>
            </w:r>
          </w:p>
        </w:tc>
      </w:tr>
      <w:tr>
        <w:tblPrEx>
          <w:tblLayout w:type="fixed"/>
          <w:tblCellMar>
            <w:top w:w="0" w:type="dxa"/>
            <w:left w:w="108" w:type="dxa"/>
            <w:bottom w:w="0" w:type="dxa"/>
            <w:right w:w="108" w:type="dxa"/>
          </w:tblCellMar>
        </w:tblPrEx>
        <w:trPr>
          <w:trHeight w:val="510" w:hRule="atLeast"/>
          <w:jc w:val="center"/>
        </w:trPr>
        <w:tc>
          <w:tcPr>
            <w:tcW w:w="2011" w:type="dxa"/>
            <w:gridSpan w:val="2"/>
            <w:tcBorders>
              <w:top w:val="single" w:color="auto" w:sz="4" w:space="0"/>
              <w:left w:val="single" w:color="auto" w:sz="4" w:space="0"/>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1276"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709"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p>
        </w:tc>
        <w:tc>
          <w:tcPr>
            <w:tcW w:w="1134"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92"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93" w:type="dxa"/>
            <w:tcBorders>
              <w:top w:val="nil"/>
              <w:left w:val="nil"/>
              <w:bottom w:val="single" w:color="auto" w:sz="4" w:space="0"/>
              <w:right w:val="single" w:color="auto" w:sz="4" w:space="0"/>
            </w:tcBorders>
            <w:vAlign w:val="center"/>
          </w:tcPr>
          <w:p>
            <w:pPr>
              <w:spacing w:line="240" w:lineRule="exact"/>
              <w:jc w:val="center"/>
              <w:rPr>
                <w:rFonts w:hint="default" w:ascii="宋体" w:hAnsi="宋体" w:eastAsia="宋体" w:cs="宋体"/>
                <w:color w:val="auto"/>
                <w:sz w:val="21"/>
                <w:szCs w:val="21"/>
                <w:lang w:val="en-US" w:eastAsia="zh-CN"/>
              </w:rPr>
            </w:pPr>
            <w:r>
              <w:rPr>
                <w:rFonts w:hint="eastAsia" w:ascii="宋体" w:hAnsi="宋体" w:cs="宋体"/>
                <w:bCs/>
                <w:color w:val="auto"/>
                <w:sz w:val="24"/>
                <w:szCs w:val="24"/>
                <w:lang w:val="en-US" w:eastAsia="zh-CN"/>
              </w:rPr>
              <w:t>****</w:t>
            </w:r>
          </w:p>
        </w:tc>
        <w:tc>
          <w:tcPr>
            <w:tcW w:w="975" w:type="dxa"/>
            <w:tcBorders>
              <w:top w:val="nil"/>
              <w:left w:val="nil"/>
              <w:bottom w:val="single" w:color="auto" w:sz="4" w:space="0"/>
              <w:right w:val="single" w:color="auto" w:sz="4" w:space="0"/>
            </w:tcBorders>
            <w:vAlign w:val="center"/>
          </w:tcPr>
          <w:p>
            <w:pPr>
              <w:spacing w:line="240" w:lineRule="exact"/>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bookmarkStart w:id="158" w:name="_Toc22904"/>
      <w:bookmarkStart w:id="159" w:name="_Toc13182"/>
      <w:r>
        <w:rPr>
          <w:rFonts w:hint="eastAsia"/>
          <w:color w:val="auto"/>
          <w:sz w:val="28"/>
          <w:szCs w:val="28"/>
        </w:rPr>
        <w:t>（四）</w:t>
      </w:r>
      <w:bookmarkEnd w:id="158"/>
      <w:bookmarkEnd w:id="159"/>
      <w:r>
        <w:rPr>
          <w:rFonts w:hint="eastAsia"/>
          <w:color w:val="auto"/>
          <w:sz w:val="28"/>
          <w:szCs w:val="28"/>
        </w:rPr>
        <w:t>损毁土地汇总分析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1、现状条件下，评估区为原始地貌，崩塌、滑坡、泥石流、地面塌陷、地面沉降、地裂缝</w:t>
      </w:r>
      <w:r>
        <w:rPr>
          <w:rFonts w:hint="eastAsia" w:ascii="宋体" w:hAnsi="宋体" w:cs="宋体"/>
          <w:color w:val="auto"/>
          <w:sz w:val="24"/>
          <w:lang w:val="en-US" w:eastAsia="zh-CN"/>
        </w:rPr>
        <w:t>及不稳定斜坡</w:t>
      </w:r>
      <w:r>
        <w:rPr>
          <w:rFonts w:hint="eastAsia" w:ascii="宋体" w:hAnsi="宋体" w:eastAsia="宋体" w:cs="宋体"/>
          <w:color w:val="auto"/>
          <w:sz w:val="24"/>
        </w:rPr>
        <w:t>地质灾害不发育，危害程度小，危险性小；评估区内地质灾害对矿山地质环境影响程度较轻；</w:t>
      </w:r>
      <w:r>
        <w:rPr>
          <w:rFonts w:hint="eastAsia" w:ascii="宋体" w:hAnsi="宋体" w:eastAsia="宋体" w:cs="宋体"/>
          <w:color w:val="auto"/>
          <w:sz w:val="24"/>
          <w:szCs w:val="24"/>
        </w:rPr>
        <w:t>含水层的破坏对矿山地质环境影响程度较轻；</w:t>
      </w:r>
      <w:r>
        <w:rPr>
          <w:rFonts w:hint="eastAsia" w:ascii="宋体" w:hAnsi="宋体" w:eastAsia="宋体" w:cs="宋体"/>
          <w:color w:val="auto"/>
          <w:sz w:val="24"/>
        </w:rPr>
        <w:t>地形地貌景观的破坏</w:t>
      </w:r>
      <w:r>
        <w:rPr>
          <w:rFonts w:hint="eastAsia" w:ascii="宋体" w:hAnsi="宋体" w:eastAsia="宋体" w:cs="宋体"/>
          <w:color w:val="auto"/>
          <w:sz w:val="24"/>
          <w:szCs w:val="24"/>
        </w:rPr>
        <w:t>对矿山地质环境影响程度较轻；矿山以往采矿活动对水土污染影响较轻。</w:t>
      </w:r>
    </w:p>
    <w:bookmarkEnd w:id="156"/>
    <w:bookmarkEnd w:id="157"/>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2、矿山拟损毁土地面积</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rPr>
        <w:t>公顷，其中包露天采坑</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rPr>
        <w:t>公顷、排土场</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rPr>
        <w:t>公顷、</w:t>
      </w:r>
      <w:r>
        <w:rPr>
          <w:rFonts w:hint="eastAsia" w:ascii="宋体" w:hAnsi="宋体" w:cs="宋体"/>
          <w:color w:val="auto"/>
          <w:sz w:val="24"/>
          <w:szCs w:val="24"/>
          <w:lang w:val="en-US" w:eastAsia="zh-CN"/>
        </w:rPr>
        <w:t>生活区</w:t>
      </w:r>
      <w:r>
        <w:rPr>
          <w:rFonts w:hint="eastAsia" w:ascii="宋体" w:hAnsi="宋体" w:cs="宋体"/>
          <w:bCs/>
          <w:color w:val="auto"/>
          <w:sz w:val="24"/>
          <w:szCs w:val="24"/>
          <w:lang w:val="en-US" w:eastAsia="zh-CN"/>
        </w:rPr>
        <w:t>****</w:t>
      </w:r>
      <w:r>
        <w:rPr>
          <w:rFonts w:hint="eastAsia" w:ascii="宋体" w:hAnsi="宋体" w:cs="宋体"/>
          <w:color w:val="auto"/>
          <w:sz w:val="24"/>
          <w:szCs w:val="24"/>
          <w:lang w:val="en-US" w:eastAsia="zh-CN"/>
        </w:rPr>
        <w:t>公顷、</w:t>
      </w:r>
      <w:r>
        <w:rPr>
          <w:rFonts w:hint="eastAsia" w:ascii="宋体" w:hAnsi="宋体" w:eastAsia="宋体" w:cs="宋体"/>
          <w:color w:val="auto"/>
          <w:sz w:val="24"/>
          <w:szCs w:val="24"/>
        </w:rPr>
        <w:t>矿山道路</w:t>
      </w:r>
      <w:r>
        <w:rPr>
          <w:rFonts w:hint="eastAsia" w:ascii="宋体" w:hAnsi="宋体" w:cs="宋体"/>
          <w:bCs/>
          <w:color w:val="auto"/>
          <w:sz w:val="24"/>
          <w:szCs w:val="24"/>
          <w:lang w:val="en-US" w:eastAsia="zh-CN"/>
        </w:rPr>
        <w:t>****</w:t>
      </w:r>
      <w:r>
        <w:rPr>
          <w:rFonts w:hint="eastAsia" w:ascii="宋体" w:hAnsi="宋体" w:eastAsia="宋体" w:cs="宋体"/>
          <w:color w:val="auto"/>
          <w:sz w:val="24"/>
          <w:szCs w:val="24"/>
        </w:rPr>
        <w:t>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3、对矿山拟损毁评估区进行预测，崩塌、滑坡、泥石流、地面塌陷、地面沉降、地裂缝</w:t>
      </w:r>
      <w:r>
        <w:rPr>
          <w:rFonts w:hint="eastAsia" w:ascii="宋体" w:hAnsi="宋体" w:cs="宋体"/>
          <w:color w:val="auto"/>
          <w:sz w:val="24"/>
          <w:szCs w:val="24"/>
          <w:lang w:val="en-US" w:eastAsia="zh-CN"/>
        </w:rPr>
        <w:t>及不稳定斜坡</w:t>
      </w:r>
      <w:r>
        <w:rPr>
          <w:rFonts w:hint="eastAsia" w:ascii="宋体" w:hAnsi="宋体" w:eastAsia="宋体" w:cs="宋体"/>
          <w:color w:val="auto"/>
          <w:sz w:val="24"/>
          <w:szCs w:val="24"/>
        </w:rPr>
        <w:t>地质灾害不发育，危害程度小，危险性小；评估区内地质灾害对矿山地质环境影响程度较轻；拟损毁评估区内含水层的破坏对矿山地质环境影响程度较轻；拟损毁露天采坑对原有地形地貌景观的破坏程度严重，排土场</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生活区</w:t>
      </w:r>
      <w:r>
        <w:rPr>
          <w:rFonts w:hint="eastAsia" w:ascii="宋体" w:hAnsi="宋体" w:eastAsia="宋体" w:cs="宋体"/>
          <w:color w:val="auto"/>
          <w:sz w:val="24"/>
          <w:szCs w:val="24"/>
        </w:rPr>
        <w:t>和矿山道路对原有地形地貌景观的破坏程度较严重；拟损毁矿山采矿活动对水土污染影响较轻。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color w:val="auto"/>
          <w:sz w:val="24"/>
          <w:szCs w:val="22"/>
        </w:rPr>
      </w:pPr>
      <w:r>
        <w:rPr>
          <w:rFonts w:hint="eastAsia" w:ascii="宋体" w:hAnsi="宋体" w:eastAsia="宋体" w:cs="宋体"/>
          <w:color w:val="auto"/>
          <w:sz w:val="24"/>
          <w:szCs w:val="24"/>
        </w:rPr>
        <w:t>综上所述，</w:t>
      </w:r>
      <w:r>
        <w:rPr>
          <w:rFonts w:hint="eastAsia" w:ascii="宋体" w:hAnsi="宋体" w:eastAsia="宋体" w:cs="宋体"/>
          <w:color w:val="auto"/>
          <w:sz w:val="24"/>
        </w:rPr>
        <w:t>根据上述</w:t>
      </w:r>
      <w:r>
        <w:rPr>
          <w:rFonts w:hint="eastAsia" w:ascii="宋体" w:hAnsi="宋体" w:eastAsia="宋体" w:cs="宋体"/>
          <w:color w:val="auto"/>
          <w:sz w:val="24"/>
          <w:szCs w:val="24"/>
        </w:rPr>
        <w:t>拟损毁</w:t>
      </w:r>
      <w:r>
        <w:rPr>
          <w:rFonts w:hint="eastAsia" w:ascii="宋体" w:hAnsi="宋体" w:eastAsia="宋体" w:cs="宋体"/>
          <w:color w:val="auto"/>
          <w:sz w:val="24"/>
        </w:rPr>
        <w:t>单要素评估结果，确定评估区地质环境影响分区划分为严重区和较严重，严重区面积</w:t>
      </w:r>
      <w:r>
        <w:rPr>
          <w:rFonts w:hint="eastAsia" w:ascii="宋体" w:hAnsi="宋体" w:cs="宋体"/>
          <w:bCs/>
          <w:color w:val="auto"/>
          <w:sz w:val="24"/>
          <w:szCs w:val="24"/>
          <w:lang w:val="en-US" w:eastAsia="zh-CN"/>
        </w:rPr>
        <w:t>****</w:t>
      </w:r>
      <w:r>
        <w:rPr>
          <w:rFonts w:hint="eastAsia" w:ascii="宋体" w:hAnsi="宋体" w:eastAsia="宋体" w:cs="宋体"/>
          <w:color w:val="auto"/>
          <w:sz w:val="24"/>
        </w:rPr>
        <w:t>公顷，分布范围为最终露天采坑区域；较严重区面积</w:t>
      </w:r>
      <w:r>
        <w:rPr>
          <w:rFonts w:hint="eastAsia" w:ascii="宋体" w:hAnsi="宋体" w:cs="宋体"/>
          <w:bCs/>
          <w:color w:val="auto"/>
          <w:sz w:val="24"/>
          <w:szCs w:val="24"/>
          <w:lang w:val="en-US" w:eastAsia="zh-CN"/>
        </w:rPr>
        <w:t>****</w:t>
      </w:r>
      <w:r>
        <w:rPr>
          <w:rFonts w:hint="eastAsia" w:ascii="宋体" w:hAnsi="宋体" w:eastAsia="宋体" w:cs="宋体"/>
          <w:color w:val="auto"/>
          <w:sz w:val="24"/>
        </w:rPr>
        <w:t>公顷，分布区域为排土场</w:t>
      </w:r>
      <w:r>
        <w:rPr>
          <w:rFonts w:hint="eastAsia" w:ascii="宋体" w:hAnsi="宋体" w:cs="宋体"/>
          <w:color w:val="auto"/>
          <w:sz w:val="24"/>
          <w:lang w:eastAsia="zh-CN"/>
        </w:rPr>
        <w:t>、</w:t>
      </w:r>
      <w:r>
        <w:rPr>
          <w:rFonts w:hint="eastAsia" w:ascii="宋体" w:hAnsi="宋体" w:cs="宋体"/>
          <w:color w:val="auto"/>
          <w:sz w:val="24"/>
          <w:lang w:val="en-US" w:eastAsia="zh-CN"/>
        </w:rPr>
        <w:t>生活区</w:t>
      </w:r>
      <w:r>
        <w:rPr>
          <w:rFonts w:hint="eastAsia" w:ascii="宋体" w:hAnsi="宋体" w:eastAsia="宋体" w:cs="宋体"/>
          <w:color w:val="auto"/>
          <w:sz w:val="24"/>
        </w:rPr>
        <w:t>和矿山道路</w:t>
      </w:r>
      <w:r>
        <w:rPr>
          <w:rFonts w:hint="eastAsia" w:ascii="宋体" w:hAnsi="宋体" w:eastAsia="宋体" w:cs="宋体"/>
          <w:bCs/>
          <w:color w:val="auto"/>
          <w:spacing w:val="10"/>
          <w:sz w:val="24"/>
        </w:rPr>
        <w:t>。</w:t>
      </w:r>
      <w:r>
        <w:rPr>
          <w:rFonts w:hint="eastAsia" w:ascii="宋体" w:hAnsi="宋体" w:eastAsia="宋体" w:cs="宋体"/>
          <w:b/>
          <w:color w:val="auto"/>
          <w:sz w:val="24"/>
          <w:szCs w:val="22"/>
        </w:rPr>
        <w:t xml:space="preserve"> </w:t>
      </w:r>
    </w:p>
    <w:p>
      <w:pP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表3-2</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 xml:space="preserve">   土地损毁情况汇总表</w:t>
      </w:r>
    </w:p>
    <w:tbl>
      <w:tblPr>
        <w:tblStyle w:val="53"/>
        <w:tblW w:w="89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438"/>
        <w:gridCol w:w="1639"/>
        <w:gridCol w:w="1155"/>
        <w:gridCol w:w="2037"/>
        <w:gridCol w:w="1205"/>
        <w:gridCol w:w="806"/>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9"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w:t>
            </w:r>
          </w:p>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时序</w:t>
            </w:r>
          </w:p>
        </w:tc>
        <w:tc>
          <w:tcPr>
            <w:tcW w:w="438"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序号</w:t>
            </w:r>
          </w:p>
        </w:tc>
        <w:tc>
          <w:tcPr>
            <w:tcW w:w="1639"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损毁单元</w:t>
            </w:r>
          </w:p>
        </w:tc>
        <w:tc>
          <w:tcPr>
            <w:tcW w:w="1155"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损毁面积</w:t>
            </w:r>
          </w:p>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（hm</w:t>
            </w:r>
            <w:r>
              <w:rPr>
                <w:rFonts w:hint="eastAsia" w:ascii="宋体" w:hAnsi="宋体" w:eastAsia="宋体" w:cs="宋体"/>
                <w:b/>
                <w:bCs/>
                <w:color w:val="auto"/>
                <w:kern w:val="2"/>
                <w:sz w:val="21"/>
                <w:szCs w:val="21"/>
                <w:vertAlign w:val="superscript"/>
              </w:rPr>
              <w:t>2</w:t>
            </w:r>
            <w:r>
              <w:rPr>
                <w:rFonts w:hint="eastAsia" w:ascii="宋体" w:hAnsi="宋体" w:eastAsia="宋体" w:cs="宋体"/>
                <w:b/>
                <w:bCs/>
                <w:color w:val="auto"/>
                <w:kern w:val="2"/>
                <w:sz w:val="21"/>
                <w:szCs w:val="21"/>
              </w:rPr>
              <w:t>）</w:t>
            </w:r>
          </w:p>
        </w:tc>
        <w:tc>
          <w:tcPr>
            <w:tcW w:w="2037"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损毁时间</w:t>
            </w:r>
          </w:p>
        </w:tc>
        <w:tc>
          <w:tcPr>
            <w:tcW w:w="1205"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w:t>
            </w:r>
          </w:p>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方式</w:t>
            </w:r>
          </w:p>
        </w:tc>
        <w:tc>
          <w:tcPr>
            <w:tcW w:w="806"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占地</w:t>
            </w:r>
          </w:p>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类型</w:t>
            </w:r>
          </w:p>
        </w:tc>
        <w:tc>
          <w:tcPr>
            <w:tcW w:w="963" w:type="dxa"/>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w:t>
            </w:r>
          </w:p>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5" w:hRule="atLeast"/>
          <w:jc w:val="center"/>
        </w:trPr>
        <w:tc>
          <w:tcPr>
            <w:tcW w:w="689" w:type="dxa"/>
            <w:vMerge w:val="restart"/>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拟</w:t>
            </w:r>
          </w:p>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损</w:t>
            </w:r>
          </w:p>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毁</w:t>
            </w:r>
          </w:p>
          <w:p>
            <w:pPr>
              <w:pStyle w:val="160"/>
              <w:spacing w:line="240" w:lineRule="auto"/>
              <w:jc w:val="center"/>
              <w:rPr>
                <w:rFonts w:hint="eastAsia" w:ascii="宋体" w:hAnsi="宋体" w:eastAsia="宋体" w:cs="宋体"/>
                <w:color w:val="auto"/>
                <w:kern w:val="2"/>
                <w:sz w:val="21"/>
                <w:szCs w:val="21"/>
              </w:rPr>
            </w:pPr>
          </w:p>
        </w:tc>
        <w:tc>
          <w:tcPr>
            <w:tcW w:w="438"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w:t>
            </w:r>
          </w:p>
        </w:tc>
        <w:tc>
          <w:tcPr>
            <w:tcW w:w="1639" w:type="dxa"/>
            <w:vAlign w:val="center"/>
          </w:tcPr>
          <w:p>
            <w:pPr>
              <w:pStyle w:val="475"/>
              <w:jc w:val="center"/>
              <w:rPr>
                <w:rFonts w:hint="eastAsia" w:ascii="宋体" w:hAnsi="宋体" w:eastAsia="宋体" w:cs="宋体"/>
                <w:color w:val="auto"/>
                <w:kern w:val="2"/>
                <w:sz w:val="21"/>
                <w:szCs w:val="21"/>
              </w:rPr>
            </w:pPr>
            <w:r>
              <w:rPr>
                <w:rFonts w:hint="eastAsia" w:ascii="宋体" w:hAnsi="宋体" w:eastAsia="宋体" w:cs="宋体"/>
                <w:color w:val="auto"/>
                <w:sz w:val="21"/>
                <w:szCs w:val="21"/>
              </w:rPr>
              <w:t>规划露天采场</w:t>
            </w:r>
          </w:p>
        </w:tc>
        <w:tc>
          <w:tcPr>
            <w:tcW w:w="1155" w:type="dxa"/>
            <w:vAlign w:val="center"/>
          </w:tcPr>
          <w:p>
            <w:pPr>
              <w:jc w:val="center"/>
              <w:rPr>
                <w:rFonts w:hint="eastAsia" w:ascii="宋体" w:hAnsi="宋体" w:eastAsia="宋体" w:cs="宋体"/>
                <w:color w:val="auto"/>
                <w:kern w:val="2"/>
                <w:sz w:val="21"/>
                <w:szCs w:val="21"/>
              </w:rPr>
            </w:pPr>
            <w:r>
              <w:rPr>
                <w:rFonts w:hint="eastAsia" w:ascii="宋体" w:hAnsi="宋体" w:cs="宋体"/>
                <w:bCs/>
                <w:color w:val="auto"/>
                <w:sz w:val="24"/>
                <w:szCs w:val="24"/>
                <w:lang w:val="en-US" w:eastAsia="zh-CN"/>
              </w:rPr>
              <w:t>****</w:t>
            </w:r>
          </w:p>
        </w:tc>
        <w:tc>
          <w:tcPr>
            <w:tcW w:w="2037" w:type="dxa"/>
            <w:vAlign w:val="center"/>
          </w:tcPr>
          <w:p>
            <w:pPr>
              <w:widowControl w:val="0"/>
              <w:adjustRightInd w:val="0"/>
              <w:snapToGrid w:val="0"/>
              <w:jc w:val="center"/>
              <w:rPr>
                <w:rFonts w:hint="eastAsia" w:ascii="宋体" w:hAnsi="宋体" w:eastAsia="宋体" w:cs="宋体"/>
                <w:color w:val="auto"/>
                <w:kern w:val="2"/>
                <w:sz w:val="21"/>
                <w:szCs w:val="21"/>
                <w:highlight w:val="yellow"/>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月-20</w:t>
            </w:r>
            <w:r>
              <w:rPr>
                <w:rFonts w:hint="eastAsia" w:ascii="宋体" w:hAnsi="宋体" w:cs="宋体"/>
                <w:bCs/>
                <w:color w:val="auto"/>
                <w:sz w:val="21"/>
                <w:szCs w:val="21"/>
                <w:lang w:val="en-US" w:eastAsia="zh-CN"/>
              </w:rPr>
              <w:t>52</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6</w:t>
            </w:r>
            <w:r>
              <w:rPr>
                <w:rFonts w:hint="eastAsia" w:ascii="宋体" w:hAnsi="宋体" w:eastAsia="宋体" w:cs="宋体"/>
                <w:bCs/>
                <w:color w:val="auto"/>
                <w:sz w:val="21"/>
                <w:szCs w:val="21"/>
              </w:rPr>
              <w:t>月</w:t>
            </w:r>
          </w:p>
        </w:tc>
        <w:tc>
          <w:tcPr>
            <w:tcW w:w="1205"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挖损</w:t>
            </w:r>
          </w:p>
        </w:tc>
        <w:tc>
          <w:tcPr>
            <w:tcW w:w="806" w:type="dxa"/>
            <w:vMerge w:val="restart"/>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裸土地</w:t>
            </w:r>
          </w:p>
        </w:tc>
        <w:tc>
          <w:tcPr>
            <w:tcW w:w="96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9"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438"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2</w:t>
            </w:r>
          </w:p>
        </w:tc>
        <w:tc>
          <w:tcPr>
            <w:tcW w:w="1639" w:type="dxa"/>
            <w:vAlign w:val="center"/>
          </w:tcPr>
          <w:p>
            <w:pPr>
              <w:pStyle w:val="475"/>
              <w:jc w:val="center"/>
              <w:rPr>
                <w:rFonts w:hint="eastAsia" w:ascii="宋体" w:hAnsi="宋体" w:eastAsia="宋体" w:cs="宋体"/>
                <w:color w:val="auto"/>
                <w:kern w:val="2"/>
                <w:sz w:val="21"/>
                <w:szCs w:val="21"/>
              </w:rPr>
            </w:pPr>
            <w:r>
              <w:rPr>
                <w:rFonts w:hint="eastAsia" w:ascii="宋体" w:hAnsi="宋体" w:eastAsia="宋体" w:cs="宋体"/>
                <w:color w:val="auto"/>
                <w:sz w:val="21"/>
                <w:szCs w:val="21"/>
              </w:rPr>
              <w:t>规划排土场</w:t>
            </w:r>
          </w:p>
        </w:tc>
        <w:tc>
          <w:tcPr>
            <w:tcW w:w="1155" w:type="dxa"/>
            <w:vAlign w:val="center"/>
          </w:tcPr>
          <w:p>
            <w:pPr>
              <w:jc w:val="center"/>
              <w:rPr>
                <w:rFonts w:hint="eastAsia" w:ascii="宋体" w:hAnsi="宋体" w:eastAsia="宋体" w:cs="宋体"/>
                <w:color w:val="auto"/>
                <w:kern w:val="2"/>
                <w:sz w:val="21"/>
                <w:szCs w:val="21"/>
              </w:rPr>
            </w:pPr>
            <w:r>
              <w:rPr>
                <w:rFonts w:hint="eastAsia" w:ascii="宋体" w:hAnsi="宋体" w:cs="宋体"/>
                <w:bCs/>
                <w:color w:val="auto"/>
                <w:sz w:val="24"/>
                <w:szCs w:val="24"/>
                <w:lang w:val="en-US" w:eastAsia="zh-CN"/>
              </w:rPr>
              <w:t>****</w:t>
            </w:r>
          </w:p>
        </w:tc>
        <w:tc>
          <w:tcPr>
            <w:tcW w:w="2037" w:type="dxa"/>
            <w:vAlign w:val="center"/>
          </w:tcPr>
          <w:p>
            <w:pPr>
              <w:widowControl w:val="0"/>
              <w:adjustRightInd w:val="0"/>
              <w:snapToGrid w:val="0"/>
              <w:jc w:val="center"/>
              <w:rPr>
                <w:rFonts w:hint="eastAsia" w:ascii="宋体" w:hAnsi="宋体" w:eastAsia="宋体" w:cs="宋体"/>
                <w:color w:val="auto"/>
                <w:kern w:val="2"/>
                <w:sz w:val="21"/>
                <w:szCs w:val="21"/>
                <w:highlight w:val="yellow"/>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年11月-202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年4月</w:t>
            </w:r>
          </w:p>
        </w:tc>
        <w:tc>
          <w:tcPr>
            <w:tcW w:w="1205"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压占</w:t>
            </w:r>
          </w:p>
        </w:tc>
        <w:tc>
          <w:tcPr>
            <w:tcW w:w="806"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96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bCs/>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689"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438" w:type="dxa"/>
            <w:vAlign w:val="center"/>
          </w:tcPr>
          <w:p>
            <w:pPr>
              <w:pStyle w:val="160"/>
              <w:spacing w:line="240" w:lineRule="auto"/>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w:t>
            </w:r>
          </w:p>
        </w:tc>
        <w:tc>
          <w:tcPr>
            <w:tcW w:w="1639" w:type="dxa"/>
            <w:shd w:val="clear" w:color="auto" w:fill="auto"/>
            <w:vAlign w:val="center"/>
          </w:tcPr>
          <w:p>
            <w:pPr>
              <w:pStyle w:val="475"/>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规划</w:t>
            </w:r>
            <w:r>
              <w:rPr>
                <w:rFonts w:hint="eastAsia" w:ascii="宋体" w:hAnsi="宋体" w:eastAsia="宋体" w:cs="宋体"/>
                <w:color w:val="auto"/>
                <w:sz w:val="21"/>
                <w:szCs w:val="21"/>
                <w:lang w:val="en-US" w:eastAsia="zh-CN"/>
              </w:rPr>
              <w:t>生活区</w:t>
            </w:r>
          </w:p>
        </w:tc>
        <w:tc>
          <w:tcPr>
            <w:tcW w:w="1155" w:type="dxa"/>
            <w:shd w:val="clear" w:color="auto" w:fill="auto"/>
            <w:vAlign w:val="center"/>
          </w:tcPr>
          <w:p>
            <w:pPr>
              <w:jc w:val="center"/>
              <w:rPr>
                <w:rFonts w:hint="eastAsia" w:ascii="宋体" w:hAnsi="宋体" w:eastAsia="宋体" w:cs="宋体"/>
                <w:bCs w:val="0"/>
                <w:color w:val="auto"/>
                <w:kern w:val="2"/>
                <w:sz w:val="21"/>
                <w:szCs w:val="21"/>
                <w:lang w:val="en-US" w:eastAsia="zh-CN" w:bidi="ar-SA"/>
              </w:rPr>
            </w:pPr>
            <w:r>
              <w:rPr>
                <w:rFonts w:hint="eastAsia" w:ascii="宋体" w:hAnsi="宋体" w:cs="宋体"/>
                <w:bCs/>
                <w:color w:val="auto"/>
                <w:sz w:val="24"/>
                <w:szCs w:val="24"/>
                <w:lang w:val="en-US" w:eastAsia="zh-CN"/>
              </w:rPr>
              <w:t>****</w:t>
            </w:r>
          </w:p>
        </w:tc>
        <w:tc>
          <w:tcPr>
            <w:tcW w:w="2037" w:type="dxa"/>
            <w:shd w:val="clear" w:color="auto" w:fill="auto"/>
            <w:vAlign w:val="center"/>
          </w:tcPr>
          <w:p>
            <w:pPr>
              <w:widowControl w:val="0"/>
              <w:adjustRightInd w:val="0"/>
              <w:snapToGrid w:val="0"/>
              <w:jc w:val="center"/>
              <w:rPr>
                <w:rFonts w:hint="eastAsia" w:ascii="宋体" w:hAnsi="宋体" w:eastAsia="宋体" w:cs="宋体"/>
                <w:color w:val="auto"/>
                <w:kern w:val="2"/>
                <w:sz w:val="21"/>
                <w:szCs w:val="21"/>
                <w:highlight w:val="yellow"/>
                <w:lang w:val="en-US" w:eastAsia="zh-CN" w:bidi="ar-SA"/>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年11月-202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年4月</w:t>
            </w:r>
          </w:p>
        </w:tc>
        <w:tc>
          <w:tcPr>
            <w:tcW w:w="1205" w:type="dxa"/>
            <w:shd w:val="clear" w:color="auto" w:fill="auto"/>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bCs w:val="0"/>
                <w:color w:val="auto"/>
                <w:kern w:val="2"/>
                <w:sz w:val="21"/>
                <w:szCs w:val="21"/>
                <w:lang w:val="en-US" w:eastAsia="zh-CN" w:bidi="ar-SA"/>
              </w:rPr>
            </w:pPr>
            <w:r>
              <w:rPr>
                <w:rFonts w:hint="eastAsia" w:ascii="宋体" w:hAnsi="宋体" w:eastAsia="宋体" w:cs="宋体"/>
                <w:color w:val="auto"/>
                <w:kern w:val="2"/>
                <w:sz w:val="21"/>
                <w:szCs w:val="21"/>
              </w:rPr>
              <w:t>压占</w:t>
            </w:r>
          </w:p>
        </w:tc>
        <w:tc>
          <w:tcPr>
            <w:tcW w:w="806"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96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bCs/>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89"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438" w:type="dxa"/>
            <w:vAlign w:val="center"/>
          </w:tcPr>
          <w:p>
            <w:pPr>
              <w:pStyle w:val="160"/>
              <w:spacing w:line="240" w:lineRule="auto"/>
              <w:jc w:val="center"/>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val="en-US" w:eastAsia="zh-CN"/>
              </w:rPr>
              <w:t>4</w:t>
            </w:r>
          </w:p>
        </w:tc>
        <w:tc>
          <w:tcPr>
            <w:tcW w:w="1639" w:type="dxa"/>
            <w:vAlign w:val="center"/>
          </w:tcPr>
          <w:p>
            <w:pPr>
              <w:pStyle w:val="475"/>
              <w:jc w:val="center"/>
              <w:rPr>
                <w:rFonts w:hint="eastAsia" w:ascii="宋体" w:hAnsi="宋体" w:eastAsia="宋体" w:cs="宋体"/>
                <w:color w:val="auto"/>
                <w:kern w:val="2"/>
                <w:sz w:val="21"/>
                <w:szCs w:val="21"/>
              </w:rPr>
            </w:pPr>
            <w:r>
              <w:rPr>
                <w:rFonts w:hint="eastAsia" w:ascii="宋体" w:hAnsi="宋体" w:eastAsia="宋体" w:cs="宋体"/>
                <w:color w:val="auto"/>
                <w:sz w:val="21"/>
                <w:szCs w:val="21"/>
              </w:rPr>
              <w:t>规划矿山道路</w:t>
            </w:r>
          </w:p>
        </w:tc>
        <w:tc>
          <w:tcPr>
            <w:tcW w:w="1155" w:type="dxa"/>
            <w:vAlign w:val="center"/>
          </w:tcPr>
          <w:p>
            <w:pPr>
              <w:pStyle w:val="475"/>
              <w:jc w:val="center"/>
              <w:rPr>
                <w:rFonts w:hint="eastAsia" w:ascii="宋体" w:hAnsi="宋体" w:eastAsia="宋体" w:cs="宋体"/>
                <w:color w:val="auto"/>
                <w:kern w:val="2"/>
                <w:sz w:val="21"/>
                <w:szCs w:val="21"/>
              </w:rPr>
            </w:pPr>
            <w:r>
              <w:rPr>
                <w:rFonts w:hint="eastAsia" w:ascii="宋体" w:hAnsi="宋体" w:cs="宋体"/>
                <w:bCs/>
                <w:color w:val="auto"/>
                <w:sz w:val="24"/>
                <w:szCs w:val="24"/>
                <w:lang w:val="en-US" w:eastAsia="zh-CN"/>
              </w:rPr>
              <w:t>****</w:t>
            </w:r>
          </w:p>
        </w:tc>
        <w:tc>
          <w:tcPr>
            <w:tcW w:w="2037" w:type="dxa"/>
            <w:vAlign w:val="center"/>
          </w:tcPr>
          <w:p>
            <w:pPr>
              <w:widowControl w:val="0"/>
              <w:adjustRightInd w:val="0"/>
              <w:snapToGrid w:val="0"/>
              <w:jc w:val="center"/>
              <w:rPr>
                <w:rFonts w:hint="eastAsia" w:ascii="宋体" w:hAnsi="宋体" w:eastAsia="宋体" w:cs="宋体"/>
                <w:color w:val="auto"/>
                <w:kern w:val="2"/>
                <w:sz w:val="21"/>
                <w:szCs w:val="21"/>
                <w:highlight w:val="yellow"/>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4</w:t>
            </w:r>
            <w:r>
              <w:rPr>
                <w:rFonts w:hint="eastAsia" w:ascii="宋体" w:hAnsi="宋体" w:eastAsia="宋体" w:cs="宋体"/>
                <w:bCs/>
                <w:color w:val="auto"/>
                <w:sz w:val="21"/>
                <w:szCs w:val="21"/>
              </w:rPr>
              <w:t>年11月-202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年4月</w:t>
            </w:r>
          </w:p>
        </w:tc>
        <w:tc>
          <w:tcPr>
            <w:tcW w:w="1205"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压占</w:t>
            </w:r>
          </w:p>
        </w:tc>
        <w:tc>
          <w:tcPr>
            <w:tcW w:w="806"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96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bCs/>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689" w:type="dxa"/>
            <w:vAlign w:val="center"/>
          </w:tcPr>
          <w:p>
            <w:pPr>
              <w:pStyle w:val="160"/>
              <w:spacing w:line="240" w:lineRule="auto"/>
              <w:jc w:val="center"/>
              <w:rPr>
                <w:rFonts w:hint="eastAsia" w:ascii="宋体" w:hAnsi="宋体" w:eastAsia="宋体" w:cs="宋体"/>
                <w:color w:val="auto"/>
                <w:kern w:val="2"/>
                <w:sz w:val="21"/>
                <w:szCs w:val="21"/>
              </w:rPr>
            </w:pPr>
          </w:p>
        </w:tc>
        <w:tc>
          <w:tcPr>
            <w:tcW w:w="2077" w:type="dxa"/>
            <w:gridSpan w:val="2"/>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合计</w:t>
            </w:r>
          </w:p>
        </w:tc>
        <w:tc>
          <w:tcPr>
            <w:tcW w:w="6166" w:type="dxa"/>
            <w:gridSpan w:val="5"/>
            <w:vAlign w:val="center"/>
          </w:tcPr>
          <w:p>
            <w:pPr>
              <w:pStyle w:val="160"/>
              <w:spacing w:line="240" w:lineRule="auto"/>
              <w:jc w:val="center"/>
              <w:rPr>
                <w:rFonts w:hint="eastAsia" w:ascii="宋体" w:hAnsi="宋体" w:eastAsia="宋体" w:cs="宋体"/>
                <w:b/>
                <w:bCs/>
                <w:color w:val="auto"/>
                <w:kern w:val="2"/>
                <w:sz w:val="21"/>
                <w:szCs w:val="21"/>
              </w:rPr>
            </w:pPr>
            <w:r>
              <w:rPr>
                <w:rFonts w:hint="eastAsia" w:ascii="宋体" w:hAnsi="宋体" w:cs="宋体"/>
                <w:bCs/>
                <w:color w:val="auto"/>
                <w:sz w:val="24"/>
                <w:szCs w:val="24"/>
                <w:lang w:val="en-US" w:eastAsia="zh-CN"/>
              </w:rPr>
              <w:t>****</w:t>
            </w:r>
            <w:r>
              <w:rPr>
                <w:rFonts w:hint="eastAsia" w:ascii="宋体" w:hAnsi="宋体" w:eastAsia="宋体" w:cs="宋体"/>
                <w:b/>
                <w:bCs/>
                <w:color w:val="auto"/>
                <w:kern w:val="2"/>
                <w:sz w:val="21"/>
                <w:szCs w:val="21"/>
              </w:rPr>
              <w:t>hm</w:t>
            </w:r>
            <w:r>
              <w:rPr>
                <w:rFonts w:hint="eastAsia" w:ascii="宋体" w:hAnsi="宋体" w:eastAsia="宋体" w:cs="宋体"/>
                <w:b/>
                <w:bCs/>
                <w:color w:val="auto"/>
                <w:kern w:val="2"/>
                <w:sz w:val="21"/>
                <w:szCs w:val="21"/>
                <w:vertAlign w:val="superscript"/>
              </w:rPr>
              <w:t>2</w:t>
            </w:r>
          </w:p>
        </w:tc>
      </w:tr>
    </w:tbl>
    <w:p>
      <w:pPr>
        <w:ind w:firstLine="480"/>
        <w:rPr>
          <w:rFonts w:hint="eastAsia" w:ascii="宋体" w:hAnsi="宋体" w:eastAsia="宋体" w:cs="宋体"/>
          <w:color w:val="auto"/>
        </w:rPr>
      </w:pPr>
    </w:p>
    <w:p>
      <w:pPr>
        <w:autoSpaceDE w:val="0"/>
        <w:autoSpaceDN w:val="0"/>
        <w:adjustRightInd w:val="0"/>
        <w:snapToGrid w:val="0"/>
        <w:spacing w:line="360" w:lineRule="auto"/>
        <w:ind w:firstLine="480" w:firstLineChars="200"/>
        <w:jc w:val="both"/>
        <w:rPr>
          <w:rFonts w:hint="eastAsia" w:ascii="宋体" w:hAnsi="宋体" w:eastAsia="宋体" w:cs="宋体"/>
          <w:color w:val="auto"/>
          <w:sz w:val="24"/>
          <w:szCs w:val="24"/>
        </w:rPr>
      </w:pPr>
    </w:p>
    <w:p>
      <w:pPr>
        <w:pStyle w:val="63"/>
        <w:rPr>
          <w:rFonts w:hint="eastAsia" w:ascii="宋体" w:hAnsi="宋体" w:eastAsia="宋体" w:cs="宋体"/>
          <w:color w:val="auto"/>
        </w:rPr>
      </w:pPr>
    </w:p>
    <w:p>
      <w:pPr>
        <w:pStyle w:val="63"/>
        <w:rPr>
          <w:rFonts w:hint="eastAsia" w:ascii="宋体" w:hAnsi="宋体" w:eastAsia="宋体" w:cs="宋体"/>
          <w:color w:val="auto"/>
        </w:rPr>
        <w:sectPr>
          <w:footerReference r:id="rId5" w:type="default"/>
          <w:pgSz w:w="11910" w:h="16840"/>
          <w:pgMar w:top="1440" w:right="1400" w:bottom="1440" w:left="1559" w:header="0" w:footer="1117" w:gutter="0"/>
          <w:pgBorders>
            <w:top w:val="none" w:sz="0" w:space="0"/>
            <w:left w:val="none" w:sz="0" w:space="0"/>
            <w:bottom w:val="none" w:sz="0" w:space="0"/>
            <w:right w:val="none" w:sz="0" w:space="0"/>
          </w:pgBorders>
          <w:cols w:space="0" w:num="1"/>
        </w:sectPr>
      </w:pPr>
    </w:p>
    <w:p>
      <w:pPr>
        <w:pStyle w:val="2"/>
        <w:spacing w:before="360" w:beforeLines="150" w:after="240" w:afterLines="100" w:afterAutospacing="0" w:line="360" w:lineRule="auto"/>
        <w:jc w:val="center"/>
        <w:rPr>
          <w:rFonts w:hint="eastAsia" w:ascii="宋体" w:hAnsi="宋体" w:eastAsia="宋体" w:cs="宋体"/>
          <w:b/>
          <w:bCs w:val="0"/>
          <w:color w:val="auto"/>
        </w:rPr>
      </w:pPr>
      <w:bookmarkStart w:id="160" w:name="_Toc19076"/>
      <w:bookmarkStart w:id="161" w:name="_Toc1391"/>
      <w:bookmarkStart w:id="162" w:name="_Toc6281"/>
      <w:bookmarkStart w:id="163" w:name="_Toc16185"/>
      <w:bookmarkStart w:id="164" w:name="_Toc29715"/>
      <w:r>
        <w:rPr>
          <w:rFonts w:hint="eastAsia" w:ascii="宋体" w:hAnsi="宋体" w:eastAsia="宋体" w:cs="宋体"/>
          <w:b/>
          <w:bCs w:val="0"/>
          <w:color w:val="auto"/>
        </w:rPr>
        <w:t>第四章  矿山地质环境治理</w:t>
      </w:r>
      <w:bookmarkEnd w:id="160"/>
      <w:bookmarkEnd w:id="161"/>
      <w:bookmarkEnd w:id="162"/>
      <w:bookmarkEnd w:id="163"/>
      <w:bookmarkEnd w:id="16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根据《地质灾害防治条例》、《矿山地质环境防治规定》等文件的相关要求，结合本矿山地质环境影响现状评估和预测评估结果、方案适用年限等，开展矿山地质环境治理工作，原则如下：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遵循“以人为本”的原则，确保人民生命财产安全，提高居住环境质量；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坚持“预防为主、防治结合”、“在保护中开发、在开发中保护”的原则，将源头控制和恢复治理的思想贯彻到矿山地质环境治理每个环节中；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坚持“因地制宜，讲求实效”的原则，矿山地质环境治理工程要与矿山的建设、生产相结合，根据矿山地质环境影响评估的结果，制定科学合理的工程技术措施；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坚持“谁开发谁保护，谁破坏谁治理，谁投资谁受益”、“技术可行，经济合理”的原则，矿山地质环境治理工程应按照国家制定的技术规范进行，方案要切实可行，同时注重环境治理的经济效益，保持生态环境的协调统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5</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坚持“总体部署，分期治理”的原则，根据矿山地质环境治理工程设计，提出矿山地质环境治理总体目标任务，做出矿山服务年限内的总体工作部署和实施计划，分年度分步部署落实。</w:t>
      </w:r>
    </w:p>
    <w:p>
      <w:pPr>
        <w:spacing w:line="360" w:lineRule="auto"/>
        <w:ind w:firstLine="602" w:firstLineChars="200"/>
        <w:outlineLvl w:val="1"/>
        <w:rPr>
          <w:rFonts w:hint="eastAsia" w:ascii="宋体" w:hAnsi="宋体" w:eastAsia="宋体" w:cs="宋体"/>
          <w:b/>
          <w:color w:val="auto"/>
          <w:sz w:val="30"/>
          <w:szCs w:val="30"/>
        </w:rPr>
      </w:pPr>
      <w:bookmarkStart w:id="165" w:name="_Toc532760453"/>
      <w:bookmarkStart w:id="166" w:name="_Toc9581"/>
      <w:bookmarkStart w:id="167" w:name="_Toc23674"/>
      <w:bookmarkStart w:id="168" w:name="_Toc2280"/>
      <w:bookmarkStart w:id="169" w:name="_Toc11221"/>
      <w:bookmarkStart w:id="170" w:name="_Toc31868"/>
      <w:bookmarkStart w:id="171" w:name="_Toc6367"/>
      <w:r>
        <w:rPr>
          <w:rFonts w:hint="eastAsia" w:ascii="宋体" w:hAnsi="宋体" w:eastAsia="宋体" w:cs="宋体"/>
          <w:b/>
          <w:color w:val="auto"/>
          <w:sz w:val="30"/>
          <w:szCs w:val="30"/>
        </w:rPr>
        <w:t>一、矿山地质环境</w:t>
      </w:r>
      <w:bookmarkEnd w:id="165"/>
      <w:bookmarkEnd w:id="166"/>
      <w:bookmarkEnd w:id="167"/>
      <w:bookmarkEnd w:id="168"/>
      <w:bookmarkEnd w:id="169"/>
      <w:bookmarkEnd w:id="170"/>
      <w:r>
        <w:rPr>
          <w:rFonts w:hint="eastAsia" w:ascii="宋体" w:hAnsi="宋体" w:eastAsia="宋体" w:cs="宋体"/>
          <w:b/>
          <w:color w:val="auto"/>
          <w:sz w:val="30"/>
          <w:szCs w:val="30"/>
        </w:rPr>
        <w:t>保护与治理恢复分区</w:t>
      </w:r>
      <w:bookmarkEnd w:id="17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1、分区原则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原国土资源部《矿山地质环境保护与恢复治理方案编制规范》（DZ/T223-2011）等规范文件，矿山地质环境保护与恢复治理分区应根据矿山地质环境现状、矿山地质环境影响，在充分考虑矿山地质环境问题对人居环境、工农业生产、区域经济发展影响前提下，依据现状评估和预测评估结论，对本矿山地质环境保护与治理恢复进行分区，划分为重点防治区、次重点防治区、一般防治区。同一区域内，现状评估与预测评估的矿山地质环境影响程度级别不一致的，按照重级别优先的原则确定。各防治区可根据区内矿山地质环境问题类型的差异，进一步细分为亚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2、分区方法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在对地质灾害、含水层、地形地貌景观、土地资源影响和破坏现状评估与预测评估的基础上，根据可能造成的损失大小和防治难易程度，对矿山地质环境保护与治理恢复进行分区。选取地质灾害、含水层、地形地貌景观、土地资源现状与预测评估结果作为分区指标，利用叠加法进行分区，分区标准按《矿山地质环境保护与治理恢复方案编制规范》附录 F：“矿山地质环境保护与治理恢复分区表”之规定进行（见表 4-1）。</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表4-1  </w:t>
      </w:r>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rPr>
        <w:t>矿山地质环境保护与治理恢复分区表</w:t>
      </w:r>
    </w:p>
    <w:tbl>
      <w:tblPr>
        <w:tblStyle w:val="53"/>
        <w:tblW w:w="78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6"/>
        <w:gridCol w:w="2055"/>
        <w:gridCol w:w="2295"/>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76"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现状评估</w:t>
            </w:r>
          </w:p>
        </w:tc>
        <w:tc>
          <w:tcPr>
            <w:tcW w:w="6408" w:type="dxa"/>
            <w:gridSpan w:val="3"/>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预测评估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76" w:type="dxa"/>
            <w:vMerge w:val="continue"/>
            <w:vAlign w:val="center"/>
          </w:tcPr>
          <w:p>
            <w:pPr>
              <w:ind w:firstLine="200"/>
              <w:jc w:val="center"/>
              <w:rPr>
                <w:rFonts w:hint="eastAsia" w:ascii="宋体" w:hAnsi="宋体" w:eastAsia="宋体" w:cs="宋体"/>
                <w:color w:val="auto"/>
                <w:sz w:val="21"/>
                <w:szCs w:val="21"/>
              </w:rPr>
            </w:pPr>
          </w:p>
        </w:tc>
        <w:tc>
          <w:tcPr>
            <w:tcW w:w="205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229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20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7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205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重点区</w:t>
            </w:r>
          </w:p>
        </w:tc>
        <w:tc>
          <w:tcPr>
            <w:tcW w:w="229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重点区</w:t>
            </w:r>
          </w:p>
        </w:tc>
        <w:tc>
          <w:tcPr>
            <w:tcW w:w="20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重点区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7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205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重点区</w:t>
            </w:r>
          </w:p>
        </w:tc>
        <w:tc>
          <w:tcPr>
            <w:tcW w:w="229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次重点区</w:t>
            </w:r>
          </w:p>
        </w:tc>
        <w:tc>
          <w:tcPr>
            <w:tcW w:w="20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次重点区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147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205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重点区</w:t>
            </w:r>
          </w:p>
        </w:tc>
        <w:tc>
          <w:tcPr>
            <w:tcW w:w="229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次重点区</w:t>
            </w:r>
          </w:p>
        </w:tc>
        <w:tc>
          <w:tcPr>
            <w:tcW w:w="20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一般区</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3、分区评述</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综合考虑，依据矿山地质环境保护与治理恢复分区原则，在确定单因素分区的基础上，按就大不就小、就高不就低综合确定矿山地质环境保护与治理恢复分区，结合矿山地质环境问题的具体情况和矿山地质环境问题的发展变化趋势，考虑矿山地质环境问题的危害性、矿山地质环境的可恢复性、矿山地质环境治理恢复的可行性及可操作性，将矿山地质环境保护与治理恢复全区划分为重点防治区、次重点防治区和一般防治区。现分述如下：</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cs="宋体"/>
          <w:bCs/>
          <w:color w:val="auto"/>
          <w:lang w:val="en-US" w:eastAsia="zh-CN"/>
        </w:rPr>
        <w:t>a</w:t>
      </w:r>
      <w:r>
        <w:rPr>
          <w:rFonts w:hint="eastAsia" w:ascii="宋体" w:hAnsi="宋体" w:eastAsia="宋体" w:cs="宋体"/>
          <w:bCs/>
          <w:color w:val="auto"/>
        </w:rPr>
        <w:t>、重点防治区（I）</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重点防治区划露天采矿场，重点防治区面</w:t>
      </w:r>
      <w:r>
        <w:rPr>
          <w:rFonts w:hint="eastAsia" w:ascii="宋体" w:hAnsi="宋体" w:eastAsia="宋体" w:cs="宋体"/>
          <w:color w:val="auto"/>
          <w:kern w:val="0"/>
          <w:szCs w:val="20"/>
        </w:rPr>
        <w:t>积</w:t>
      </w:r>
      <w:r>
        <w:rPr>
          <w:rFonts w:hint="eastAsia" w:ascii="宋体" w:hAnsi="宋体" w:cs="宋体"/>
          <w:bCs/>
          <w:color w:val="auto"/>
          <w:sz w:val="24"/>
          <w:szCs w:val="24"/>
          <w:lang w:val="en-US" w:eastAsia="zh-CN"/>
        </w:rPr>
        <w:t>****</w:t>
      </w:r>
      <w:r>
        <w:rPr>
          <w:rFonts w:hint="eastAsia" w:ascii="宋体" w:hAnsi="宋体" w:eastAsia="宋体" w:cs="宋体"/>
          <w:color w:val="auto"/>
          <w:kern w:val="0"/>
          <w:szCs w:val="20"/>
        </w:rPr>
        <w:t>公</w:t>
      </w:r>
      <w:r>
        <w:rPr>
          <w:rFonts w:hint="eastAsia" w:ascii="宋体" w:hAnsi="宋体" w:eastAsia="宋体" w:cs="宋体"/>
          <w:bCs/>
          <w:color w:val="auto"/>
        </w:rPr>
        <w:t xml:space="preserve">顷。占用土地类型为裸土地。现状地质灾害弱发育，对含水层、水土环境、大气环境破坏较轻，对地形地貌景观破坏严重，现状评估矿山地质环境影响程度较轻。预测露天开采引发和遭受地质灾害危害程度小，危险性小，对含水层、水土环境、大气污染破坏程度较轻；对地形地貌景观破坏严重，预测评估露天采场对矿山地质环境影响程度为严重。依据矿山地质环境保护与恢复治理分区表，将规划露天采场用地范围划分为矿山地质环境保护与恢复治理“重点防治区”。 </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该区域主要防治措施为：</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1）开采过程中产生的废石直接内排回填，开采过程中严格控制采场境界、边坡角，闭坑后利用废石场所有废石回填露天采场，对存在危岩体或不稳定斜坡进行定点清除，避免采坑边坡出现地质灾害；并对场地进行平整；</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 xml:space="preserve">（2）对露天采场边坡变形情况进行监测； </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（3）对铁丝围栏、警示牌进行监测；</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（4）对水土环境污染进行监测；</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（5）矿山闭坑后，利用废料回填采坑处理。将场地压实平整，与周边地形地貌相协调。</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cs="宋体"/>
          <w:bCs/>
          <w:color w:val="auto"/>
          <w:lang w:val="en-US" w:eastAsia="zh-CN"/>
        </w:rPr>
        <w:t>b</w:t>
      </w:r>
      <w:r>
        <w:rPr>
          <w:rFonts w:hint="eastAsia" w:ascii="宋体" w:hAnsi="宋体" w:eastAsia="宋体" w:cs="宋体"/>
          <w:bCs/>
          <w:color w:val="auto"/>
        </w:rPr>
        <w:t>、次重点防治区（II）</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次重点防治区共划分</w:t>
      </w:r>
      <w:r>
        <w:rPr>
          <w:rFonts w:hint="eastAsia" w:ascii="宋体" w:hAnsi="宋体" w:cs="宋体"/>
          <w:bCs/>
          <w:color w:val="auto"/>
          <w:lang w:val="en-US" w:eastAsia="zh-CN"/>
        </w:rPr>
        <w:t>3</w:t>
      </w:r>
      <w:r>
        <w:rPr>
          <w:rFonts w:hint="eastAsia" w:ascii="宋体" w:hAnsi="宋体" w:eastAsia="宋体" w:cs="宋体"/>
          <w:bCs/>
          <w:color w:val="auto"/>
        </w:rPr>
        <w:t>个防治亚区，为排土场</w:t>
      </w:r>
      <w:r>
        <w:rPr>
          <w:rFonts w:hint="eastAsia" w:ascii="宋体" w:hAnsi="宋体" w:cs="宋体"/>
          <w:bCs/>
          <w:color w:val="auto"/>
          <w:lang w:eastAsia="zh-CN"/>
        </w:rPr>
        <w:t>、</w:t>
      </w:r>
      <w:r>
        <w:rPr>
          <w:rFonts w:hint="eastAsia" w:ascii="宋体" w:hAnsi="宋体" w:cs="宋体"/>
          <w:bCs/>
          <w:color w:val="auto"/>
          <w:lang w:val="en-US" w:eastAsia="zh-CN"/>
        </w:rPr>
        <w:t>生活区</w:t>
      </w:r>
      <w:r>
        <w:rPr>
          <w:rFonts w:hint="eastAsia" w:ascii="宋体" w:hAnsi="宋体" w:eastAsia="宋体" w:cs="宋体"/>
          <w:bCs/>
          <w:color w:val="auto"/>
        </w:rPr>
        <w:t>及矿山道路，次重点防治区面积</w:t>
      </w:r>
      <w:r>
        <w:rPr>
          <w:rFonts w:hint="eastAsia" w:ascii="宋体" w:hAnsi="宋体" w:cs="宋体"/>
          <w:bCs/>
          <w:color w:val="auto"/>
          <w:sz w:val="24"/>
          <w:szCs w:val="24"/>
          <w:lang w:val="en-US" w:eastAsia="zh-CN"/>
        </w:rPr>
        <w:t>****</w:t>
      </w:r>
      <w:r>
        <w:rPr>
          <w:rFonts w:hint="eastAsia" w:ascii="宋体" w:hAnsi="宋体" w:eastAsia="宋体" w:cs="宋体"/>
          <w:bCs/>
          <w:color w:val="auto"/>
        </w:rPr>
        <w:t>公顷。</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（1）排土场（II</w:t>
      </w:r>
      <w:r>
        <w:rPr>
          <w:rFonts w:hint="eastAsia" w:ascii="宋体" w:hAnsi="宋体" w:eastAsia="宋体" w:cs="宋体"/>
          <w:bCs/>
          <w:color w:val="auto"/>
          <w:vertAlign w:val="subscript"/>
        </w:rPr>
        <w:t>1</w:t>
      </w:r>
      <w:r>
        <w:rPr>
          <w:rFonts w:hint="eastAsia" w:ascii="宋体" w:hAnsi="宋体" w:eastAsia="宋体" w:cs="宋体"/>
          <w:bCs/>
          <w:color w:val="auto"/>
        </w:rPr>
        <w:t>）</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排土场位于矿区外</w:t>
      </w:r>
      <w:r>
        <w:rPr>
          <w:rFonts w:hint="eastAsia" w:ascii="宋体" w:hAnsi="宋体" w:cs="宋体"/>
          <w:bCs/>
          <w:color w:val="auto"/>
          <w:lang w:val="en-US" w:eastAsia="zh-CN"/>
        </w:rPr>
        <w:t>东</w:t>
      </w:r>
      <w:r>
        <w:rPr>
          <w:rFonts w:hint="eastAsia" w:ascii="宋体" w:hAnsi="宋体" w:eastAsia="宋体" w:cs="宋体"/>
          <w:bCs/>
          <w:color w:val="auto"/>
        </w:rPr>
        <w:t>部相对平坦开阔场地，地形坡度5-8°，占地面积约</w:t>
      </w:r>
      <w:r>
        <w:rPr>
          <w:rFonts w:hint="eastAsia" w:ascii="宋体" w:hAnsi="宋体" w:cs="宋体"/>
          <w:bCs/>
          <w:color w:val="auto"/>
          <w:sz w:val="24"/>
          <w:szCs w:val="24"/>
          <w:lang w:val="en-US" w:eastAsia="zh-CN"/>
        </w:rPr>
        <w:t>****</w:t>
      </w:r>
      <w:r>
        <w:rPr>
          <w:rFonts w:hint="eastAsia" w:ascii="宋体" w:hAnsi="宋体" w:eastAsia="宋体" w:cs="宋体"/>
          <w:bCs/>
          <w:color w:val="auto"/>
        </w:rPr>
        <w:t>公顷，单层压实堆放，平均堆高约3米左右，堆积坡度约45°，堆积量约</w:t>
      </w:r>
      <w:r>
        <w:rPr>
          <w:rFonts w:hint="eastAsia" w:ascii="宋体" w:hAnsi="宋体" w:cs="宋体"/>
          <w:bCs/>
          <w:color w:val="auto"/>
          <w:sz w:val="24"/>
          <w:szCs w:val="24"/>
          <w:lang w:val="en-US" w:eastAsia="zh-CN"/>
        </w:rPr>
        <w:t>****</w:t>
      </w:r>
      <w:r>
        <w:rPr>
          <w:rFonts w:hint="eastAsia" w:ascii="宋体" w:hAnsi="宋体" w:eastAsia="宋体" w:cs="宋体"/>
          <w:bCs/>
          <w:color w:val="auto"/>
        </w:rPr>
        <w:t>立方米，占用土地类型为裸土地。预测遭受地质灾害破坏程度较轻；对含水层破坏程度较轻；对地形地貌景观破坏程度较严重；对水土环境及大气环境影响程度较轻；预测评估排土场对矿山地质环境影响程度为较严重。依据矿山地质环境保护与恢复治理分区表， 将排土场范围划分为矿山地质环境保护与恢复治理“次重点防治区”。 该区域主要防治措施为：</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1)合理堆放固体物质，严格控制废石场范围，选用合适的综合利用技术，加大综合利用量，减少对地形地貌景观的破坏；</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 xml:space="preserve">2)矿山闭坑后废石场内废石回填露天采场，并进行平整； </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3)对水土环境污染进行监测；</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4)对相关区域进行场地平整，基本恢复地形地貌相协调。</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 xml:space="preserve"> （2）</w:t>
      </w:r>
      <w:r>
        <w:rPr>
          <w:rFonts w:hint="eastAsia" w:ascii="宋体" w:hAnsi="宋体" w:eastAsia="宋体" w:cs="宋体"/>
          <w:bCs/>
          <w:color w:val="auto"/>
          <w:lang w:val="en-US" w:eastAsia="zh-CN"/>
        </w:rPr>
        <w:t>生活区</w:t>
      </w:r>
      <w:r>
        <w:rPr>
          <w:rFonts w:hint="eastAsia" w:ascii="宋体" w:hAnsi="宋体" w:eastAsia="宋体" w:cs="宋体"/>
          <w:bCs/>
          <w:color w:val="auto"/>
        </w:rPr>
        <w:t>（II</w:t>
      </w:r>
      <w:r>
        <w:rPr>
          <w:rFonts w:hint="eastAsia" w:ascii="宋体" w:hAnsi="宋体" w:eastAsia="宋体" w:cs="宋体"/>
          <w:bCs/>
          <w:color w:val="auto"/>
          <w:vertAlign w:val="subscript"/>
        </w:rPr>
        <w:t>2</w:t>
      </w:r>
      <w:r>
        <w:rPr>
          <w:rFonts w:hint="eastAsia" w:ascii="宋体" w:hAnsi="宋体" w:eastAsia="宋体" w:cs="宋体"/>
          <w:bCs/>
          <w:color w:val="auto"/>
        </w:rPr>
        <w:t>）</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由办公区、生活区、职工食堂和职工宿舍等组成，总占地面积</w:t>
      </w:r>
      <w:r>
        <w:rPr>
          <w:rFonts w:hint="eastAsia" w:ascii="宋体" w:hAnsi="宋体" w:cs="宋体"/>
          <w:bCs/>
          <w:color w:val="auto"/>
          <w:sz w:val="24"/>
          <w:szCs w:val="24"/>
          <w:lang w:val="en-US" w:eastAsia="zh-CN"/>
        </w:rPr>
        <w:t>****</w:t>
      </w:r>
      <w:r>
        <w:rPr>
          <w:rFonts w:hint="eastAsia" w:ascii="宋体" w:hAnsi="宋体" w:eastAsia="宋体" w:cs="宋体"/>
          <w:bCs/>
          <w:color w:val="auto"/>
          <w:lang w:val="en-US" w:eastAsia="zh-CN"/>
        </w:rPr>
        <w:t>公顷</w:t>
      </w:r>
      <w:r>
        <w:rPr>
          <w:rFonts w:hint="eastAsia" w:ascii="宋体" w:hAnsi="宋体" w:eastAsia="宋体" w:cs="宋体"/>
          <w:bCs/>
          <w:color w:val="auto"/>
        </w:rPr>
        <w:t>，建筑面积</w:t>
      </w:r>
      <w:r>
        <w:rPr>
          <w:rFonts w:hint="eastAsia" w:ascii="宋体" w:hAnsi="宋体" w:cs="宋体"/>
          <w:bCs/>
          <w:color w:val="auto"/>
          <w:sz w:val="24"/>
          <w:szCs w:val="24"/>
          <w:lang w:val="en-US" w:eastAsia="zh-CN"/>
        </w:rPr>
        <w:t>****</w:t>
      </w:r>
      <w:r>
        <w:rPr>
          <w:rFonts w:hint="eastAsia" w:ascii="宋体" w:hAnsi="宋体" w:eastAsia="宋体" w:cs="宋体"/>
          <w:bCs/>
          <w:color w:val="auto"/>
          <w:lang w:val="en-US" w:eastAsia="zh-CN"/>
        </w:rPr>
        <w:t>公顷</w:t>
      </w:r>
      <w:r>
        <w:rPr>
          <w:rFonts w:hint="eastAsia" w:ascii="宋体" w:hAnsi="宋体" w:eastAsia="宋体" w:cs="宋体"/>
          <w:bCs/>
          <w:color w:val="auto"/>
        </w:rPr>
        <w:t>；区内布置有办公室、职工宿舍、食堂、厕所、以及污水处理池等建筑物，办公生活区均为</w:t>
      </w:r>
      <w:r>
        <w:rPr>
          <w:rFonts w:hint="eastAsia" w:ascii="宋体" w:hAnsi="宋体" w:eastAsia="宋体" w:cs="宋体"/>
          <w:bCs/>
          <w:color w:val="auto"/>
          <w:lang w:val="en-US" w:eastAsia="zh-CN"/>
        </w:rPr>
        <w:t>砖混</w:t>
      </w:r>
      <w:r>
        <w:rPr>
          <w:rFonts w:hint="eastAsia" w:ascii="宋体" w:hAnsi="宋体" w:eastAsia="宋体" w:cs="宋体"/>
          <w:bCs/>
          <w:color w:val="auto"/>
        </w:rPr>
        <w:t>结构</w:t>
      </w:r>
      <w:r>
        <w:rPr>
          <w:rFonts w:hint="eastAsia" w:ascii="宋体" w:hAnsi="宋体" w:eastAsia="宋体" w:cs="宋体"/>
          <w:bCs/>
          <w:color w:val="auto"/>
          <w:lang w:eastAsia="zh-CN"/>
        </w:rPr>
        <w:t>，</w:t>
      </w:r>
      <w:r>
        <w:rPr>
          <w:rFonts w:hint="eastAsia" w:ascii="宋体" w:hAnsi="宋体" w:eastAsia="宋体" w:cs="宋体"/>
          <w:bCs/>
          <w:color w:val="auto"/>
          <w:lang w:val="en-US" w:eastAsia="zh-CN"/>
        </w:rPr>
        <w:t>单层结构，层高2.8m</w:t>
      </w:r>
      <w:r>
        <w:rPr>
          <w:rFonts w:hint="eastAsia" w:ascii="宋体" w:hAnsi="宋体" w:eastAsia="宋体" w:cs="宋体"/>
          <w:bCs/>
          <w:color w:val="auto"/>
        </w:rPr>
        <w:t>。</w:t>
      </w:r>
      <w:r>
        <w:rPr>
          <w:rFonts w:hint="eastAsia" w:ascii="宋体" w:hAnsi="宋体" w:eastAsia="宋体" w:cs="宋体"/>
          <w:bCs/>
          <w:color w:val="auto"/>
          <w:lang w:val="en-US" w:eastAsia="zh-CN"/>
        </w:rPr>
        <w:t>生活区</w:t>
      </w:r>
      <w:r>
        <w:rPr>
          <w:rFonts w:hint="eastAsia" w:ascii="宋体" w:hAnsi="宋体" w:eastAsia="宋体" w:cs="宋体"/>
          <w:bCs/>
          <w:color w:val="auto"/>
        </w:rPr>
        <w:t>破坏土地利用类型为裸土地。现状评估对矿山地质环境影响程度为较轻；预测评估对矿山地质环境影响程度均为较严重。依据矿山地质环境保护与恢复治理分区表（表4-1），将规划办公生活区范围划分为矿山地质环境保护与恢复治理次重点防治区。该区主要的地质环境问题为对地形地貌景观损毁程度较严重，矿山闭坑后对规划办公生活区场地设施进行拆除，废弃物委托环卫单位清运至</w:t>
      </w:r>
      <w:r>
        <w:rPr>
          <w:rFonts w:hint="eastAsia" w:ascii="宋体" w:hAnsi="宋体" w:eastAsia="宋体" w:cs="宋体"/>
          <w:bCs/>
          <w:color w:val="auto"/>
          <w:lang w:val="en-US" w:eastAsia="zh-CN"/>
        </w:rPr>
        <w:t>西克尔</w:t>
      </w:r>
      <w:r>
        <w:rPr>
          <w:rFonts w:hint="eastAsia" w:ascii="宋体" w:hAnsi="宋体" w:eastAsia="宋体" w:cs="宋体"/>
          <w:bCs/>
          <w:color w:val="auto"/>
        </w:rPr>
        <w:t>镇建筑垃圾填埋场填埋，并进行平整，与周边地貌相协调。</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w:t>
      </w:r>
      <w:r>
        <w:rPr>
          <w:rFonts w:hint="eastAsia" w:ascii="宋体" w:hAnsi="宋体" w:cs="宋体"/>
          <w:bCs/>
          <w:color w:val="auto"/>
          <w:lang w:val="en-US" w:eastAsia="zh-CN"/>
        </w:rPr>
        <w:t>3</w:t>
      </w:r>
      <w:r>
        <w:rPr>
          <w:rFonts w:hint="eastAsia" w:ascii="宋体" w:hAnsi="宋体" w:eastAsia="宋体" w:cs="宋体"/>
          <w:bCs/>
          <w:color w:val="auto"/>
        </w:rPr>
        <w:t>）矿山道路（II</w:t>
      </w:r>
      <w:r>
        <w:rPr>
          <w:rFonts w:hint="eastAsia" w:ascii="宋体" w:hAnsi="宋体" w:cs="宋体"/>
          <w:bCs/>
          <w:color w:val="auto"/>
          <w:vertAlign w:val="subscript"/>
          <w:lang w:val="en-US" w:eastAsia="zh-CN"/>
        </w:rPr>
        <w:t>3</w:t>
      </w:r>
      <w:r>
        <w:rPr>
          <w:rFonts w:hint="eastAsia" w:ascii="宋体" w:hAnsi="宋体" w:eastAsia="宋体" w:cs="宋体"/>
          <w:bCs/>
          <w:color w:val="auto"/>
        </w:rPr>
        <w:t>）</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矿山道路为连接露天采场与矿山运输的简易道路，路宽</w:t>
      </w:r>
      <w:r>
        <w:rPr>
          <w:rFonts w:hint="eastAsia" w:ascii="宋体" w:hAnsi="宋体" w:cs="宋体"/>
          <w:bCs/>
          <w:color w:val="auto"/>
          <w:lang w:val="en-US" w:eastAsia="zh-CN"/>
        </w:rPr>
        <w:t>6</w:t>
      </w:r>
      <w:r>
        <w:rPr>
          <w:rFonts w:hint="eastAsia" w:ascii="宋体" w:hAnsi="宋体" w:eastAsia="宋体" w:cs="宋体"/>
          <w:bCs/>
          <w:color w:val="auto"/>
        </w:rPr>
        <w:t>米，平均纵坡8％。占地面积</w:t>
      </w:r>
      <w:r>
        <w:rPr>
          <w:rFonts w:hint="eastAsia" w:ascii="宋体" w:hAnsi="宋体" w:cs="宋体"/>
          <w:bCs/>
          <w:color w:val="auto"/>
          <w:sz w:val="24"/>
          <w:szCs w:val="24"/>
          <w:lang w:val="en-US" w:eastAsia="zh-CN"/>
        </w:rPr>
        <w:t>****</w:t>
      </w:r>
      <w:r>
        <w:rPr>
          <w:rFonts w:hint="eastAsia" w:ascii="宋体" w:hAnsi="宋体" w:eastAsia="宋体" w:cs="宋体"/>
          <w:bCs/>
          <w:color w:val="auto"/>
        </w:rPr>
        <w:t>公顷。预测遭受地质灾害破坏程度较轻；对含水层破坏程度较轻；对地形地貌景观破坏程度较严重；对水土环境及大气环境影响程度较轻。依据矿山地质环境保护与恢复治理分区表，将矿山道路范围划分为矿山地质环境保护与恢复治理“次重点防治区”。 该区域主要防治措施为：</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 xml:space="preserve">1)优化设计、一步到位，尽量利用现有道路，走向应尽量和当地的自然景观相协调； </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2)矿山闭坑后对规划矿山道路进行平整；</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3) 对水土环境污染进行监测；</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cs="宋体"/>
          <w:bCs/>
          <w:color w:val="auto"/>
          <w:lang w:val="en-US" w:eastAsia="zh-CN"/>
        </w:rPr>
        <w:t>c</w:t>
      </w:r>
      <w:r>
        <w:rPr>
          <w:rFonts w:hint="eastAsia" w:ascii="宋体" w:hAnsi="宋体" w:eastAsia="宋体" w:cs="宋体"/>
          <w:bCs/>
          <w:color w:val="auto"/>
        </w:rPr>
        <w:t>、一般防治区（III）</w:t>
      </w:r>
    </w:p>
    <w:p>
      <w:pPr>
        <w:pStyle w:val="21"/>
        <w:keepNext w:val="0"/>
        <w:keepLines w:val="0"/>
        <w:pageBreakBefore w:val="0"/>
        <w:widowControl w:val="0"/>
        <w:kinsoku/>
        <w:wordWrap/>
        <w:overflowPunct/>
        <w:topLinePunct w:val="0"/>
        <w:autoSpaceDE/>
        <w:autoSpaceDN/>
        <w:bidi w:val="0"/>
        <w:adjustRightInd/>
        <w:snapToGrid/>
        <w:spacing w:after="0"/>
        <w:ind w:firstLine="480"/>
        <w:textAlignment w:val="auto"/>
        <w:rPr>
          <w:rFonts w:hint="eastAsia" w:ascii="宋体" w:hAnsi="宋体" w:eastAsia="宋体" w:cs="宋体"/>
          <w:bCs/>
          <w:color w:val="auto"/>
        </w:rPr>
      </w:pPr>
      <w:r>
        <w:rPr>
          <w:rFonts w:hint="eastAsia" w:ascii="宋体" w:hAnsi="宋体" w:eastAsia="宋体" w:cs="宋体"/>
          <w:bCs/>
          <w:color w:val="auto"/>
        </w:rPr>
        <w:t>一般防治区为除重点区和次重点防治区外其他区域，面积</w:t>
      </w:r>
      <w:r>
        <w:rPr>
          <w:rFonts w:hint="eastAsia" w:ascii="宋体" w:hAnsi="宋体" w:cs="宋体"/>
          <w:bCs/>
          <w:color w:val="auto"/>
          <w:sz w:val="24"/>
          <w:szCs w:val="24"/>
          <w:lang w:val="en-US" w:eastAsia="zh-CN"/>
        </w:rPr>
        <w:t>****</w:t>
      </w:r>
      <w:r>
        <w:rPr>
          <w:rFonts w:hint="eastAsia" w:ascii="宋体" w:hAnsi="宋体" w:eastAsia="宋体" w:cs="宋体"/>
          <w:bCs/>
          <w:color w:val="auto"/>
        </w:rPr>
        <w:t>公顷。其他区域受采矿活动影响小，无含水层和地形地貌景观破坏，无水土环境及大气环境污染；现状评估该区对矿山地质环境影响程度为较轻；预测评估该区对矿山地质环境影响程度为较轻。依据矿山地质环境保护与恢复治理分区表，将该区划分为矿山地质环境保护与恢复治理“一般防治区”。</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表4-2  </w:t>
      </w:r>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rPr>
        <w:t>各设施（场地）地质环境保护与治理恢复分区一览表</w:t>
      </w:r>
    </w:p>
    <w:tbl>
      <w:tblPr>
        <w:tblStyle w:val="53"/>
        <w:tblW w:w="933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951"/>
        <w:gridCol w:w="901"/>
        <w:gridCol w:w="650"/>
        <w:gridCol w:w="658"/>
        <w:gridCol w:w="5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6" w:hRule="atLeast"/>
          <w:jc w:val="center"/>
        </w:trPr>
        <w:tc>
          <w:tcPr>
            <w:tcW w:w="970" w:type="dxa"/>
            <w:shd w:val="clear" w:color="auto" w:fill="auto"/>
            <w:vAlign w:val="center"/>
          </w:tcPr>
          <w:p>
            <w:pPr>
              <w:adjustRightInd w:val="0"/>
              <w:snapToGrid w:val="0"/>
              <w:jc w:val="center"/>
              <w:rPr>
                <w:rFonts w:hint="eastAsia" w:ascii="宋体" w:hAnsi="宋体" w:eastAsia="宋体" w:cs="宋体"/>
                <w:color w:val="auto"/>
                <w:sz w:val="21"/>
                <w:szCs w:val="21"/>
              </w:rPr>
            </w:pPr>
            <w:bookmarkStart w:id="172" w:name="_Toc7434"/>
            <w:bookmarkStart w:id="173" w:name="_Toc532760454"/>
            <w:bookmarkStart w:id="174" w:name="_Toc25392"/>
            <w:r>
              <w:rPr>
                <w:rFonts w:hint="eastAsia" w:ascii="宋体" w:hAnsi="宋体" w:eastAsia="宋体" w:cs="宋体"/>
                <w:color w:val="auto"/>
                <w:sz w:val="21"/>
                <w:szCs w:val="21"/>
              </w:rPr>
              <w:t>分区</w:t>
            </w:r>
          </w:p>
        </w:tc>
        <w:tc>
          <w:tcPr>
            <w:tcW w:w="95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面积</w:t>
            </w:r>
          </w:p>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(公顷）</w:t>
            </w:r>
          </w:p>
        </w:tc>
        <w:tc>
          <w:tcPr>
            <w:tcW w:w="90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位置</w:t>
            </w:r>
          </w:p>
        </w:tc>
        <w:tc>
          <w:tcPr>
            <w:tcW w:w="65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现状评估</w:t>
            </w:r>
          </w:p>
        </w:tc>
        <w:tc>
          <w:tcPr>
            <w:tcW w:w="658"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预测评估</w:t>
            </w:r>
          </w:p>
        </w:tc>
        <w:tc>
          <w:tcPr>
            <w:tcW w:w="5209"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治理恢复措施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重点防治区</w:t>
            </w:r>
          </w:p>
        </w:tc>
        <w:tc>
          <w:tcPr>
            <w:tcW w:w="95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0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规划露天采矿场</w:t>
            </w:r>
          </w:p>
        </w:tc>
        <w:tc>
          <w:tcPr>
            <w:tcW w:w="65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658"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严重</w:t>
            </w:r>
          </w:p>
        </w:tc>
        <w:tc>
          <w:tcPr>
            <w:tcW w:w="5209"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开采过程中产生的废石直接内排回填，开采过程中严格控制采场境界、边坡角，闭坑后利用废石场所有废石回填露天采场，对存在危岩体或不稳定斜坡进行定点清除，避免采坑边坡出现地质灾害；并对场地进行平整；2.对露天采场边坡变形情况进行监测； 3.对铁丝围栏、警示牌进行监测；4.对水土环境污染进行监测；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Merge w:val="restart"/>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次重点防治区</w:t>
            </w:r>
          </w:p>
        </w:tc>
        <w:tc>
          <w:tcPr>
            <w:tcW w:w="95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0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排土场</w:t>
            </w:r>
          </w:p>
        </w:tc>
        <w:tc>
          <w:tcPr>
            <w:tcW w:w="65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658"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5209"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1.合理堆放固体物质，严格控制废石场范围，选用合适的综合利用技术，加大综合利用量，减少对地形地貌景观的破坏；2.矿山闭坑后废石场内废石回填露天采场，并进行平整； 3. 对水土环境污染进行监测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Merge w:val="continue"/>
            <w:shd w:val="clear" w:color="auto" w:fill="auto"/>
            <w:vAlign w:val="center"/>
          </w:tcPr>
          <w:p>
            <w:pPr>
              <w:adjustRightInd w:val="0"/>
              <w:snapToGrid w:val="0"/>
              <w:jc w:val="center"/>
              <w:rPr>
                <w:rFonts w:hint="eastAsia" w:ascii="宋体" w:hAnsi="宋体" w:eastAsia="宋体" w:cs="宋体"/>
                <w:color w:val="auto"/>
                <w:sz w:val="21"/>
                <w:szCs w:val="21"/>
              </w:rPr>
            </w:pPr>
          </w:p>
        </w:tc>
        <w:tc>
          <w:tcPr>
            <w:tcW w:w="95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01" w:type="dxa"/>
            <w:shd w:val="clear" w:color="auto" w:fill="auto"/>
            <w:vAlign w:val="center"/>
          </w:tcPr>
          <w:p>
            <w:pPr>
              <w:adjustRightInd w:val="0"/>
              <w:snapToGrid w:val="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生活区</w:t>
            </w:r>
          </w:p>
        </w:tc>
        <w:tc>
          <w:tcPr>
            <w:tcW w:w="650" w:type="dxa"/>
            <w:shd w:val="clear" w:color="auto" w:fill="auto"/>
            <w:vAlign w:val="center"/>
          </w:tcPr>
          <w:p>
            <w:pPr>
              <w:adjustRightInd w:val="0"/>
              <w:snapToGrid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较轻</w:t>
            </w:r>
          </w:p>
        </w:tc>
        <w:tc>
          <w:tcPr>
            <w:tcW w:w="658" w:type="dxa"/>
            <w:shd w:val="clear" w:color="auto" w:fill="auto"/>
            <w:vAlign w:val="center"/>
          </w:tcPr>
          <w:p>
            <w:pPr>
              <w:adjustRightInd w:val="0"/>
              <w:snapToGrid w:val="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较严重</w:t>
            </w:r>
          </w:p>
        </w:tc>
        <w:tc>
          <w:tcPr>
            <w:tcW w:w="5209"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场地设施进行拆除，</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废弃物</w:t>
            </w:r>
            <w:r>
              <w:rPr>
                <w:rFonts w:hint="eastAsia" w:ascii="宋体" w:hAnsi="宋体" w:eastAsia="宋体" w:cs="宋体"/>
                <w:color w:val="auto"/>
                <w:sz w:val="21"/>
                <w:szCs w:val="21"/>
                <w:lang w:val="en-US" w:eastAsia="zh-CN"/>
              </w:rPr>
              <w:t>拉运</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3.土地</w:t>
            </w:r>
            <w:r>
              <w:rPr>
                <w:rFonts w:hint="eastAsia" w:ascii="宋体" w:hAnsi="宋体" w:eastAsia="宋体" w:cs="宋体"/>
                <w:color w:val="auto"/>
                <w:sz w:val="21"/>
                <w:szCs w:val="21"/>
              </w:rPr>
              <w:t>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vMerge w:val="continue"/>
            <w:shd w:val="clear" w:color="auto" w:fill="auto"/>
            <w:vAlign w:val="center"/>
          </w:tcPr>
          <w:p>
            <w:pPr>
              <w:adjustRightInd w:val="0"/>
              <w:snapToGrid w:val="0"/>
              <w:jc w:val="center"/>
              <w:rPr>
                <w:rFonts w:hint="eastAsia" w:ascii="宋体" w:hAnsi="宋体" w:eastAsia="宋体" w:cs="宋体"/>
                <w:color w:val="auto"/>
                <w:sz w:val="21"/>
                <w:szCs w:val="21"/>
              </w:rPr>
            </w:pPr>
          </w:p>
        </w:tc>
        <w:tc>
          <w:tcPr>
            <w:tcW w:w="95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0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矿山道路</w:t>
            </w:r>
          </w:p>
        </w:tc>
        <w:tc>
          <w:tcPr>
            <w:tcW w:w="65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658"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较严重</w:t>
            </w:r>
          </w:p>
        </w:tc>
        <w:tc>
          <w:tcPr>
            <w:tcW w:w="5209"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1.优化设计、一步到位，尽量利用现有道路，走向应尽量和当地的自然景观相协调；2.矿山闭坑后对规划矿山道路进行平整；3.对水土环境污染进行监测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一般防治区</w:t>
            </w:r>
          </w:p>
        </w:tc>
        <w:tc>
          <w:tcPr>
            <w:tcW w:w="95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0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除上述区域外其他区域</w:t>
            </w:r>
          </w:p>
        </w:tc>
        <w:tc>
          <w:tcPr>
            <w:tcW w:w="65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658"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较轻</w:t>
            </w:r>
          </w:p>
        </w:tc>
        <w:tc>
          <w:tcPr>
            <w:tcW w:w="5209" w:type="dxa"/>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保持原有地质环境状态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7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95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901"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0"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658" w:type="dxa"/>
            <w:shd w:val="clear" w:color="auto" w:fill="auto"/>
            <w:vAlign w:val="center"/>
          </w:tcPr>
          <w:p>
            <w:pPr>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5209" w:type="dxa"/>
            <w:vAlign w:val="center"/>
          </w:tcPr>
          <w:p>
            <w:pPr>
              <w:adjustRightInd w:val="0"/>
              <w:snapToGrid w:val="0"/>
              <w:jc w:val="center"/>
              <w:rPr>
                <w:rFonts w:hint="eastAsia" w:ascii="宋体" w:hAnsi="宋体" w:eastAsia="宋体" w:cs="宋体"/>
                <w:color w:val="auto"/>
                <w:sz w:val="21"/>
                <w:szCs w:val="21"/>
              </w:rPr>
            </w:pPr>
          </w:p>
        </w:tc>
      </w:tr>
    </w:tbl>
    <w:p>
      <w:pPr>
        <w:spacing w:line="360" w:lineRule="auto"/>
        <w:ind w:firstLine="452" w:firstLineChars="150"/>
        <w:outlineLvl w:val="1"/>
        <w:rPr>
          <w:rFonts w:hint="eastAsia" w:ascii="宋体" w:hAnsi="宋体" w:eastAsia="宋体" w:cs="宋体"/>
          <w:b/>
          <w:color w:val="auto"/>
          <w:sz w:val="30"/>
          <w:szCs w:val="30"/>
        </w:rPr>
      </w:pPr>
      <w:bookmarkStart w:id="175" w:name="_Toc27499"/>
      <w:r>
        <w:rPr>
          <w:rFonts w:hint="eastAsia" w:ascii="宋体" w:hAnsi="宋体" w:eastAsia="宋体" w:cs="宋体"/>
          <w:b/>
          <w:color w:val="auto"/>
          <w:sz w:val="30"/>
          <w:szCs w:val="30"/>
        </w:rPr>
        <w:t>二、矿区</w:t>
      </w:r>
      <w:bookmarkEnd w:id="172"/>
      <w:bookmarkEnd w:id="173"/>
      <w:bookmarkEnd w:id="174"/>
      <w:r>
        <w:rPr>
          <w:rFonts w:hint="eastAsia" w:ascii="宋体" w:hAnsi="宋体" w:eastAsia="宋体" w:cs="宋体"/>
          <w:b/>
          <w:color w:val="auto"/>
          <w:sz w:val="30"/>
          <w:szCs w:val="30"/>
        </w:rPr>
        <w:t>地质环境治理工程</w:t>
      </w:r>
      <w:bookmarkEnd w:id="175"/>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（一）矿山地质灾害防治及监测</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eastAsia="宋体" w:cs="宋体"/>
          <w:color w:val="auto"/>
          <w:sz w:val="24"/>
          <w:szCs w:val="22"/>
        </w:rPr>
        <w:t>目标任务</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（1）目标</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为从源头上保护生态环境，防止矿山地质环境恶化，减少和控制矿山地质环境问题，防止矿山地质灾害对地面设施及人员造成伤害，需根据矿区内的自然地理条件、地质环境条件、地质灾害现状及矿山地质灾害危险性现状评估、预测评估结果，针对矿山可能遭受、引发、加剧的地质灾害，提出必要的防治技术措施，达到减轻其危害的目的。</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（2）任务</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矿山在开采过程中，局部地段易引发小型滑坡灾害，对采矿人员及设备安全造成危害，因此在开采过程中必须严格控制边坡坡度，以消除滑坡地质灾害隐患，安排专门人员每月一次进行人工巡查。</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2、工程设计及主要技术措施</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现状条件下无崩塌、滑坡、泥石流、地面沉降、地面塌陷、地裂缝、不稳定斜坡等地质灾害的发生，但矿山后期露天开采，为防止露天开采过程中因内外因素引发崩塌危害采矿人员、设备以及过往行人安全，地质灾害防治措施主要针对崩塌地质灾害采取相应的防治控制措施，主要措施如下：</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1）严格按照设计边坡角进行开挖，以防在露天开采过程中因内外因素引发崩塌地质灾害的发生，危害采矿人员及设备安全。</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2）为了减轻崩塌和滑坡对采矿活动的影响，设计在露天采矿场最终境界外围5米设置铁丝围栏和警示牌，并监测采场边坡稳定情况，做到提前预防，及时撤离。</w:t>
      </w:r>
    </w:p>
    <w:p>
      <w:pPr>
        <w:pStyle w:val="63"/>
        <w:keepNext w:val="0"/>
        <w:keepLines w:val="0"/>
        <w:pageBreakBefore w:val="0"/>
        <w:widowControl w:val="0"/>
        <w:kinsoku/>
        <w:wordWrap/>
        <w:overflowPunct/>
        <w:bidi w:val="0"/>
        <w:adjustRightInd/>
        <w:snapToGrid/>
        <w:textAlignment w:val="auto"/>
        <w:rPr>
          <w:rFonts w:hint="eastAsia" w:ascii="宋体" w:hAnsi="宋体" w:eastAsia="宋体" w:cs="宋体"/>
          <w:color w:val="auto"/>
        </w:rPr>
      </w:pPr>
      <w:r>
        <w:rPr>
          <w:rFonts w:hint="eastAsia" w:ascii="宋体" w:hAnsi="宋体" w:eastAsia="宋体" w:cs="宋体"/>
          <w:color w:val="auto"/>
        </w:rPr>
        <w:t>围挡采用在水泥桩上（间距10米左右，高度1.5米）绕3箍铁丝（8号铁丝）进行设置（详见图4-1钢丝网防护栏布设示意），根据矿山开拓运输系统，应在对应位置留设采场出入口；同时在铁丝围栏处安置警示牌间隔（间距20米左右），一来可以提醒矿山工作人员注意生产安全；二来提醒外来人员提高警惕，以免发生意外。警示牌为铁质，牌面规格：长0.6米×宽0.5米、厚0.03米，支撑杆长1.2米，牌面用汉语及维吾尔族语言写有“露天采坑区，危险”、“危险，禁止通行”等警示语，详见警示牌示意图。</w:t>
      </w:r>
    </w:p>
    <w:p>
      <w:pPr>
        <w:widowControl w:val="0"/>
        <w:tabs>
          <w:tab w:val="left" w:pos="740"/>
        </w:tabs>
        <w:adjustRightInd w:val="0"/>
        <w:snapToGrid w:val="0"/>
        <w:spacing w:line="360" w:lineRule="auto"/>
        <w:ind w:firstLine="480" w:firstLineChars="200"/>
        <w:jc w:val="both"/>
        <w:rPr>
          <w:rFonts w:hint="eastAsia" w:ascii="宋体" w:hAnsi="宋体" w:eastAsia="宋体" w:cs="宋体"/>
          <w:color w:val="auto"/>
        </w:rPr>
      </w:pPr>
      <w:r>
        <w:rPr>
          <w:rFonts w:hint="eastAsia" w:ascii="宋体" w:hAnsi="宋体" w:eastAsia="宋体" w:cs="宋体"/>
          <w:color w:val="auto"/>
          <w:sz w:val="24"/>
          <w:szCs w:val="24"/>
        </w:rPr>
        <w:drawing>
          <wp:inline distT="0" distB="0" distL="0" distR="0">
            <wp:extent cx="5257800" cy="1600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extLst>
                        <a:ext uri="{28A0092B-C50C-407E-A947-70E740481C1C}">
                          <a14:useLocalDpi xmlns:a14="http://schemas.microsoft.com/office/drawing/2010/main" val="0"/>
                        </a:ext>
                      </a:extLst>
                    </a:blip>
                    <a:srcRect l="42358" t="43381" r="11954" b="34465"/>
                    <a:stretch>
                      <a:fillRect/>
                    </a:stretch>
                  </pic:blipFill>
                  <pic:spPr>
                    <a:xfrm>
                      <a:off x="0" y="0"/>
                      <a:ext cx="5257800" cy="1600200"/>
                    </a:xfrm>
                    <a:prstGeom prst="rect">
                      <a:avLst/>
                    </a:prstGeom>
                    <a:noFill/>
                    <a:ln>
                      <a:noFill/>
                    </a:ln>
                    <a:effectLst/>
                  </pic:spPr>
                </pic:pic>
              </a:graphicData>
            </a:graphic>
          </wp:inline>
        </w:drawing>
      </w:r>
    </w:p>
    <w:p>
      <w:pPr>
        <w:widowControl w:val="0"/>
        <w:tabs>
          <w:tab w:val="left" w:pos="740"/>
        </w:tabs>
        <w:adjustRightInd w:val="0"/>
        <w:snapToGrid w:val="0"/>
        <w:spacing w:line="360" w:lineRule="auto"/>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 xml:space="preserve">图4-1 </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钢丝网防护栏示意图</w:t>
      </w:r>
    </w:p>
    <w:p>
      <w:pPr>
        <w:spacing w:line="390" w:lineRule="auto"/>
        <w:ind w:right="100"/>
        <w:jc w:val="center"/>
        <w:rPr>
          <w:rFonts w:hint="eastAsia" w:ascii="宋体" w:hAnsi="宋体" w:eastAsia="宋体" w:cs="宋体"/>
          <w:color w:val="auto"/>
          <w:sz w:val="24"/>
          <w:szCs w:val="22"/>
        </w:rPr>
      </w:pPr>
      <w:r>
        <w:rPr>
          <w:rFonts w:hint="eastAsia" w:ascii="宋体" w:hAnsi="宋体" w:eastAsia="宋体" w:cs="宋体"/>
          <w:color w:val="auto"/>
        </w:rPr>
        <w:drawing>
          <wp:inline distT="0" distB="0" distL="0" distR="0">
            <wp:extent cx="4203065" cy="2259330"/>
            <wp:effectExtent l="0" t="0" r="6985"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1">
                      <a:extLst>
                        <a:ext uri="{28A0092B-C50C-407E-A947-70E740481C1C}">
                          <a14:useLocalDpi xmlns:a14="http://schemas.microsoft.com/office/drawing/2010/main" val="0"/>
                        </a:ext>
                      </a:extLst>
                    </a:blip>
                    <a:srcRect l="47340" t="36267" r="17056" b="33046"/>
                    <a:stretch>
                      <a:fillRect/>
                    </a:stretch>
                  </pic:blipFill>
                  <pic:spPr>
                    <a:xfrm>
                      <a:off x="0" y="0"/>
                      <a:ext cx="4203065" cy="2259330"/>
                    </a:xfrm>
                    <a:prstGeom prst="rect">
                      <a:avLst/>
                    </a:prstGeom>
                    <a:noFill/>
                    <a:ln>
                      <a:noFill/>
                    </a:ln>
                    <a:effectLst/>
                  </pic:spPr>
                </pic:pic>
              </a:graphicData>
            </a:graphic>
          </wp:inline>
        </w:drawing>
      </w:r>
    </w:p>
    <w:p>
      <w:pPr>
        <w:widowControl w:val="0"/>
        <w:tabs>
          <w:tab w:val="left" w:pos="740"/>
        </w:tabs>
        <w:adjustRightInd w:val="0"/>
        <w:snapToGrid w:val="0"/>
        <w:spacing w:line="360" w:lineRule="auto"/>
        <w:ind w:firstLine="422" w:firstLineChars="20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图4-2</w:t>
      </w:r>
      <w:r>
        <w:rPr>
          <w:rFonts w:hint="eastAsia" w:ascii="宋体" w:hAnsi="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警示牌大样图</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露天采矿场应规范开采，边坡角不超过设计坡角，保持边坡的稳定状态。矿山开采若出现地质灾害问题应选择有资质的工程单位进行地质灾害专项勘察、设计，在勘察和设计的基础上进行施工，对地质灾害进行合理的防治措施。本次提供的地质灾害防治工程方案仅为建议方案，本方案不作为地质环境治理设计施工方案。</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）开采过程中尽量减少机械碾压对露天采坑边坡的影响，对边坡出现松动的块石或出现崩塌的岩块，应及时采取排除行动；随时监测边坡稳定性，降雨融雪季节应加强监测频率。</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）排土场的堆放要严格执行设计，特别是边坡角不能随意增大；时时监测，特别是降雨期。</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3、地质灾害治理措施</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（1）目标任务</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地质灾害监测是从降低和避免地质灾害风险为出发点，根据矿山开采诱发地质灾害的可能性及危害性等特点，运用多种手段和办法，对地质灾害成因、数量、强度、范围和后果进行监测，为合理开发矿产资源、保护矿山地质环境、开展矿山环境综合整治、矿山生态环境恢复与重建、实施矿山地质环境监督管理提供基础资料和依据。</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（2）工程设计及主要技术措施</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露天开采可能引发崩塌灾害，危害程度小，危险性小，其他地质灾害不发育。因本矿按照开发利用方案设计进行开采，一般不会引起崩塌灾害，崩塌地质灾害的监测与铁丝围栏和警示牌的巡查监测同步进行，通过监测，随时掌握地质灾害的发展程度及受影响程度，出现异常情况时，以便保护遭到威胁的人员、车辆等，及时组织受威胁人员的安全转移，确保人民生命财产的安全。</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崩塌及铁丝围栏警示牌监测：</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1）监测内容及位置</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主要包括露天采场边坡稳定性情况监测、铁丝网围栏及警示牌损毁情况监测。根据矿山开采区域及边坡范围，对露天采场边坡进行巡查，不设置固定监测点。</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2）监测方法</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区活动的人群比较单一，便于协调和管理，因此采用群测群防监测，实施以巡查为主要减灾防灾措施的群众性监测与防灾体系，采用定期巡查监测，拍摄影像资料，记录调查的方式对可能的隐患点稳定性以及铁丝围栏警示牌损毁情况进行记录和巡查。</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3）监测频率：采场边坡设3个监测点，监测频率为1次/月，近5年内监测次数为</w:t>
      </w:r>
      <w:r>
        <w:rPr>
          <w:rFonts w:hint="eastAsia" w:ascii="宋体" w:hAnsi="宋体" w:cs="宋体"/>
          <w:color w:val="auto"/>
          <w:sz w:val="24"/>
          <w:szCs w:val="24"/>
          <w:lang w:val="en-US" w:eastAsia="zh-CN"/>
        </w:rPr>
        <w:t>180</w:t>
      </w:r>
      <w:r>
        <w:rPr>
          <w:rFonts w:hint="eastAsia" w:ascii="宋体" w:hAnsi="宋体" w:eastAsia="宋体" w:cs="宋体"/>
          <w:color w:val="auto"/>
          <w:sz w:val="24"/>
          <w:szCs w:val="24"/>
        </w:rPr>
        <w:t>次，方案10年期监测次数为</w:t>
      </w:r>
      <w:r>
        <w:rPr>
          <w:rFonts w:hint="eastAsia" w:ascii="宋体" w:hAnsi="宋体" w:cs="宋体"/>
          <w:color w:val="auto"/>
          <w:sz w:val="24"/>
          <w:szCs w:val="24"/>
          <w:lang w:val="en-US" w:eastAsia="zh-CN"/>
        </w:rPr>
        <w:t>360</w:t>
      </w:r>
      <w:r>
        <w:rPr>
          <w:rFonts w:hint="eastAsia" w:ascii="宋体" w:hAnsi="宋体" w:eastAsia="宋体" w:cs="宋体"/>
          <w:color w:val="auto"/>
          <w:sz w:val="24"/>
          <w:szCs w:val="24"/>
        </w:rPr>
        <w:t>次，</w:t>
      </w:r>
      <w:r>
        <w:rPr>
          <w:rFonts w:hint="eastAsia" w:ascii="宋体" w:hAnsi="宋体" w:eastAsia="宋体" w:cs="宋体"/>
          <w:color w:val="auto"/>
          <w:sz w:val="24"/>
          <w:szCs w:val="24"/>
          <w:lang w:val="en-US" w:eastAsia="zh-CN"/>
        </w:rPr>
        <w:t>矿山</w:t>
      </w:r>
      <w:r>
        <w:rPr>
          <w:rFonts w:hint="eastAsia" w:ascii="宋体" w:hAnsi="宋体" w:eastAsia="宋体" w:cs="宋体"/>
          <w:color w:val="auto"/>
          <w:sz w:val="24"/>
          <w:szCs w:val="24"/>
        </w:rPr>
        <w:t>服务期内共监测次数为</w:t>
      </w:r>
      <w:r>
        <w:rPr>
          <w:rFonts w:hint="eastAsia" w:ascii="宋体" w:hAnsi="宋体" w:cs="宋体"/>
          <w:color w:val="auto"/>
          <w:sz w:val="24"/>
          <w:szCs w:val="24"/>
          <w:lang w:val="en-US" w:eastAsia="zh-CN"/>
        </w:rPr>
        <w:t>980</w:t>
      </w:r>
      <w:r>
        <w:rPr>
          <w:rFonts w:hint="eastAsia" w:ascii="宋体" w:hAnsi="宋体" w:eastAsia="宋体" w:cs="宋体"/>
          <w:color w:val="auto"/>
          <w:sz w:val="24"/>
          <w:szCs w:val="24"/>
        </w:rPr>
        <w:t>点次。</w:t>
      </w:r>
    </w:p>
    <w:p>
      <w:pPr>
        <w:tabs>
          <w:tab w:val="left" w:pos="4063"/>
        </w:tabs>
        <w:spacing w:before="2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表4-3  崩塌监测点坐标一览表</w:t>
      </w:r>
    </w:p>
    <w:tbl>
      <w:tblPr>
        <w:tblStyle w:val="53"/>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2007"/>
        <w:gridCol w:w="2069"/>
        <w:gridCol w:w="2160"/>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03" w:type="dxa"/>
            <w:vMerge w:val="restart"/>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点号</w:t>
            </w:r>
          </w:p>
        </w:tc>
        <w:tc>
          <w:tcPr>
            <w:tcW w:w="2007" w:type="dxa"/>
            <w:vMerge w:val="restart"/>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监测点位</w:t>
            </w:r>
          </w:p>
        </w:tc>
        <w:tc>
          <w:tcPr>
            <w:tcW w:w="4229" w:type="dxa"/>
            <w:gridSpan w:val="2"/>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坐标</w:t>
            </w:r>
          </w:p>
        </w:tc>
        <w:tc>
          <w:tcPr>
            <w:tcW w:w="1545"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03" w:type="dxa"/>
            <w:vMerge w:val="continue"/>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c>
          <w:tcPr>
            <w:tcW w:w="2007" w:type="dxa"/>
            <w:vMerge w:val="continue"/>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c>
          <w:tcPr>
            <w:tcW w:w="2069"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X</w:t>
            </w:r>
          </w:p>
        </w:tc>
        <w:tc>
          <w:tcPr>
            <w:tcW w:w="2160"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Y</w:t>
            </w:r>
          </w:p>
        </w:tc>
        <w:tc>
          <w:tcPr>
            <w:tcW w:w="1545"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03"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J1</w:t>
            </w:r>
          </w:p>
        </w:tc>
        <w:tc>
          <w:tcPr>
            <w:tcW w:w="2007" w:type="dxa"/>
            <w:vMerge w:val="restart"/>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露天采场</w:t>
            </w:r>
          </w:p>
        </w:tc>
        <w:tc>
          <w:tcPr>
            <w:tcW w:w="2069"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4"/>
                <w:szCs w:val="24"/>
                <w:lang w:val="en-US" w:eastAsia="zh-CN"/>
              </w:rPr>
              <w:t>********</w:t>
            </w:r>
          </w:p>
        </w:tc>
        <w:tc>
          <w:tcPr>
            <w:tcW w:w="2160"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4"/>
                <w:szCs w:val="24"/>
                <w:lang w:val="en-US" w:eastAsia="zh-CN"/>
              </w:rPr>
              <w:t>********</w:t>
            </w:r>
          </w:p>
        </w:tc>
        <w:tc>
          <w:tcPr>
            <w:tcW w:w="1545"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03"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J2</w:t>
            </w:r>
          </w:p>
        </w:tc>
        <w:tc>
          <w:tcPr>
            <w:tcW w:w="2007" w:type="dxa"/>
            <w:vMerge w:val="continue"/>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c>
          <w:tcPr>
            <w:tcW w:w="2069"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4"/>
                <w:szCs w:val="24"/>
                <w:lang w:val="en-US" w:eastAsia="zh-CN"/>
              </w:rPr>
              <w:t>********</w:t>
            </w:r>
          </w:p>
        </w:tc>
        <w:tc>
          <w:tcPr>
            <w:tcW w:w="2160"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4"/>
                <w:szCs w:val="24"/>
                <w:lang w:val="en-US" w:eastAsia="zh-CN"/>
              </w:rPr>
              <w:t>********</w:t>
            </w:r>
          </w:p>
        </w:tc>
        <w:tc>
          <w:tcPr>
            <w:tcW w:w="1545"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03"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J3</w:t>
            </w:r>
          </w:p>
        </w:tc>
        <w:tc>
          <w:tcPr>
            <w:tcW w:w="2007" w:type="dxa"/>
            <w:vMerge w:val="continue"/>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c>
          <w:tcPr>
            <w:tcW w:w="2069"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4"/>
                <w:szCs w:val="24"/>
                <w:lang w:val="en-US" w:eastAsia="zh-CN"/>
              </w:rPr>
              <w:t>********</w:t>
            </w:r>
          </w:p>
        </w:tc>
        <w:tc>
          <w:tcPr>
            <w:tcW w:w="2160"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bCs/>
                <w:color w:val="auto"/>
                <w:sz w:val="24"/>
                <w:szCs w:val="24"/>
                <w:lang w:val="en-US" w:eastAsia="zh-CN"/>
              </w:rPr>
              <w:t>********</w:t>
            </w:r>
          </w:p>
        </w:tc>
        <w:tc>
          <w:tcPr>
            <w:tcW w:w="1545" w:type="dxa"/>
            <w:vAlign w:val="center"/>
          </w:tcPr>
          <w:p>
            <w:pPr>
              <w:widowControl w:val="0"/>
              <w:tabs>
                <w:tab w:val="left" w:pos="740"/>
              </w:tabs>
              <w:adjustRightInd w:val="0"/>
              <w:snapToGrid w:val="0"/>
              <w:jc w:val="center"/>
              <w:rPr>
                <w:rFonts w:hint="eastAsia" w:ascii="宋体" w:hAnsi="宋体" w:eastAsia="宋体" w:cs="宋体"/>
                <w:color w:val="auto"/>
                <w:sz w:val="21"/>
                <w:szCs w:val="21"/>
                <w:highlight w:val="none"/>
              </w:rPr>
            </w:pPr>
          </w:p>
        </w:tc>
      </w:tr>
    </w:tbl>
    <w:p>
      <w:pPr>
        <w:widowControl w:val="0"/>
        <w:tabs>
          <w:tab w:val="left" w:pos="740"/>
        </w:tabs>
        <w:adjustRightInd w:val="0"/>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、主要工程量</w:t>
      </w:r>
    </w:p>
    <w:p>
      <w:pPr>
        <w:widowControl w:val="0"/>
        <w:tabs>
          <w:tab w:val="left" w:pos="740"/>
        </w:tabs>
        <w:adjustRightInd w:val="0"/>
        <w:snapToGrid w:val="0"/>
        <w:spacing w:line="360" w:lineRule="auto"/>
        <w:ind w:firstLine="480" w:firstLineChars="200"/>
        <w:jc w:val="both"/>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地质灾害防治工程</w:t>
      </w:r>
    </w:p>
    <w:p>
      <w:pPr>
        <w:tabs>
          <w:tab w:val="left" w:pos="4063"/>
        </w:tabs>
        <w:spacing w:before="2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表4-4  防治工程量统计表</w:t>
      </w:r>
    </w:p>
    <w:tbl>
      <w:tblPr>
        <w:tblStyle w:val="53"/>
        <w:tblW w:w="87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9"/>
        <w:gridCol w:w="2541"/>
        <w:gridCol w:w="1530"/>
        <w:gridCol w:w="2036"/>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13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541"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工程名称</w:t>
            </w:r>
          </w:p>
        </w:tc>
        <w:tc>
          <w:tcPr>
            <w:tcW w:w="1530"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2036"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工程量</w:t>
            </w:r>
          </w:p>
        </w:tc>
        <w:tc>
          <w:tcPr>
            <w:tcW w:w="152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3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一</w:t>
            </w:r>
          </w:p>
        </w:tc>
        <w:tc>
          <w:tcPr>
            <w:tcW w:w="2541"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矿山地质灾害预防措施</w:t>
            </w:r>
          </w:p>
        </w:tc>
        <w:tc>
          <w:tcPr>
            <w:tcW w:w="1530"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p>
        </w:tc>
        <w:tc>
          <w:tcPr>
            <w:tcW w:w="2036"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p>
        </w:tc>
        <w:tc>
          <w:tcPr>
            <w:tcW w:w="152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3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541"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铁丝围栏</w:t>
            </w:r>
          </w:p>
        </w:tc>
        <w:tc>
          <w:tcPr>
            <w:tcW w:w="1530"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米</w:t>
            </w:r>
          </w:p>
        </w:tc>
        <w:tc>
          <w:tcPr>
            <w:tcW w:w="2036" w:type="dxa"/>
            <w:vAlign w:val="center"/>
          </w:tcPr>
          <w:p>
            <w:pPr>
              <w:widowControl w:val="0"/>
              <w:tabs>
                <w:tab w:val="left" w:pos="740"/>
              </w:tabs>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2630</w:t>
            </w:r>
          </w:p>
        </w:tc>
        <w:tc>
          <w:tcPr>
            <w:tcW w:w="152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3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2541"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警示牌</w:t>
            </w:r>
          </w:p>
        </w:tc>
        <w:tc>
          <w:tcPr>
            <w:tcW w:w="1530"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2036"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w:t>
            </w:r>
          </w:p>
        </w:tc>
        <w:tc>
          <w:tcPr>
            <w:tcW w:w="152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13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2541"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水泥桩</w:t>
            </w:r>
          </w:p>
        </w:tc>
        <w:tc>
          <w:tcPr>
            <w:tcW w:w="1530"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2036" w:type="dxa"/>
            <w:vAlign w:val="center"/>
          </w:tcPr>
          <w:p>
            <w:pPr>
              <w:widowControl w:val="0"/>
              <w:tabs>
                <w:tab w:val="left" w:pos="740"/>
              </w:tabs>
              <w:adjustRightInd w:val="0"/>
              <w:snapToGrid w:val="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263</w:t>
            </w:r>
          </w:p>
        </w:tc>
        <w:tc>
          <w:tcPr>
            <w:tcW w:w="1529"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p>
        </w:tc>
      </w:tr>
    </w:tbl>
    <w:p>
      <w:pPr>
        <w:tabs>
          <w:tab w:val="left" w:pos="4063"/>
        </w:tabs>
        <w:spacing w:before="2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表4-5  </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矿山地质灾害监测工程量一览表</w:t>
      </w:r>
    </w:p>
    <w:tbl>
      <w:tblPr>
        <w:tblStyle w:val="53"/>
        <w:tblW w:w="87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9"/>
        <w:gridCol w:w="2119"/>
        <w:gridCol w:w="1416"/>
        <w:gridCol w:w="1416"/>
        <w:gridCol w:w="1639"/>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98" w:hRule="exact"/>
          <w:jc w:val="center"/>
        </w:trPr>
        <w:tc>
          <w:tcPr>
            <w:tcW w:w="71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211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监测内容</w:t>
            </w:r>
          </w:p>
        </w:tc>
        <w:tc>
          <w:tcPr>
            <w:tcW w:w="1416"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监测频率</w:t>
            </w:r>
          </w:p>
        </w:tc>
        <w:tc>
          <w:tcPr>
            <w:tcW w:w="1416"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5年</w:t>
            </w:r>
          </w:p>
        </w:tc>
        <w:tc>
          <w:tcPr>
            <w:tcW w:w="163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10年</w:t>
            </w:r>
          </w:p>
        </w:tc>
        <w:tc>
          <w:tcPr>
            <w:tcW w:w="1440"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53" w:hRule="exact"/>
          <w:jc w:val="center"/>
        </w:trPr>
        <w:tc>
          <w:tcPr>
            <w:tcW w:w="71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11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崩塌监测</w:t>
            </w:r>
          </w:p>
        </w:tc>
        <w:tc>
          <w:tcPr>
            <w:tcW w:w="1416"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12</w:t>
            </w:r>
            <w:r>
              <w:rPr>
                <w:rFonts w:hint="eastAsia" w:ascii="宋体" w:hAnsi="宋体" w:eastAsia="宋体" w:cs="宋体"/>
                <w:color w:val="auto"/>
                <w:sz w:val="21"/>
                <w:szCs w:val="21"/>
              </w:rPr>
              <w:t>次/年</w:t>
            </w:r>
          </w:p>
        </w:tc>
        <w:tc>
          <w:tcPr>
            <w:tcW w:w="1416"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180</w:t>
            </w:r>
          </w:p>
        </w:tc>
        <w:tc>
          <w:tcPr>
            <w:tcW w:w="163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360</w:t>
            </w:r>
          </w:p>
        </w:tc>
        <w:tc>
          <w:tcPr>
            <w:tcW w:w="1440"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980</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（二）含水层破坏的预防、修复及监测</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1、目标任务</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结合矿区水文地质条件，含水层破坏修复的目标任务为：一是加强监测；二是采取预防措施，最大限度地减缓采矿活动对含水层的破坏。</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2、工程设计及主要技术措施</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（1）含水层破坏预防措施</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现状矿山未开采，对地下水水质影响较小；矿山后期开采对含水层的破坏程度较轻，为避免及减少对含水层的破坏，方案确定在治理期限内预防措施如下：</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严格按照设计进行开采，尽量少破坏地表植被，保持水土；</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加强废水资源管理，生活区修建污水处理池和污水处理池，对生产生活废水进行处理后循环使用，减少外排。</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（2）含水层破坏修复措施</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1）工程设计</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现状矿山未生产，采矿对含水层影响较轻；由于露天采坑深度不涉及到影响地下水范围，开采深度远小于地下水埋深，预测评估对地下水影响较轻，因此露天开采对含水层破坏较小，因此不进行含水层破坏修复工程设计。</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2）技术措施</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①加强水资源管理</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A.开采期间严格按照开发利用方案进行开采，减少采矿活动对含水层结构的破坏。</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B.生活区修建污水处理池，对生产生活废水进行处理后循环使用，减少外排。</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（3）含水层监测措施</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本矿山生产建设不会对含水层产生影响，故未设置监测工作。</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3、主要工程量</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（1）含水层修复工程量</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含水层修复主要以自然恢复为主，本方案不设计修复工程量。</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（2）含水层监测工程量</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本矿山生产建设不会对含水层产生影响，故未设置监测工作。</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（三）地形地貌景观破坏的预防、修复及监测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1、目标任务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严格按照设计开采，禁止乱采乱挖，尽量减少对地形地貌景观的破坏；做好边开采边治理工作，及时恢复矿区地形地貌景观。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2、工程设计及主要技术措施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对露天开采形成的边坡可能对地形地貌景观影响和破坏程度进行监测，闭坑后对采坑进行土地平整，其他区域严禁随地破坏占用土地避免造成对地形地貌景观的破坏，降低对衍生地形地貌景观及土地资源的破坏。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（1）矿山生产期间，严格按照设计开采，尽量避免或少破坏原始地貌环境。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矿山闭坑后，及时进行土地复垦工作，对露天采坑、成品堆放场等场地进行平整，对制坯场、焙烧窑、矿部生活区进行建筑物拆除，对场地进行平整，各场地经矿山环境治理和复垦后与周边地形地貌景观相协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地形地貌景观破坏的监测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（1）目标任务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地形地貌景观的监测范围为矿山开采区及其影响到的区域。根据矿山开采对地形地貌景观的破坏程度，合理布局监测设施，为后期实施土地复垦工程提供基础依据。形地貌景观破坏监测保护了矿山地质环境，减少矿山资源开采活动造成的矿山地质环境破坏，保护人民生命和财产安全，促进经济的可持候发展，实现经济效益、环境效益和社会效益的统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（2）工程设计及主要技术措施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开发中地面建设及开采区对地形地貌景观的影响主要体现在对地形地貌景观的破坏。根据不同的土地类型通过采取不同的恢复治理措施恢复原有的地形地貌景观。对基建期、开采期及恢复治理后的地形地貌景观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1）工程设计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开发中地面建设及开采区对地形地貌景观的影响主要体现在对地貌景观的破坏。根据矿区土地类型通过采取恢复治理措施基本恢复其原有地形地貌景观。对开采期及恢复治理后的地形地貌景观进行监测。重点对本矿山矿业权范围内各类矿建设施对地形地貌景观破坏情况进行动态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地形地貌变化情况；建设项目占地面积、土地损毁程度和面积；填方、挖方数量及面积，弃土、弃石、弃渣量及地方面积；工程措施面积、位置、破坏情况。土地复垦工程不再重复设计土地损毁监测内容。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地形地貌景观和土地资源的监测主要通过人工巡查结合无人机测量来确定地形地貌和土地资源的动态变化。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③监测点的布设及监测频率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针对开采区和矿山建设布局采用测绘监测方法，设置离散点，不专门设置监测点。每年1次，</w:t>
      </w:r>
      <w:r>
        <w:rPr>
          <w:rFonts w:hint="eastAsia" w:ascii="宋体" w:hAnsi="宋体" w:eastAsia="宋体" w:cs="宋体"/>
          <w:color w:val="auto"/>
          <w:sz w:val="24"/>
          <w:szCs w:val="24"/>
          <w:highlight w:val="none"/>
        </w:rPr>
        <w:t>共监测</w:t>
      </w:r>
      <w:r>
        <w:rPr>
          <w:rFonts w:hint="eastAsia" w:ascii="宋体" w:hAnsi="宋体" w:cs="宋体"/>
          <w:color w:val="auto"/>
          <w:sz w:val="24"/>
          <w:szCs w:val="24"/>
          <w:highlight w:val="none"/>
          <w:lang w:val="en-US" w:eastAsia="zh-CN"/>
        </w:rPr>
        <w:t>27.7</w:t>
      </w:r>
      <w:r>
        <w:rPr>
          <w:rFonts w:hint="eastAsia" w:ascii="宋体" w:hAnsi="宋体" w:eastAsia="宋体" w:cs="宋体"/>
          <w:color w:val="auto"/>
          <w:sz w:val="24"/>
          <w:szCs w:val="24"/>
          <w:highlight w:val="none"/>
        </w:rPr>
        <w:t>年（生产期和复垦期）。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④监测仪器：无人机。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2）地形地貌景观监测技术要求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考《水土保持监测技术规范》（SL227-2002）要求，实施监测的单位必须具有国家有关部门颁布的相关资质证书，从事监测工作的技术人员也应具有上岗证书。监测过程中如出现实际破坏面积、程度和污染情况与预测不符的，将及时告知相关领导和方案编制技术人员，并对方案进行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主要工程量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方案服务期</w:t>
      </w:r>
      <w:r>
        <w:rPr>
          <w:rFonts w:hint="eastAsia" w:ascii="宋体" w:hAnsi="宋体" w:eastAsia="宋体" w:cs="宋体"/>
          <w:color w:val="auto"/>
          <w:sz w:val="24"/>
          <w:szCs w:val="24"/>
          <w:highlight w:val="none"/>
          <w:lang w:val="en-US" w:eastAsia="zh-CN"/>
        </w:rPr>
        <w:t>27.2</w:t>
      </w:r>
      <w:r>
        <w:rPr>
          <w:rFonts w:hint="eastAsia" w:ascii="宋体" w:hAnsi="宋体" w:eastAsia="宋体" w:cs="宋体"/>
          <w:color w:val="auto"/>
          <w:sz w:val="24"/>
          <w:szCs w:val="24"/>
          <w:highlight w:val="none"/>
        </w:rPr>
        <w:t>年内共监测</w:t>
      </w:r>
      <w:r>
        <w:rPr>
          <w:rFonts w:hint="eastAsia" w:ascii="宋体" w:hAnsi="宋体" w:cs="宋体"/>
          <w:color w:val="auto"/>
          <w:sz w:val="24"/>
          <w:szCs w:val="24"/>
          <w:highlight w:val="none"/>
          <w:lang w:val="en-US" w:eastAsia="zh-CN"/>
        </w:rPr>
        <w:t>28</w:t>
      </w:r>
      <w:r>
        <w:rPr>
          <w:rFonts w:hint="eastAsia" w:ascii="宋体" w:hAnsi="宋体" w:eastAsia="宋体" w:cs="宋体"/>
          <w:color w:val="auto"/>
          <w:sz w:val="24"/>
          <w:szCs w:val="24"/>
          <w:highlight w:val="none"/>
        </w:rPr>
        <w:t>次。（表4-6）</w:t>
      </w:r>
    </w:p>
    <w:p>
      <w:pPr>
        <w:tabs>
          <w:tab w:val="left" w:pos="4063"/>
        </w:tabs>
        <w:spacing w:before="2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表4-6 </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 xml:space="preserve"> 矿山地形地貌景观监测工程量一览表</w:t>
      </w:r>
    </w:p>
    <w:tbl>
      <w:tblPr>
        <w:tblStyle w:val="53"/>
        <w:tblW w:w="89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1621"/>
        <w:gridCol w:w="1090"/>
        <w:gridCol w:w="1288"/>
        <w:gridCol w:w="1288"/>
        <w:gridCol w:w="944"/>
        <w:gridCol w:w="895"/>
        <w:gridCol w:w="1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1" w:hRule="atLeast"/>
          <w:jc w:val="center"/>
        </w:trPr>
        <w:tc>
          <w:tcPr>
            <w:tcW w:w="670" w:type="dxa"/>
            <w:noWrap w:val="0"/>
            <w:vAlign w:val="center"/>
          </w:tcPr>
          <w:p>
            <w:pPr>
              <w:pStyle w:val="469"/>
              <w:jc w:val="center"/>
              <w:rPr>
                <w:rFonts w:hint="eastAsia" w:ascii="宋体" w:hAnsi="宋体" w:eastAsia="宋体" w:cs="宋体"/>
                <w:color w:val="auto"/>
              </w:rPr>
            </w:pPr>
            <w:r>
              <w:rPr>
                <w:rFonts w:hint="eastAsia" w:ascii="宋体" w:hAnsi="宋体" w:eastAsia="宋体" w:cs="宋体"/>
                <w:color w:val="auto"/>
              </w:rPr>
              <w:t>序号</w:t>
            </w:r>
          </w:p>
        </w:tc>
        <w:tc>
          <w:tcPr>
            <w:tcW w:w="1621"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监测内容</w:t>
            </w:r>
          </w:p>
        </w:tc>
        <w:tc>
          <w:tcPr>
            <w:tcW w:w="1090"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监测点数</w:t>
            </w:r>
          </w:p>
        </w:tc>
        <w:tc>
          <w:tcPr>
            <w:tcW w:w="1288"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监测时间</w:t>
            </w:r>
          </w:p>
        </w:tc>
        <w:tc>
          <w:tcPr>
            <w:tcW w:w="1288"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监测频率</w:t>
            </w:r>
          </w:p>
        </w:tc>
        <w:tc>
          <w:tcPr>
            <w:tcW w:w="944"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监测次数</w:t>
            </w:r>
          </w:p>
        </w:tc>
        <w:tc>
          <w:tcPr>
            <w:tcW w:w="895" w:type="dxa"/>
            <w:noWrap w:val="0"/>
            <w:vAlign w:val="center"/>
          </w:tcPr>
          <w:p>
            <w:pPr>
              <w:pStyle w:val="469"/>
              <w:jc w:val="center"/>
              <w:rPr>
                <w:rFonts w:hint="eastAsia" w:ascii="宋体" w:hAnsi="宋体" w:eastAsia="宋体" w:cs="宋体"/>
                <w:color w:val="auto"/>
                <w:szCs w:val="22"/>
              </w:rPr>
            </w:pPr>
            <w:r>
              <w:rPr>
                <w:rFonts w:hint="eastAsia" w:ascii="宋体" w:hAnsi="宋体" w:cs="宋体"/>
                <w:color w:val="auto"/>
                <w:szCs w:val="21"/>
                <w:lang w:val="en-US" w:eastAsia="zh-CN"/>
              </w:rPr>
              <w:t>近期</w:t>
            </w:r>
            <w:r>
              <w:rPr>
                <w:rFonts w:hint="eastAsia" w:ascii="宋体" w:hAnsi="宋体" w:eastAsia="宋体" w:cs="宋体"/>
                <w:color w:val="auto"/>
                <w:szCs w:val="21"/>
              </w:rPr>
              <w:t>5年</w:t>
            </w:r>
          </w:p>
        </w:tc>
        <w:tc>
          <w:tcPr>
            <w:tcW w:w="1117" w:type="dxa"/>
            <w:noWrap w:val="0"/>
            <w:vAlign w:val="center"/>
          </w:tcPr>
          <w:p>
            <w:pPr>
              <w:pStyle w:val="469"/>
              <w:jc w:val="center"/>
              <w:rPr>
                <w:rFonts w:hint="default" w:ascii="宋体" w:hAnsi="宋体" w:cs="宋体"/>
                <w:color w:val="auto"/>
                <w:szCs w:val="21"/>
                <w:lang w:val="en-US" w:eastAsia="zh-CN"/>
              </w:rPr>
            </w:pPr>
            <w:r>
              <w:rPr>
                <w:rFonts w:hint="eastAsia" w:ascii="宋体" w:hAnsi="宋体" w:cs="宋体"/>
                <w:color w:val="auto"/>
                <w:szCs w:val="21"/>
                <w:lang w:val="en-US" w:eastAsia="zh-CN"/>
              </w:rPr>
              <w:t>适用期10年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71" w:hRule="atLeast"/>
          <w:jc w:val="center"/>
        </w:trPr>
        <w:tc>
          <w:tcPr>
            <w:tcW w:w="670" w:type="dxa"/>
            <w:noWrap w:val="0"/>
            <w:vAlign w:val="center"/>
          </w:tcPr>
          <w:p>
            <w:pPr>
              <w:pStyle w:val="469"/>
              <w:jc w:val="center"/>
              <w:rPr>
                <w:rFonts w:hint="eastAsia" w:ascii="宋体" w:hAnsi="宋体" w:eastAsia="宋体" w:cs="宋体"/>
                <w:color w:val="auto"/>
                <w:w w:val="93"/>
              </w:rPr>
            </w:pPr>
            <w:r>
              <w:rPr>
                <w:rFonts w:hint="eastAsia" w:ascii="宋体" w:hAnsi="宋体" w:eastAsia="宋体" w:cs="宋体"/>
                <w:color w:val="auto"/>
                <w:w w:val="93"/>
              </w:rPr>
              <w:t>1</w:t>
            </w:r>
          </w:p>
        </w:tc>
        <w:tc>
          <w:tcPr>
            <w:tcW w:w="1621"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地形地貌景观</w:t>
            </w:r>
          </w:p>
        </w:tc>
        <w:tc>
          <w:tcPr>
            <w:tcW w:w="1090"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w:t>
            </w:r>
          </w:p>
        </w:tc>
        <w:tc>
          <w:tcPr>
            <w:tcW w:w="1288" w:type="dxa"/>
            <w:noWrap w:val="0"/>
            <w:vAlign w:val="center"/>
          </w:tcPr>
          <w:p>
            <w:pPr>
              <w:pStyle w:val="469"/>
              <w:jc w:val="center"/>
              <w:rPr>
                <w:rFonts w:hint="eastAsia" w:ascii="宋体" w:hAnsi="宋体" w:eastAsia="宋体" w:cs="宋体"/>
                <w:color w:val="auto"/>
                <w:szCs w:val="21"/>
              </w:rPr>
            </w:pPr>
            <w:r>
              <w:rPr>
                <w:rFonts w:hint="eastAsia" w:ascii="宋体" w:hAnsi="宋体" w:cs="宋体"/>
                <w:color w:val="auto"/>
                <w:szCs w:val="21"/>
                <w:lang w:val="en-US" w:eastAsia="zh-CN"/>
              </w:rPr>
              <w:t>27.2</w:t>
            </w:r>
            <w:r>
              <w:rPr>
                <w:rFonts w:hint="eastAsia" w:ascii="宋体" w:hAnsi="宋体" w:eastAsia="宋体" w:cs="宋体"/>
                <w:color w:val="auto"/>
                <w:szCs w:val="21"/>
              </w:rPr>
              <w:t>年</w:t>
            </w:r>
          </w:p>
        </w:tc>
        <w:tc>
          <w:tcPr>
            <w:tcW w:w="1288"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1次/年</w:t>
            </w:r>
          </w:p>
        </w:tc>
        <w:tc>
          <w:tcPr>
            <w:tcW w:w="944" w:type="dxa"/>
            <w:noWrap w:val="0"/>
            <w:vAlign w:val="center"/>
          </w:tcPr>
          <w:p>
            <w:pPr>
              <w:pStyle w:val="469"/>
              <w:jc w:val="center"/>
              <w:rPr>
                <w:rFonts w:hint="default" w:ascii="宋体" w:hAnsi="宋体" w:eastAsia="宋体" w:cs="宋体"/>
                <w:color w:val="auto"/>
                <w:szCs w:val="22"/>
                <w:lang w:val="en-US" w:eastAsia="zh-CN"/>
              </w:rPr>
            </w:pPr>
            <w:r>
              <w:rPr>
                <w:rFonts w:hint="eastAsia" w:ascii="宋体" w:hAnsi="宋体" w:cs="宋体"/>
                <w:color w:val="auto"/>
                <w:szCs w:val="22"/>
                <w:lang w:val="en-US" w:eastAsia="zh-CN"/>
              </w:rPr>
              <w:t>28</w:t>
            </w:r>
          </w:p>
        </w:tc>
        <w:tc>
          <w:tcPr>
            <w:tcW w:w="895" w:type="dxa"/>
            <w:noWrap w:val="0"/>
            <w:vAlign w:val="center"/>
          </w:tcPr>
          <w:p>
            <w:pPr>
              <w:pStyle w:val="469"/>
              <w:jc w:val="center"/>
              <w:rPr>
                <w:rFonts w:hint="eastAsia" w:ascii="宋体" w:hAnsi="宋体" w:eastAsia="宋体" w:cs="宋体"/>
                <w:color w:val="auto"/>
                <w:szCs w:val="22"/>
              </w:rPr>
            </w:pPr>
            <w:r>
              <w:rPr>
                <w:rFonts w:hint="eastAsia" w:ascii="宋体" w:hAnsi="宋体" w:eastAsia="宋体" w:cs="宋体"/>
                <w:color w:val="auto"/>
                <w:szCs w:val="22"/>
              </w:rPr>
              <w:t>5</w:t>
            </w:r>
          </w:p>
        </w:tc>
        <w:tc>
          <w:tcPr>
            <w:tcW w:w="1117" w:type="dxa"/>
            <w:noWrap w:val="0"/>
            <w:vAlign w:val="center"/>
          </w:tcPr>
          <w:p>
            <w:pPr>
              <w:pStyle w:val="469"/>
              <w:jc w:val="center"/>
              <w:rPr>
                <w:rFonts w:hint="default" w:ascii="宋体" w:hAnsi="宋体" w:eastAsia="宋体" w:cs="宋体"/>
                <w:color w:val="auto"/>
                <w:szCs w:val="22"/>
                <w:lang w:val="en-US" w:eastAsia="zh-CN"/>
              </w:rPr>
            </w:pPr>
            <w:r>
              <w:rPr>
                <w:rFonts w:hint="eastAsia" w:ascii="宋体" w:hAnsi="宋体" w:cs="宋体"/>
                <w:color w:val="auto"/>
                <w:szCs w:val="22"/>
                <w:lang w:val="en-US" w:eastAsia="zh-CN"/>
              </w:rPr>
              <w:t>10</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（四）水土环境污染的预防、修复及监测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1、目标任务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通过对固体废弃物和污废水进行综合利用，力争达到废弃物零排放，减缓其对含水层、地形地貌景观影响和土地资源的影响破坏，防止水土环境的污染。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2、工程设计及主要技术措施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矿区生产不会对水土环境造成污染，严格按照开发方案进行生产，保护矿区周边生态环境和矿山工作的员工的身体健康，主要预防措施如下：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1）矿山生产用水，循环利用，不外排；生活污水排放至污水处理池处理后用于矿区地面洒水降尘；针对厕所专门修建污水处理池，不外排，尽可能实现矿区水资源综合利用，减少对地下水的开采。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2）矿山基建期完成污水处理池和污水处理池的修建，生产期间定期对矿部生活区周边土壤及处理后生活污水进行监测。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3）建立健全环境监测体系，定期对矿山固体废物排放及处理、废水排放及处理、水环境、土壤环境进行监测，发现问题及时处理。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、水土环境修复措施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由前面叙述可知，矿山在开采期间会设置相应的生活污水治理措施，矿山生产期间无废石及生产废水，不会对水土造成污染，矿山产生固体废弃物和污水（废水）采取综合利用和净化处理等措施，未来不会引发水土环境污染事故发生，无需采取治理工程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、水土环境污染的监测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（1）工程设计及主要技术措施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开采不会对地表水及地下水造成污染，因此，主要对矿山土壤环境进行监测。焙烧窑及矿山生活区周围土地可能会因矿山生产或生活垃圾的影响而受到不同程度的污染。为了解掌握区内土壤环境质量状况和受污染程度，需要对区内的土壤环境进行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测试项目主要为土壤重金属元素分析以及有毒有害物质分析等，主要有机质、PH、汞、砷、镉、铬、铅、锌、铜等。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2）监测点的布设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监测点布设严格按照《土壤环境监测技术规范》（HJ/T166-2004）中的要求进行布设，主要在排土场布置1个监测点，进行土壤情况监测。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土壤污染监测的频次、方法、精度要求执行《土壤环境监测技术规范》（HJ/T166-2004）。土壤污染监测采用人工巡查、取样化验的方式，定期到土壤采集点用铁锹分别采集两个不同深度土样（0-10厘米、10-20厘米），将土样密封好，带回实验室用不同仪器分析进行监测。采样的同时，由专人填写样品标签，采样记录；标签一式两份，一份放入袋中，一份系在袋口，标签上标注采样时间、地点、样品编号、监测项目、采样深度和经纬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4）监测频率</w:t>
      </w:r>
    </w:p>
    <w:p>
      <w:pPr>
        <w:pageBreakBefore w:val="0"/>
        <w:tabs>
          <w:tab w:val="left" w:pos="74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由矿山企业专人或委托有资质的单位定时监测，每年取土样测试1次，矿山5年期监测次数为5次，矿山10年期监测次数为10次，矿山服务期内共监测次数为</w:t>
      </w:r>
      <w:r>
        <w:rPr>
          <w:rFonts w:hint="eastAsia" w:ascii="宋体" w:hAnsi="宋体" w:cs="宋体"/>
          <w:color w:val="auto"/>
          <w:sz w:val="24"/>
          <w:szCs w:val="24"/>
          <w:lang w:val="en-US" w:eastAsia="zh-CN"/>
        </w:rPr>
        <w:t>28</w:t>
      </w:r>
      <w:r>
        <w:rPr>
          <w:rFonts w:hint="eastAsia" w:ascii="宋体" w:hAnsi="宋体" w:eastAsia="宋体" w:cs="宋体"/>
          <w:color w:val="auto"/>
          <w:sz w:val="24"/>
          <w:szCs w:val="24"/>
        </w:rPr>
        <w:t>次。</w:t>
      </w:r>
    </w:p>
    <w:p>
      <w:pPr>
        <w:tabs>
          <w:tab w:val="left" w:pos="4063"/>
        </w:tabs>
        <w:spacing w:before="2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表4-7 </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水质土壤监测点坐标一览表</w:t>
      </w:r>
    </w:p>
    <w:tbl>
      <w:tblPr>
        <w:tblStyle w:val="53"/>
        <w:tblW w:w="84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410"/>
        <w:gridCol w:w="1559"/>
        <w:gridCol w:w="1843"/>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2" w:hRule="atLeast"/>
          <w:jc w:val="center"/>
        </w:trPr>
        <w:tc>
          <w:tcPr>
            <w:tcW w:w="851" w:type="dxa"/>
            <w:vMerge w:val="restart"/>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点号</w:t>
            </w:r>
          </w:p>
        </w:tc>
        <w:tc>
          <w:tcPr>
            <w:tcW w:w="2410" w:type="dxa"/>
            <w:vMerge w:val="restart"/>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监测点位</w:t>
            </w:r>
          </w:p>
        </w:tc>
        <w:tc>
          <w:tcPr>
            <w:tcW w:w="1559" w:type="dxa"/>
            <w:vMerge w:val="restart"/>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监测内容</w:t>
            </w:r>
          </w:p>
        </w:tc>
        <w:tc>
          <w:tcPr>
            <w:tcW w:w="3594" w:type="dxa"/>
            <w:gridSpan w:val="2"/>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jc w:val="center"/>
        </w:trPr>
        <w:tc>
          <w:tcPr>
            <w:tcW w:w="851" w:type="dxa"/>
            <w:vMerge w:val="continue"/>
            <w:vAlign w:val="center"/>
          </w:tcPr>
          <w:p>
            <w:pPr>
              <w:autoSpaceDE w:val="0"/>
              <w:autoSpaceDN w:val="0"/>
              <w:adjustRightInd w:val="0"/>
              <w:snapToGrid w:val="0"/>
              <w:jc w:val="center"/>
              <w:rPr>
                <w:rFonts w:hint="eastAsia" w:ascii="宋体" w:hAnsi="宋体" w:eastAsia="宋体" w:cs="宋体"/>
                <w:color w:val="auto"/>
                <w:sz w:val="21"/>
                <w:szCs w:val="21"/>
              </w:rPr>
            </w:pPr>
          </w:p>
        </w:tc>
        <w:tc>
          <w:tcPr>
            <w:tcW w:w="2410" w:type="dxa"/>
            <w:vMerge w:val="continue"/>
            <w:vAlign w:val="center"/>
          </w:tcPr>
          <w:p>
            <w:pPr>
              <w:autoSpaceDE w:val="0"/>
              <w:autoSpaceDN w:val="0"/>
              <w:adjustRightInd w:val="0"/>
              <w:snapToGrid w:val="0"/>
              <w:jc w:val="center"/>
              <w:rPr>
                <w:rFonts w:hint="eastAsia" w:ascii="宋体" w:hAnsi="宋体" w:eastAsia="宋体" w:cs="宋体"/>
                <w:color w:val="auto"/>
                <w:sz w:val="21"/>
                <w:szCs w:val="21"/>
              </w:rPr>
            </w:pPr>
          </w:p>
        </w:tc>
        <w:tc>
          <w:tcPr>
            <w:tcW w:w="1559" w:type="dxa"/>
            <w:vMerge w:val="continue"/>
            <w:vAlign w:val="center"/>
          </w:tcPr>
          <w:p>
            <w:pPr>
              <w:autoSpaceDE w:val="0"/>
              <w:autoSpaceDN w:val="0"/>
              <w:adjustRightInd w:val="0"/>
              <w:snapToGrid w:val="0"/>
              <w:jc w:val="center"/>
              <w:rPr>
                <w:rFonts w:hint="eastAsia" w:ascii="宋体" w:hAnsi="宋体" w:eastAsia="宋体" w:cs="宋体"/>
                <w:color w:val="auto"/>
                <w:sz w:val="21"/>
                <w:szCs w:val="21"/>
              </w:rPr>
            </w:pPr>
          </w:p>
        </w:tc>
        <w:tc>
          <w:tcPr>
            <w:tcW w:w="1843"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X</w:t>
            </w:r>
          </w:p>
        </w:tc>
        <w:tc>
          <w:tcPr>
            <w:tcW w:w="1751"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1"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2410"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排土场</w:t>
            </w:r>
          </w:p>
        </w:tc>
        <w:tc>
          <w:tcPr>
            <w:tcW w:w="1559"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w:t>
            </w:r>
          </w:p>
        </w:tc>
        <w:tc>
          <w:tcPr>
            <w:tcW w:w="1843" w:type="dxa"/>
            <w:vAlign w:val="center"/>
          </w:tcPr>
          <w:p>
            <w:pPr>
              <w:widowControl w:val="0"/>
              <w:tabs>
                <w:tab w:val="left" w:pos="740"/>
              </w:tabs>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bCs/>
                <w:color w:val="auto"/>
                <w:sz w:val="24"/>
                <w:szCs w:val="24"/>
                <w:lang w:val="en-US" w:eastAsia="zh-CN"/>
              </w:rPr>
              <w:t>********</w:t>
            </w:r>
          </w:p>
        </w:tc>
        <w:tc>
          <w:tcPr>
            <w:tcW w:w="1751" w:type="dxa"/>
            <w:vAlign w:val="center"/>
          </w:tcPr>
          <w:p>
            <w:pPr>
              <w:widowControl w:val="0"/>
              <w:tabs>
                <w:tab w:val="left" w:pos="740"/>
              </w:tabs>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bCs/>
                <w:color w:val="auto"/>
                <w:sz w:val="24"/>
                <w:szCs w:val="24"/>
                <w:lang w:val="en-US" w:eastAsia="zh-CN"/>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4、主要工作量</w:t>
      </w:r>
    </w:p>
    <w:p>
      <w:pPr>
        <w:tabs>
          <w:tab w:val="left" w:pos="4063"/>
        </w:tabs>
        <w:spacing w:before="2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表4-8  </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水土环境污染监测工程量统计表</w:t>
      </w:r>
    </w:p>
    <w:tbl>
      <w:tblPr>
        <w:tblStyle w:val="53"/>
        <w:tblW w:w="83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710"/>
        <w:gridCol w:w="708"/>
        <w:gridCol w:w="1136"/>
        <w:gridCol w:w="1312"/>
        <w:gridCol w:w="1425"/>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04"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134"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项目</w:t>
            </w:r>
          </w:p>
        </w:tc>
        <w:tc>
          <w:tcPr>
            <w:tcW w:w="71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7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监测频率</w:t>
            </w:r>
          </w:p>
        </w:tc>
        <w:tc>
          <w:tcPr>
            <w:tcW w:w="1312"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5年</w:t>
            </w:r>
          </w:p>
        </w:tc>
        <w:tc>
          <w:tcPr>
            <w:tcW w:w="1425"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10年</w:t>
            </w:r>
          </w:p>
        </w:tc>
        <w:tc>
          <w:tcPr>
            <w:tcW w:w="126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9" w:hRule="atLeast"/>
          <w:jc w:val="center"/>
        </w:trPr>
        <w:tc>
          <w:tcPr>
            <w:tcW w:w="704"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1</w:t>
            </w:r>
          </w:p>
        </w:tc>
        <w:tc>
          <w:tcPr>
            <w:tcW w:w="1134"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w:t>
            </w:r>
          </w:p>
        </w:tc>
        <w:tc>
          <w:tcPr>
            <w:tcW w:w="71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点次</w:t>
            </w:r>
          </w:p>
        </w:tc>
        <w:tc>
          <w:tcPr>
            <w:tcW w:w="7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1次/年</w:t>
            </w:r>
          </w:p>
        </w:tc>
        <w:tc>
          <w:tcPr>
            <w:tcW w:w="131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42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269"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rPr>
        <w:t>（五）大气污染的预防、修复及监测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1、目标任务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采取大气污染预防和修复措施，避免和减缓矿山生产对矿区周边大气造成的影响。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2、工程设计及主要技术措施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由前述分析可知，矿山开采对大气污染程度较轻，考虑矿山采矿结束后自然恢复，因此不进行大气污染修复工程，需采取有效的预防措施来避免产生大气污染。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1）对露天采矿场、运输道路及废石堆等无组织扬尘点定期进行洒水降尘。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2）严格落实环评报告提出的各项大气污染防护措施，加大环保力度，减轻大气污染，维持空气现状水平。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3、大气污染的监测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（1）目标任务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通过实施大气污染监测措施，了解和掌握区内粉尘浓度情况。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（2）工程设计及主要技术措施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大气污染监测主要针对矿山开采扬尘和道路扬尘污染监测，主要为总悬浮颗粒物的监测。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2）监测方法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总悬浮颗粒物采样器技术要求及监测方法》（HJ/T374-2007），矿区总悬浮颗粒物（TSP）监测采用大流量采样器，采样器平均抽气速度为0.3m/s，具有采样时间控制及计时功能，计时精度不低于0.1%。由专人填写监测时间，点位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3）监测点布设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监测点布设应严格按照《总悬浮颗粒物采样器技术要求及监测方法》中的要求进行布设，共布置监测点3个。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4）监测频率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露天采矿场南侧入口设置1个监测点，矿山道路布置1个监测点，共设置监测点2个，监测内容为：二氧化硫、二氧化氮、可吸入颗粒物、细颗粒物、一氧化碳等。1年监测2次，共计4点次，近期5年检测20次，方案适用期10年内监测40次，矿山服务期内监测</w:t>
      </w:r>
      <w:r>
        <w:rPr>
          <w:rFonts w:hint="eastAsia" w:ascii="宋体" w:hAnsi="宋体" w:cs="宋体"/>
          <w:color w:val="auto"/>
          <w:sz w:val="24"/>
          <w:szCs w:val="24"/>
          <w:lang w:val="en-US" w:eastAsia="zh-CN"/>
        </w:rPr>
        <w:t>109</w:t>
      </w:r>
      <w:r>
        <w:rPr>
          <w:rFonts w:hint="eastAsia" w:ascii="宋体" w:hAnsi="宋体" w:eastAsia="宋体" w:cs="宋体"/>
          <w:color w:val="auto"/>
          <w:sz w:val="24"/>
          <w:szCs w:val="24"/>
        </w:rPr>
        <w:t>次。</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表4-9 </w:t>
      </w:r>
      <w:r>
        <w:rPr>
          <w:rFonts w:hint="eastAsia" w:ascii="宋体" w:hAnsi="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大气污染监测点坐标一览表</w:t>
      </w:r>
    </w:p>
    <w:tbl>
      <w:tblPr>
        <w:tblStyle w:val="53"/>
        <w:tblW w:w="58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
        <w:gridCol w:w="1843"/>
        <w:gridCol w:w="1985"/>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29" w:type="dxa"/>
            <w:vMerge w:val="restart"/>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点号</w:t>
            </w:r>
          </w:p>
        </w:tc>
        <w:tc>
          <w:tcPr>
            <w:tcW w:w="3828" w:type="dxa"/>
            <w:gridSpan w:val="2"/>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坐标</w:t>
            </w:r>
          </w:p>
        </w:tc>
        <w:tc>
          <w:tcPr>
            <w:tcW w:w="1091"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29" w:type="dxa"/>
            <w:vMerge w:val="continue"/>
            <w:vAlign w:val="center"/>
          </w:tcPr>
          <w:p>
            <w:pPr>
              <w:autoSpaceDE w:val="0"/>
              <w:autoSpaceDN w:val="0"/>
              <w:adjustRightInd w:val="0"/>
              <w:snapToGrid w:val="0"/>
              <w:jc w:val="center"/>
              <w:rPr>
                <w:rFonts w:hint="eastAsia" w:ascii="宋体" w:hAnsi="宋体" w:eastAsia="宋体" w:cs="宋体"/>
                <w:color w:val="auto"/>
                <w:sz w:val="21"/>
                <w:szCs w:val="21"/>
              </w:rPr>
            </w:pPr>
          </w:p>
        </w:tc>
        <w:tc>
          <w:tcPr>
            <w:tcW w:w="1843"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X</w:t>
            </w:r>
          </w:p>
        </w:tc>
        <w:tc>
          <w:tcPr>
            <w:tcW w:w="1985"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Y</w:t>
            </w:r>
          </w:p>
        </w:tc>
        <w:tc>
          <w:tcPr>
            <w:tcW w:w="1091" w:type="dxa"/>
            <w:vAlign w:val="center"/>
          </w:tcPr>
          <w:p>
            <w:pPr>
              <w:autoSpaceDE w:val="0"/>
              <w:autoSpaceDN w:val="0"/>
              <w:adjustRightInd w:val="0"/>
              <w:snapToGrid w:val="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29"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843"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1985"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1091" w:type="dxa"/>
            <w:vAlign w:val="center"/>
          </w:tcPr>
          <w:p>
            <w:pPr>
              <w:adjustRightInd w:val="0"/>
              <w:snapToGrid w:val="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29" w:type="dxa"/>
            <w:vAlign w:val="center"/>
          </w:tcPr>
          <w:p>
            <w:pPr>
              <w:autoSpaceDE w:val="0"/>
              <w:autoSpaceDN w:val="0"/>
              <w:adjustRightInd w:val="0"/>
              <w:snapToGrid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843"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1985"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cs="宋体"/>
                <w:bCs/>
                <w:color w:val="auto"/>
                <w:sz w:val="24"/>
                <w:szCs w:val="24"/>
                <w:lang w:val="en-US" w:eastAsia="zh-CN"/>
              </w:rPr>
              <w:t>********</w:t>
            </w:r>
          </w:p>
        </w:tc>
        <w:tc>
          <w:tcPr>
            <w:tcW w:w="1091" w:type="dxa"/>
            <w:vAlign w:val="center"/>
          </w:tcPr>
          <w:p>
            <w:pPr>
              <w:adjustRightInd w:val="0"/>
              <w:snapToGrid w:val="0"/>
              <w:jc w:val="center"/>
              <w:rPr>
                <w:rFonts w:hint="eastAsia" w:ascii="宋体" w:hAnsi="宋体" w:eastAsia="宋体" w:cs="宋体"/>
                <w:color w:val="auto"/>
                <w:sz w:val="21"/>
                <w:szCs w:val="21"/>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3、主要工作量</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表4-10  大气环境污染监测工程量统计表</w:t>
      </w:r>
    </w:p>
    <w:tbl>
      <w:tblPr>
        <w:tblStyle w:val="53"/>
        <w:tblW w:w="85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1"/>
        <w:gridCol w:w="1126"/>
        <w:gridCol w:w="1123"/>
        <w:gridCol w:w="1479"/>
        <w:gridCol w:w="1123"/>
        <w:gridCol w:w="917"/>
        <w:gridCol w:w="1050"/>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69" w:hRule="atLeast"/>
          <w:jc w:val="center"/>
        </w:trPr>
        <w:tc>
          <w:tcPr>
            <w:tcW w:w="731"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126"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监测内容</w:t>
            </w:r>
          </w:p>
        </w:tc>
        <w:tc>
          <w:tcPr>
            <w:tcW w:w="1123"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监测点数</w:t>
            </w:r>
          </w:p>
        </w:tc>
        <w:tc>
          <w:tcPr>
            <w:tcW w:w="1479"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监测时间</w:t>
            </w:r>
          </w:p>
        </w:tc>
        <w:tc>
          <w:tcPr>
            <w:tcW w:w="1123"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监测频率</w:t>
            </w:r>
          </w:p>
        </w:tc>
        <w:tc>
          <w:tcPr>
            <w:tcW w:w="917"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5年</w:t>
            </w:r>
          </w:p>
        </w:tc>
        <w:tc>
          <w:tcPr>
            <w:tcW w:w="1050"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10年</w:t>
            </w:r>
          </w:p>
        </w:tc>
        <w:tc>
          <w:tcPr>
            <w:tcW w:w="1035"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4" w:hRule="atLeast"/>
          <w:jc w:val="center"/>
        </w:trPr>
        <w:tc>
          <w:tcPr>
            <w:tcW w:w="731"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w w:val="93"/>
                <w:sz w:val="21"/>
                <w:szCs w:val="21"/>
              </w:rPr>
            </w:pPr>
            <w:r>
              <w:rPr>
                <w:rFonts w:hint="eastAsia" w:ascii="宋体" w:hAnsi="宋体" w:eastAsia="宋体" w:cs="宋体"/>
                <w:color w:val="auto"/>
                <w:w w:val="93"/>
                <w:sz w:val="21"/>
                <w:szCs w:val="21"/>
              </w:rPr>
              <w:t>1</w:t>
            </w:r>
          </w:p>
        </w:tc>
        <w:tc>
          <w:tcPr>
            <w:tcW w:w="1126"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大气监测</w:t>
            </w:r>
          </w:p>
        </w:tc>
        <w:tc>
          <w:tcPr>
            <w:tcW w:w="1123"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79"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27.2</w:t>
            </w:r>
          </w:p>
        </w:tc>
        <w:tc>
          <w:tcPr>
            <w:tcW w:w="1123"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2次/年</w:t>
            </w:r>
          </w:p>
        </w:tc>
        <w:tc>
          <w:tcPr>
            <w:tcW w:w="917"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1050"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40</w:t>
            </w:r>
          </w:p>
        </w:tc>
        <w:tc>
          <w:tcPr>
            <w:tcW w:w="1035"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109</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rPr>
      </w:pPr>
      <w:r>
        <w:rPr>
          <w:rFonts w:hint="eastAsia"/>
          <w:color w:val="auto"/>
          <w:sz w:val="28"/>
          <w:szCs w:val="28"/>
          <w:lang w:eastAsia="zh-CN"/>
        </w:rPr>
        <w:t>（</w:t>
      </w:r>
      <w:r>
        <w:rPr>
          <w:rFonts w:hint="eastAsia"/>
          <w:color w:val="auto"/>
          <w:sz w:val="28"/>
          <w:szCs w:val="28"/>
          <w:lang w:val="en-US" w:eastAsia="zh-CN"/>
        </w:rPr>
        <w:t>六</w:t>
      </w:r>
      <w:r>
        <w:rPr>
          <w:rFonts w:hint="eastAsia"/>
          <w:color w:val="auto"/>
          <w:sz w:val="28"/>
          <w:szCs w:val="28"/>
          <w:lang w:eastAsia="zh-CN"/>
        </w:rPr>
        <w:t>）</w:t>
      </w:r>
      <w:r>
        <w:rPr>
          <w:rFonts w:hint="eastAsia"/>
          <w:color w:val="auto"/>
          <w:sz w:val="28"/>
          <w:szCs w:val="28"/>
        </w:rPr>
        <w:t>总工作量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上述目标任务、工程设计和技术措施，矿山地质环境保护主要工程包括地质灾害预防和治理措施、含水层监测措施、地形地貌景观破坏的监测措施、水土环境污染预防和监测措施以及大气污染的监测措施，工作量测算具体见表4-11。</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 xml:space="preserve">表4-11 </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 xml:space="preserve"> 矿山服务年限内地质灾害治理工程量表</w:t>
      </w:r>
    </w:p>
    <w:tbl>
      <w:tblPr>
        <w:tblStyle w:val="53"/>
        <w:tblW w:w="87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3029"/>
        <w:gridCol w:w="1136"/>
        <w:gridCol w:w="851"/>
        <w:gridCol w:w="1239"/>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工程名称</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851"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5年</w:t>
            </w:r>
          </w:p>
        </w:tc>
        <w:tc>
          <w:tcPr>
            <w:tcW w:w="123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10年</w:t>
            </w:r>
          </w:p>
        </w:tc>
        <w:tc>
          <w:tcPr>
            <w:tcW w:w="1446"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一</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地质灾害防治</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（一）</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cs="宋体"/>
                <w:b/>
                <w:color w:val="auto"/>
                <w:sz w:val="21"/>
                <w:szCs w:val="21"/>
                <w:lang w:val="en-US" w:eastAsia="zh-CN"/>
              </w:rPr>
              <w:t>规划</w:t>
            </w:r>
            <w:r>
              <w:rPr>
                <w:rFonts w:hint="eastAsia" w:ascii="宋体" w:hAnsi="宋体" w:eastAsia="宋体" w:cs="宋体"/>
                <w:b/>
                <w:color w:val="auto"/>
                <w:sz w:val="21"/>
                <w:szCs w:val="21"/>
              </w:rPr>
              <w:t>露天采矿场</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围栏、警示牌</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围栏</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米</w:t>
            </w:r>
          </w:p>
        </w:tc>
        <w:tc>
          <w:tcPr>
            <w:tcW w:w="851" w:type="dxa"/>
            <w:vAlign w:val="center"/>
          </w:tcPr>
          <w:p>
            <w:pPr>
              <w:widowControl w:val="0"/>
              <w:tabs>
                <w:tab w:val="left" w:pos="740"/>
              </w:tabs>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2630</w:t>
            </w: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警示牌</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851" w:type="dxa"/>
            <w:vAlign w:val="center"/>
          </w:tcPr>
          <w:p>
            <w:pPr>
              <w:widowControl w:val="0"/>
              <w:tabs>
                <w:tab w:val="left" w:pos="740"/>
              </w:tabs>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16</w:t>
            </w: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水泥桩</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851" w:type="dxa"/>
            <w:vAlign w:val="center"/>
          </w:tcPr>
          <w:p>
            <w:pPr>
              <w:widowControl w:val="0"/>
              <w:tabs>
                <w:tab w:val="left" w:pos="740"/>
              </w:tabs>
              <w:adjustRightInd w:val="0"/>
              <w:snapToGrid w:val="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263</w:t>
            </w: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w:t>
            </w: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二</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地质环境监测工程</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bookmarkStart w:id="176" w:name="_Toc20242"/>
            <w:r>
              <w:rPr>
                <w:rFonts w:hint="eastAsia" w:ascii="宋体" w:hAnsi="宋体" w:eastAsia="宋体" w:cs="宋体"/>
                <w:b/>
                <w:color w:val="auto"/>
                <w:sz w:val="21"/>
                <w:szCs w:val="21"/>
              </w:rPr>
              <w:t>1</w:t>
            </w:r>
            <w:bookmarkEnd w:id="176"/>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bookmarkStart w:id="177" w:name="_Toc11804"/>
            <w:r>
              <w:rPr>
                <w:rFonts w:hint="eastAsia" w:ascii="宋体" w:hAnsi="宋体" w:eastAsia="宋体" w:cs="宋体"/>
                <w:b/>
                <w:color w:val="auto"/>
                <w:sz w:val="21"/>
                <w:szCs w:val="21"/>
              </w:rPr>
              <w:t>地质灾害监测工作</w:t>
            </w:r>
            <w:bookmarkEnd w:id="177"/>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bookmarkStart w:id="178" w:name="_Toc2627"/>
            <w:r>
              <w:rPr>
                <w:rFonts w:hint="eastAsia" w:ascii="宋体" w:hAnsi="宋体" w:eastAsia="宋体" w:cs="宋体"/>
                <w:bCs/>
                <w:color w:val="auto"/>
                <w:sz w:val="21"/>
                <w:szCs w:val="21"/>
              </w:rPr>
              <w:t>（1）</w:t>
            </w:r>
            <w:bookmarkEnd w:id="178"/>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bookmarkStart w:id="179" w:name="_Toc22062"/>
            <w:r>
              <w:rPr>
                <w:rFonts w:hint="eastAsia" w:ascii="宋体" w:hAnsi="宋体" w:eastAsia="宋体" w:cs="宋体"/>
                <w:bCs/>
                <w:color w:val="auto"/>
                <w:sz w:val="21"/>
                <w:szCs w:val="21"/>
              </w:rPr>
              <w:t>崩塌</w:t>
            </w:r>
            <w:bookmarkEnd w:id="179"/>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bookmarkStart w:id="180" w:name="_Toc11452"/>
            <w:r>
              <w:rPr>
                <w:rFonts w:hint="eastAsia" w:ascii="宋体" w:hAnsi="宋体" w:eastAsia="宋体" w:cs="宋体"/>
                <w:bCs/>
                <w:color w:val="auto"/>
                <w:sz w:val="21"/>
                <w:szCs w:val="21"/>
              </w:rPr>
              <w:t>点次</w:t>
            </w:r>
            <w:bookmarkEnd w:id="180"/>
          </w:p>
        </w:tc>
        <w:tc>
          <w:tcPr>
            <w:tcW w:w="851"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kern w:val="0"/>
                <w:sz w:val="21"/>
                <w:szCs w:val="21"/>
                <w:lang w:val="en-US" w:eastAsia="zh-CN" w:bidi="ar-SA"/>
              </w:rPr>
            </w:pPr>
            <w:r>
              <w:rPr>
                <w:rFonts w:hint="eastAsia" w:ascii="宋体" w:hAnsi="宋体" w:eastAsia="宋体" w:cs="宋体"/>
                <w:color w:val="auto"/>
                <w:sz w:val="21"/>
                <w:szCs w:val="21"/>
                <w:lang w:val="en-US" w:eastAsia="zh-CN"/>
              </w:rPr>
              <w:t>180</w:t>
            </w:r>
          </w:p>
        </w:tc>
        <w:tc>
          <w:tcPr>
            <w:tcW w:w="1239"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kern w:val="0"/>
                <w:sz w:val="21"/>
                <w:szCs w:val="21"/>
                <w:lang w:val="en-US" w:eastAsia="zh-CN" w:bidi="ar-SA"/>
              </w:rPr>
            </w:pPr>
            <w:r>
              <w:rPr>
                <w:rFonts w:hint="eastAsia" w:ascii="宋体" w:hAnsi="宋体" w:eastAsia="宋体" w:cs="宋体"/>
                <w:color w:val="auto"/>
                <w:sz w:val="21"/>
                <w:szCs w:val="21"/>
                <w:lang w:val="en-US" w:eastAsia="zh-CN"/>
              </w:rPr>
              <w:t>360</w:t>
            </w:r>
          </w:p>
        </w:tc>
        <w:tc>
          <w:tcPr>
            <w:tcW w:w="1446"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kern w:val="0"/>
                <w:sz w:val="21"/>
                <w:szCs w:val="21"/>
                <w:lang w:val="en-US" w:eastAsia="zh-CN" w:bidi="ar-SA"/>
              </w:rPr>
            </w:pPr>
            <w:r>
              <w:rPr>
                <w:rFonts w:hint="eastAsia" w:ascii="宋体" w:hAnsi="宋体" w:eastAsia="宋体" w:cs="宋体"/>
                <w:color w:val="auto"/>
                <w:sz w:val="21"/>
                <w:szCs w:val="21"/>
                <w:lang w:val="en-US" w:eastAsia="zh-CN"/>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2</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bookmarkStart w:id="181" w:name="_Toc28990"/>
            <w:r>
              <w:rPr>
                <w:rFonts w:hint="eastAsia" w:ascii="宋体" w:hAnsi="宋体" w:eastAsia="宋体" w:cs="宋体"/>
                <w:b/>
                <w:color w:val="auto"/>
                <w:sz w:val="21"/>
                <w:szCs w:val="21"/>
              </w:rPr>
              <w:t>地形地貌景观监测</w:t>
            </w:r>
            <w:bookmarkEnd w:id="181"/>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bookmarkStart w:id="182" w:name="_Toc36"/>
            <w:r>
              <w:rPr>
                <w:rFonts w:hint="eastAsia" w:ascii="宋体" w:hAnsi="宋体" w:eastAsia="宋体" w:cs="宋体"/>
                <w:bCs/>
                <w:color w:val="auto"/>
                <w:sz w:val="21"/>
                <w:szCs w:val="21"/>
              </w:rPr>
              <w:t>点次</w:t>
            </w:r>
            <w:bookmarkEnd w:id="182"/>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eastAsia="zh-CN"/>
              </w:rPr>
            </w:pPr>
            <w:r>
              <w:rPr>
                <w:rFonts w:hint="eastAsia" w:ascii="宋体" w:hAnsi="宋体" w:cs="宋体"/>
                <w:color w:val="auto"/>
                <w:sz w:val="21"/>
                <w:szCs w:val="21"/>
                <w:lang w:val="en-US" w:eastAsia="zh-CN"/>
              </w:rPr>
              <w:t>5</w:t>
            </w: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color w:val="auto"/>
                <w:sz w:val="21"/>
                <w:szCs w:val="21"/>
                <w:lang w:val="en-US" w:eastAsia="zh-CN"/>
              </w:rPr>
              <w:t>10</w:t>
            </w: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3</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bookmarkStart w:id="183" w:name="_Toc28013"/>
            <w:r>
              <w:rPr>
                <w:rFonts w:hint="eastAsia" w:ascii="宋体" w:hAnsi="宋体" w:eastAsia="宋体" w:cs="宋体"/>
                <w:b/>
                <w:color w:val="auto"/>
                <w:sz w:val="21"/>
                <w:szCs w:val="21"/>
              </w:rPr>
              <w:t>水土环境污染监测</w:t>
            </w:r>
            <w:bookmarkEnd w:id="183"/>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bookmarkStart w:id="184" w:name="_Toc1415"/>
            <w:r>
              <w:rPr>
                <w:rFonts w:hint="eastAsia" w:ascii="宋体" w:hAnsi="宋体" w:eastAsia="宋体" w:cs="宋体"/>
                <w:bCs/>
                <w:color w:val="auto"/>
                <w:sz w:val="21"/>
                <w:szCs w:val="21"/>
              </w:rPr>
              <w:t>（</w:t>
            </w:r>
            <w:r>
              <w:rPr>
                <w:rFonts w:hint="eastAsia" w:ascii="宋体" w:hAnsi="宋体" w:cs="宋体"/>
                <w:bCs/>
                <w:color w:val="auto"/>
                <w:sz w:val="21"/>
                <w:szCs w:val="21"/>
                <w:lang w:val="en-US" w:eastAsia="zh-CN"/>
              </w:rPr>
              <w:t>1</w:t>
            </w:r>
            <w:r>
              <w:rPr>
                <w:rFonts w:hint="eastAsia" w:ascii="宋体" w:hAnsi="宋体" w:eastAsia="宋体" w:cs="宋体"/>
                <w:bCs/>
                <w:color w:val="auto"/>
                <w:sz w:val="21"/>
                <w:szCs w:val="21"/>
              </w:rPr>
              <w:t>）</w:t>
            </w:r>
            <w:bookmarkEnd w:id="184"/>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土壤</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bookmarkStart w:id="185" w:name="_Toc13342"/>
            <w:r>
              <w:rPr>
                <w:rFonts w:hint="eastAsia" w:ascii="宋体" w:hAnsi="宋体" w:eastAsia="宋体" w:cs="宋体"/>
                <w:bCs/>
                <w:color w:val="auto"/>
                <w:sz w:val="21"/>
                <w:szCs w:val="21"/>
              </w:rPr>
              <w:t>点次</w:t>
            </w:r>
            <w:bookmarkEnd w:id="185"/>
          </w:p>
        </w:tc>
        <w:tc>
          <w:tcPr>
            <w:tcW w:w="851"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23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446"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cs="宋体"/>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4</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大气环境监测</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点次</w:t>
            </w:r>
          </w:p>
        </w:tc>
        <w:tc>
          <w:tcPr>
            <w:tcW w:w="851"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1239"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40</w:t>
            </w:r>
          </w:p>
        </w:tc>
        <w:tc>
          <w:tcPr>
            <w:tcW w:w="1446"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109</w:t>
            </w:r>
          </w:p>
        </w:tc>
      </w:tr>
    </w:tbl>
    <w:p>
      <w:pPr>
        <w:spacing w:line="360" w:lineRule="auto"/>
        <w:ind w:firstLine="452" w:firstLineChars="150"/>
        <w:outlineLvl w:val="1"/>
        <w:rPr>
          <w:rFonts w:hint="eastAsia" w:ascii="宋体" w:hAnsi="宋体" w:eastAsia="宋体" w:cs="宋体"/>
          <w:b/>
          <w:color w:val="auto"/>
          <w:sz w:val="30"/>
          <w:szCs w:val="30"/>
        </w:rPr>
      </w:pPr>
      <w:bookmarkStart w:id="186" w:name="_Toc21763"/>
      <w:r>
        <w:rPr>
          <w:rFonts w:hint="eastAsia" w:ascii="宋体" w:hAnsi="宋体" w:eastAsia="宋体" w:cs="宋体"/>
          <w:b/>
          <w:color w:val="auto"/>
          <w:sz w:val="30"/>
          <w:szCs w:val="30"/>
        </w:rPr>
        <w:t>三、矿山地质环境治理工作年度安排</w:t>
      </w:r>
      <w:bookmarkEnd w:id="18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阶段目标是为了消除或减轻矿山环境问题及地质灾害的发生，通过采取相应的措施，达到保护矿山环境的目的。本矿山服务年限大于5年，因此以5年为一个阶段进行矿山地质环境治理工作安排，分阶段实施计划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color w:val="auto"/>
          <w:sz w:val="24"/>
          <w:szCs w:val="24"/>
        </w:rPr>
      </w:pPr>
      <w:r>
        <w:rPr>
          <w:rFonts w:hint="eastAsia" w:ascii="宋体" w:hAnsi="宋体" w:cs="宋体"/>
          <w:b/>
          <w:bCs/>
          <w:color w:val="auto"/>
          <w:sz w:val="24"/>
          <w:szCs w:val="24"/>
          <w:lang w:val="en-US" w:eastAsia="zh-CN"/>
        </w:rPr>
        <w:t>1、</w:t>
      </w:r>
      <w:r>
        <w:rPr>
          <w:rFonts w:hint="eastAsia" w:ascii="宋体" w:hAnsi="宋体" w:eastAsia="宋体" w:cs="宋体"/>
          <w:b/>
          <w:bCs/>
          <w:color w:val="auto"/>
          <w:sz w:val="24"/>
          <w:szCs w:val="24"/>
        </w:rPr>
        <w:t>5年期计划（202</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rPr>
        <w:t>年</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rPr>
        <w:t>月-20</w:t>
      </w:r>
      <w:r>
        <w:rPr>
          <w:rFonts w:hint="eastAsia" w:ascii="宋体" w:hAnsi="宋体" w:cs="宋体"/>
          <w:b/>
          <w:bCs/>
          <w:color w:val="auto"/>
          <w:sz w:val="24"/>
          <w:szCs w:val="24"/>
          <w:lang w:val="en-US" w:eastAsia="zh-CN"/>
        </w:rPr>
        <w:t>30</w:t>
      </w:r>
      <w:r>
        <w:rPr>
          <w:rFonts w:hint="eastAsia" w:ascii="宋体" w:hAnsi="宋体" w:eastAsia="宋体" w:cs="宋体"/>
          <w:b/>
          <w:bCs/>
          <w:color w:val="auto"/>
          <w:sz w:val="24"/>
          <w:szCs w:val="24"/>
        </w:rPr>
        <w:t>年</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rPr>
        <w:t>月）</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1</w:t>
      </w:r>
      <w:r>
        <w:rPr>
          <w:rFonts w:hint="eastAsia" w:ascii="宋体" w:hAnsi="宋体" w:cs="宋体"/>
          <w:color w:val="auto"/>
          <w:sz w:val="24"/>
          <w:szCs w:val="24"/>
          <w:lang w:eastAsia="zh-CN"/>
        </w:rPr>
        <w:t>）</w:t>
      </w:r>
      <w:r>
        <w:rPr>
          <w:rFonts w:hint="eastAsia" w:ascii="宋体" w:hAnsi="宋体" w:eastAsia="宋体" w:cs="宋体"/>
          <w:color w:val="auto"/>
          <w:sz w:val="24"/>
          <w:szCs w:val="24"/>
        </w:rPr>
        <w:t>完成</w:t>
      </w:r>
      <w:r>
        <w:rPr>
          <w:rFonts w:hint="eastAsia" w:ascii="宋体" w:hAnsi="宋体" w:cs="宋体"/>
          <w:color w:val="auto"/>
          <w:sz w:val="24"/>
          <w:szCs w:val="24"/>
          <w:lang w:val="en-US" w:eastAsia="zh-CN"/>
        </w:rPr>
        <w:t>规划</w:t>
      </w:r>
      <w:r>
        <w:rPr>
          <w:rFonts w:hint="eastAsia" w:ascii="宋体" w:hAnsi="宋体" w:eastAsia="宋体" w:cs="宋体"/>
          <w:color w:val="auto"/>
          <w:sz w:val="24"/>
          <w:szCs w:val="24"/>
        </w:rPr>
        <w:t>露天采场灾害点、入口处等警示牌的安装工作，设计警示牌</w:t>
      </w:r>
      <w:r>
        <w:rPr>
          <w:rFonts w:hint="eastAsia" w:ascii="宋体" w:hAnsi="宋体" w:cs="宋体"/>
          <w:color w:val="auto"/>
          <w:sz w:val="24"/>
          <w:szCs w:val="24"/>
          <w:lang w:val="en-US" w:eastAsia="zh-CN"/>
        </w:rPr>
        <w:t>16</w:t>
      </w:r>
      <w:r>
        <w:rPr>
          <w:rFonts w:hint="eastAsia" w:ascii="宋体" w:hAnsi="宋体" w:eastAsia="宋体" w:cs="宋体"/>
          <w:color w:val="auto"/>
          <w:sz w:val="24"/>
          <w:szCs w:val="24"/>
        </w:rPr>
        <w:t>个</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eastAsia="zh-CN"/>
        </w:rPr>
        <w:t>）</w:t>
      </w:r>
      <w:r>
        <w:rPr>
          <w:rFonts w:hint="eastAsia" w:ascii="宋体" w:hAnsi="宋体" w:eastAsia="宋体" w:cs="宋体"/>
          <w:color w:val="auto"/>
          <w:sz w:val="24"/>
          <w:szCs w:val="24"/>
        </w:rPr>
        <w:t>完成</w:t>
      </w:r>
      <w:r>
        <w:rPr>
          <w:rFonts w:hint="eastAsia" w:ascii="宋体" w:hAnsi="宋体" w:cs="宋体"/>
          <w:color w:val="auto"/>
          <w:sz w:val="24"/>
          <w:szCs w:val="24"/>
          <w:lang w:val="en-US" w:eastAsia="zh-CN"/>
        </w:rPr>
        <w:t>规划</w:t>
      </w:r>
      <w:r>
        <w:rPr>
          <w:rFonts w:hint="eastAsia" w:ascii="宋体" w:hAnsi="宋体" w:eastAsia="宋体" w:cs="宋体"/>
          <w:color w:val="auto"/>
          <w:sz w:val="24"/>
          <w:szCs w:val="24"/>
        </w:rPr>
        <w:t>露天采场外围5-10</w:t>
      </w:r>
      <w:r>
        <w:rPr>
          <w:rFonts w:hint="eastAsia" w:ascii="宋体" w:hAnsi="宋体" w:cs="宋体"/>
          <w:color w:val="auto"/>
          <w:sz w:val="24"/>
          <w:szCs w:val="24"/>
          <w:lang w:val="en-US" w:eastAsia="zh-CN"/>
        </w:rPr>
        <w:t>m</w:t>
      </w:r>
      <w:r>
        <w:rPr>
          <w:rFonts w:hint="eastAsia" w:ascii="宋体" w:hAnsi="宋体" w:eastAsia="宋体" w:cs="宋体"/>
          <w:color w:val="auto"/>
          <w:sz w:val="24"/>
          <w:szCs w:val="24"/>
        </w:rPr>
        <w:t>铁丝网的安装，预计安装铁丝网</w:t>
      </w:r>
      <w:r>
        <w:rPr>
          <w:rFonts w:hint="eastAsia" w:ascii="宋体" w:hAnsi="宋体" w:eastAsia="宋体" w:cs="宋体"/>
          <w:color w:val="auto"/>
          <w:sz w:val="24"/>
          <w:szCs w:val="24"/>
          <w:lang w:val="en-US" w:eastAsia="zh-CN"/>
        </w:rPr>
        <w:t>2630</w:t>
      </w:r>
      <w:r>
        <w:rPr>
          <w:rFonts w:hint="eastAsia" w:ascii="宋体" w:hAnsi="宋体" w:eastAsia="宋体" w:cs="宋体"/>
          <w:color w:val="auto"/>
          <w:sz w:val="24"/>
          <w:szCs w:val="24"/>
        </w:rPr>
        <w:t>米，水泥桩</w:t>
      </w:r>
      <w:r>
        <w:rPr>
          <w:rFonts w:hint="eastAsia" w:ascii="宋体" w:hAnsi="宋体" w:cs="宋体"/>
          <w:color w:val="auto"/>
          <w:sz w:val="24"/>
          <w:szCs w:val="24"/>
          <w:lang w:val="en-US" w:eastAsia="zh-CN"/>
        </w:rPr>
        <w:t>263</w:t>
      </w:r>
      <w:r>
        <w:rPr>
          <w:rFonts w:hint="eastAsia" w:ascii="宋体" w:hAnsi="宋体" w:eastAsia="宋体" w:cs="宋体"/>
          <w:color w:val="auto"/>
          <w:sz w:val="24"/>
          <w:szCs w:val="24"/>
        </w:rPr>
        <w:t>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eastAsia="zh-CN"/>
        </w:rPr>
        <w:t>）</w:t>
      </w:r>
      <w:r>
        <w:rPr>
          <w:rFonts w:hint="eastAsia" w:ascii="宋体" w:hAnsi="宋体" w:eastAsia="宋体" w:cs="宋体"/>
          <w:color w:val="auto"/>
          <w:sz w:val="24"/>
          <w:szCs w:val="24"/>
        </w:rPr>
        <w:t>生活垃圾集中堆放至垃圾箱内</w:t>
      </w:r>
      <w:r>
        <w:rPr>
          <w:rFonts w:hint="eastAsia" w:ascii="宋体" w:hAnsi="宋体" w:cs="宋体"/>
          <w:color w:val="auto"/>
          <w:sz w:val="24"/>
          <w:szCs w:val="24"/>
          <w:lang w:eastAsia="zh-CN"/>
        </w:rPr>
        <w:t>，</w:t>
      </w:r>
      <w:r>
        <w:rPr>
          <w:rFonts w:hint="eastAsia" w:ascii="宋体" w:hAnsi="宋体" w:eastAsia="宋体" w:cs="宋体"/>
          <w:color w:val="auto"/>
          <w:sz w:val="24"/>
          <w:szCs w:val="24"/>
        </w:rPr>
        <w:t>定期进行清运至</w:t>
      </w:r>
      <w:r>
        <w:rPr>
          <w:rFonts w:hint="eastAsia" w:ascii="宋体" w:hAnsi="宋体" w:cs="宋体"/>
          <w:color w:val="auto"/>
          <w:sz w:val="24"/>
          <w:szCs w:val="24"/>
          <w:lang w:val="en-US" w:eastAsia="zh-CN"/>
        </w:rPr>
        <w:t>垃圾处理站</w:t>
      </w:r>
      <w:r>
        <w:rPr>
          <w:rFonts w:hint="eastAsia" w:ascii="宋体" w:hAnsi="宋体" w:eastAsia="宋体" w:cs="宋体"/>
          <w:color w:val="auto"/>
          <w:sz w:val="24"/>
          <w:szCs w:val="24"/>
        </w:rPr>
        <w:t>统一处理</w:t>
      </w:r>
      <w:r>
        <w:rPr>
          <w:rFonts w:hint="eastAsia" w:ascii="宋体" w:hAnsi="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方案</w:t>
      </w:r>
      <w:r>
        <w:rPr>
          <w:rFonts w:hint="eastAsia" w:ascii="宋体" w:hAnsi="宋体" w:cs="宋体"/>
          <w:color w:val="auto"/>
          <w:sz w:val="24"/>
          <w:szCs w:val="24"/>
          <w:lang w:val="en-US" w:eastAsia="zh-CN"/>
        </w:rPr>
        <w:t>近期</w:t>
      </w:r>
      <w:r>
        <w:rPr>
          <w:rFonts w:hint="eastAsia" w:ascii="宋体" w:hAnsi="宋体" w:eastAsia="宋体" w:cs="宋体"/>
          <w:color w:val="auto"/>
          <w:sz w:val="24"/>
          <w:szCs w:val="24"/>
        </w:rPr>
        <w:t>5年内矿山地质环境治理主要工程量为：</w:t>
      </w:r>
      <w:r>
        <w:rPr>
          <w:rFonts w:hint="eastAsia" w:ascii="宋体" w:hAnsi="宋体" w:cs="宋体"/>
          <w:color w:val="auto"/>
          <w:sz w:val="24"/>
          <w:szCs w:val="24"/>
          <w:lang w:val="en-US" w:eastAsia="zh-CN"/>
        </w:rPr>
        <w:t>规划</w:t>
      </w:r>
      <w:r>
        <w:rPr>
          <w:rFonts w:hint="eastAsia" w:ascii="宋体" w:hAnsi="宋体" w:eastAsia="宋体" w:cs="宋体"/>
          <w:color w:val="auto"/>
          <w:sz w:val="24"/>
          <w:szCs w:val="24"/>
        </w:rPr>
        <w:t>露天采场设置警示牌</w:t>
      </w:r>
      <w:r>
        <w:rPr>
          <w:rFonts w:hint="eastAsia" w:ascii="宋体" w:hAnsi="宋体" w:cs="宋体"/>
          <w:color w:val="auto"/>
          <w:sz w:val="24"/>
          <w:szCs w:val="24"/>
          <w:lang w:val="en-US" w:eastAsia="zh-CN"/>
        </w:rPr>
        <w:t>16个</w:t>
      </w:r>
      <w:r>
        <w:rPr>
          <w:rFonts w:hint="eastAsia" w:ascii="宋体" w:hAnsi="宋体" w:eastAsia="宋体" w:cs="宋体"/>
          <w:color w:val="auto"/>
          <w:sz w:val="24"/>
          <w:szCs w:val="24"/>
        </w:rPr>
        <w:t>、铁丝网安装</w:t>
      </w:r>
      <w:r>
        <w:rPr>
          <w:rFonts w:hint="eastAsia" w:ascii="宋体" w:hAnsi="宋体" w:eastAsia="宋体" w:cs="宋体"/>
          <w:color w:val="auto"/>
          <w:sz w:val="24"/>
          <w:szCs w:val="24"/>
          <w:lang w:val="en-US" w:eastAsia="zh-CN"/>
        </w:rPr>
        <w:t>2630</w:t>
      </w:r>
      <w:r>
        <w:rPr>
          <w:rFonts w:hint="eastAsia" w:ascii="宋体" w:hAnsi="宋体" w:eastAsia="宋体" w:cs="宋体"/>
          <w:color w:val="auto"/>
          <w:sz w:val="24"/>
          <w:szCs w:val="24"/>
        </w:rPr>
        <w:t>米、水泥桩</w:t>
      </w:r>
      <w:r>
        <w:rPr>
          <w:rFonts w:hint="eastAsia" w:ascii="宋体" w:hAnsi="宋体" w:cs="宋体"/>
          <w:color w:val="auto"/>
          <w:sz w:val="24"/>
          <w:szCs w:val="24"/>
          <w:lang w:val="en-US" w:eastAsia="zh-CN"/>
        </w:rPr>
        <w:t>263</w:t>
      </w:r>
      <w:r>
        <w:rPr>
          <w:rFonts w:hint="eastAsia" w:ascii="宋体" w:hAnsi="宋体" w:eastAsia="宋体" w:cs="宋体"/>
          <w:color w:val="auto"/>
          <w:sz w:val="24"/>
          <w:szCs w:val="24"/>
        </w:rPr>
        <w:t>个</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rPr>
        <w:t>崩塌地质灾害防治监测</w:t>
      </w:r>
      <w:r>
        <w:rPr>
          <w:rFonts w:hint="eastAsia" w:ascii="宋体" w:hAnsi="宋体" w:cs="宋体"/>
          <w:color w:val="auto"/>
          <w:sz w:val="24"/>
          <w:szCs w:val="24"/>
          <w:lang w:val="en-US" w:eastAsia="zh-CN"/>
        </w:rPr>
        <w:t>180</w:t>
      </w:r>
      <w:r>
        <w:rPr>
          <w:rFonts w:hint="eastAsia" w:ascii="宋体" w:hAnsi="宋体" w:eastAsia="宋体" w:cs="宋体"/>
          <w:color w:val="auto"/>
          <w:sz w:val="24"/>
          <w:szCs w:val="24"/>
        </w:rPr>
        <w:t>次，地形地貌监测5次，土壤监测5次，大气环境监测20次。该阶段工作量详见表4-</w:t>
      </w:r>
      <w:r>
        <w:rPr>
          <w:rFonts w:hint="eastAsia" w:ascii="宋体" w:hAnsi="宋体" w:cs="宋体"/>
          <w:color w:val="auto"/>
          <w:sz w:val="24"/>
          <w:szCs w:val="24"/>
          <w:lang w:val="en-US" w:eastAsia="zh-CN"/>
        </w:rPr>
        <w:t>12</w:t>
      </w:r>
      <w:r>
        <w:rPr>
          <w:rFonts w:hint="eastAsia" w:ascii="宋体" w:hAnsi="宋体" w:eastAsia="宋体" w:cs="宋体"/>
          <w:color w:val="auto"/>
          <w:sz w:val="24"/>
          <w:szCs w:val="24"/>
        </w:rPr>
        <w:t>。</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w:t>
      </w:r>
      <w:r>
        <w:rPr>
          <w:rFonts w:hint="eastAsia" w:ascii="宋体" w:hAnsi="宋体" w:eastAsia="宋体" w:cs="宋体"/>
          <w:b/>
          <w:color w:val="auto"/>
          <w:sz w:val="21"/>
          <w:szCs w:val="21"/>
          <w:highlight w:val="none"/>
          <w:lang w:val="en-US" w:eastAsia="zh-CN"/>
        </w:rPr>
        <w:t xml:space="preserve">12      </w:t>
      </w:r>
      <w:r>
        <w:rPr>
          <w:rFonts w:hint="eastAsia" w:ascii="宋体" w:hAnsi="宋体" w:eastAsia="宋体" w:cs="宋体"/>
          <w:b/>
          <w:color w:val="auto"/>
          <w:sz w:val="21"/>
          <w:szCs w:val="21"/>
          <w:highlight w:val="none"/>
        </w:rPr>
        <w:t>近期</w:t>
      </w:r>
      <w:r>
        <w:rPr>
          <w:rFonts w:hint="eastAsia" w:ascii="宋体" w:hAnsi="宋体" w:eastAsia="宋体" w:cs="宋体"/>
          <w:b/>
          <w:color w:val="auto"/>
          <w:sz w:val="21"/>
          <w:szCs w:val="21"/>
          <w:highlight w:val="none"/>
          <w:lang w:val="en-US" w:eastAsia="zh-CN"/>
        </w:rPr>
        <w:t>5年</w:t>
      </w:r>
      <w:r>
        <w:rPr>
          <w:rFonts w:hint="eastAsia" w:ascii="宋体" w:hAnsi="宋体" w:eastAsia="宋体" w:cs="宋体"/>
          <w:b/>
          <w:color w:val="auto"/>
          <w:sz w:val="21"/>
          <w:szCs w:val="21"/>
          <w:highlight w:val="none"/>
        </w:rPr>
        <w:t>环境保护治理与</w:t>
      </w:r>
      <w:r>
        <w:rPr>
          <w:rFonts w:hint="eastAsia" w:ascii="宋体" w:hAnsi="宋体" w:eastAsia="宋体" w:cs="宋体"/>
          <w:b/>
          <w:color w:val="auto"/>
          <w:sz w:val="21"/>
          <w:szCs w:val="21"/>
          <w:highlight w:val="none"/>
          <w:lang w:val="en-US" w:eastAsia="zh-CN"/>
        </w:rPr>
        <w:t>监测</w:t>
      </w:r>
      <w:r>
        <w:rPr>
          <w:rFonts w:hint="eastAsia" w:ascii="宋体" w:hAnsi="宋体" w:eastAsia="宋体" w:cs="宋体"/>
          <w:b/>
          <w:color w:val="auto"/>
          <w:sz w:val="21"/>
          <w:szCs w:val="21"/>
          <w:highlight w:val="none"/>
        </w:rPr>
        <w:t>工作量</w:t>
      </w:r>
    </w:p>
    <w:tbl>
      <w:tblPr>
        <w:tblStyle w:val="53"/>
        <w:tblW w:w="88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4"/>
        <w:gridCol w:w="3693"/>
        <w:gridCol w:w="174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6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工程名称</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877"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一、矿山环境保护与地质灾害治理工程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警示牌</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铁丝围栏</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100米</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水泥桩</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877"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both"/>
              <w:rPr>
                <w:rFonts w:hint="eastAsia" w:ascii="宋体" w:hAnsi="宋体" w:eastAsia="宋体" w:cs="宋体"/>
                <w:b/>
                <w:bCs/>
                <w:color w:val="auto"/>
                <w:sz w:val="21"/>
                <w:szCs w:val="21"/>
              </w:rPr>
            </w:pPr>
            <w:r>
              <w:rPr>
                <w:rFonts w:hint="eastAsia" w:ascii="宋体" w:hAnsi="宋体" w:eastAsia="宋体" w:cs="宋体"/>
                <w:b/>
                <w:bCs/>
                <w:color w:val="auto"/>
                <w:sz w:val="21"/>
                <w:szCs w:val="21"/>
              </w:rPr>
              <w:t>二、矿山地质环境监测及维护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崩塌地质灾害监测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p>
        </w:tc>
        <w:tc>
          <w:tcPr>
            <w:tcW w:w="3693"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地形地貌监测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eastAsia="zh-CN"/>
              </w:rPr>
            </w:pPr>
            <w:r>
              <w:rPr>
                <w:rFonts w:hint="eastAsia" w:ascii="宋体" w:hAnsi="宋体" w:cs="宋体"/>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8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3693" w:type="dxa"/>
            <w:tcBorders>
              <w:top w:val="nil"/>
              <w:left w:val="single" w:color="auto" w:sz="4" w:space="0"/>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6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3693" w:type="dxa"/>
            <w:tcBorders>
              <w:top w:val="nil"/>
              <w:left w:val="single" w:color="auto" w:sz="4" w:space="0"/>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大气环境监测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r>
    </w:tbl>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月—202</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月前，完成</w:t>
      </w:r>
      <w:r>
        <w:rPr>
          <w:rFonts w:hint="eastAsia" w:ascii="宋体" w:hAnsi="宋体" w:eastAsia="宋体" w:cs="宋体"/>
          <w:color w:val="auto"/>
          <w:sz w:val="24"/>
          <w:szCs w:val="24"/>
          <w:lang w:val="en-US" w:eastAsia="zh-CN"/>
        </w:rPr>
        <w:t>规划</w:t>
      </w:r>
      <w:r>
        <w:rPr>
          <w:rFonts w:hint="eastAsia" w:ascii="宋体" w:hAnsi="宋体" w:eastAsia="宋体" w:cs="宋体"/>
          <w:color w:val="auto"/>
          <w:sz w:val="24"/>
          <w:szCs w:val="24"/>
        </w:rPr>
        <w:t>露天采场外围</w:t>
      </w:r>
      <w:r>
        <w:rPr>
          <w:rFonts w:hint="eastAsia" w:ascii="宋体" w:hAnsi="宋体" w:cs="宋体"/>
          <w:color w:val="auto"/>
          <w:sz w:val="24"/>
          <w:szCs w:val="24"/>
          <w:lang w:val="en-US" w:eastAsia="zh-CN"/>
        </w:rPr>
        <w:t>2630</w:t>
      </w:r>
      <w:r>
        <w:rPr>
          <w:rFonts w:hint="eastAsia" w:ascii="宋体" w:hAnsi="宋体" w:eastAsia="宋体" w:cs="宋体"/>
          <w:color w:val="auto"/>
          <w:sz w:val="24"/>
          <w:szCs w:val="24"/>
        </w:rPr>
        <w:t>米铁丝围栏和</w:t>
      </w:r>
      <w:r>
        <w:rPr>
          <w:rFonts w:hint="eastAsia" w:ascii="宋体" w:hAnsi="宋体" w:cs="宋体"/>
          <w:color w:val="auto"/>
          <w:sz w:val="24"/>
          <w:szCs w:val="24"/>
          <w:lang w:val="en-US" w:eastAsia="zh-CN"/>
        </w:rPr>
        <w:t>263</w:t>
      </w:r>
      <w:r>
        <w:rPr>
          <w:rFonts w:hint="eastAsia" w:ascii="宋体" w:hAnsi="宋体" w:eastAsia="宋体" w:cs="宋体"/>
          <w:color w:val="auto"/>
          <w:sz w:val="24"/>
          <w:szCs w:val="24"/>
        </w:rPr>
        <w:t>水泥桩布置，完成灾害预测地段、道路入口处</w:t>
      </w:r>
      <w:r>
        <w:rPr>
          <w:rFonts w:hint="eastAsia" w:ascii="宋体" w:hAnsi="宋体" w:cs="宋体"/>
          <w:color w:val="auto"/>
          <w:sz w:val="24"/>
          <w:szCs w:val="24"/>
          <w:lang w:val="en-US" w:eastAsia="zh-CN"/>
        </w:rPr>
        <w:t>16</w:t>
      </w:r>
      <w:r>
        <w:rPr>
          <w:rFonts w:hint="eastAsia" w:ascii="宋体" w:hAnsi="宋体" w:eastAsia="宋体" w:cs="宋体"/>
          <w:color w:val="auto"/>
          <w:sz w:val="24"/>
          <w:szCs w:val="24"/>
          <w:lang w:val="en-US" w:eastAsia="zh-CN"/>
        </w:rPr>
        <w:t>个</w:t>
      </w:r>
      <w:r>
        <w:rPr>
          <w:rFonts w:hint="eastAsia" w:ascii="宋体" w:hAnsi="宋体" w:eastAsia="宋体" w:cs="宋体"/>
          <w:color w:val="auto"/>
          <w:sz w:val="24"/>
          <w:szCs w:val="24"/>
        </w:rPr>
        <w:t>警示牌的安装。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月前，完成崩塌地质灾害防治监测</w:t>
      </w:r>
      <w:r>
        <w:rPr>
          <w:rFonts w:hint="eastAsia" w:ascii="宋体" w:hAnsi="宋体" w:cs="宋体"/>
          <w:color w:val="auto"/>
          <w:sz w:val="24"/>
          <w:szCs w:val="24"/>
          <w:lang w:val="en-US" w:eastAsia="zh-CN"/>
        </w:rPr>
        <w:t>36</w:t>
      </w:r>
      <w:r>
        <w:rPr>
          <w:rFonts w:hint="eastAsia" w:ascii="宋体" w:hAnsi="宋体" w:eastAsia="宋体" w:cs="宋体"/>
          <w:color w:val="auto"/>
          <w:sz w:val="24"/>
          <w:szCs w:val="24"/>
        </w:rPr>
        <w:t>次，地形地貌监测1次，土壤监测1次，大气环境监测2次。该阶段工作量详见表4-</w:t>
      </w:r>
      <w:r>
        <w:rPr>
          <w:rFonts w:hint="eastAsia" w:ascii="宋体" w:hAnsi="宋体" w:cs="宋体"/>
          <w:color w:val="auto"/>
          <w:sz w:val="24"/>
          <w:szCs w:val="24"/>
          <w:lang w:val="en-US" w:eastAsia="zh-CN"/>
        </w:rPr>
        <w:t>13</w:t>
      </w:r>
      <w:r>
        <w:rPr>
          <w:rFonts w:hint="eastAsia" w:ascii="宋体" w:hAnsi="宋体" w:eastAsia="宋体" w:cs="宋体"/>
          <w:color w:val="auto"/>
          <w:sz w:val="24"/>
          <w:szCs w:val="24"/>
        </w:rPr>
        <w:t>。</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w:t>
      </w:r>
      <w:r>
        <w:rPr>
          <w:rFonts w:hint="eastAsia" w:ascii="宋体" w:hAnsi="宋体" w:eastAsia="宋体" w:cs="宋体"/>
          <w:b/>
          <w:color w:val="auto"/>
          <w:sz w:val="21"/>
          <w:szCs w:val="21"/>
          <w:highlight w:val="none"/>
          <w:lang w:val="en-US" w:eastAsia="zh-CN"/>
        </w:rPr>
        <w:t xml:space="preserve">13    </w:t>
      </w:r>
      <w:r>
        <w:rPr>
          <w:rFonts w:hint="eastAsia" w:ascii="宋体" w:hAnsi="宋体" w:eastAsia="宋体" w:cs="宋体"/>
          <w:b/>
          <w:color w:val="auto"/>
          <w:sz w:val="21"/>
          <w:szCs w:val="21"/>
          <w:highlight w:val="none"/>
        </w:rPr>
        <w:t>202</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月—202</w:t>
      </w:r>
      <w:r>
        <w:rPr>
          <w:rFonts w:hint="eastAsia" w:ascii="宋体" w:hAnsi="宋体" w:eastAsia="宋体" w:cs="宋体"/>
          <w:b/>
          <w:color w:val="auto"/>
          <w:sz w:val="21"/>
          <w:szCs w:val="21"/>
          <w:highlight w:val="none"/>
          <w:lang w:val="en-US" w:eastAsia="zh-CN"/>
        </w:rPr>
        <w:t>6</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月环境保护治理与</w:t>
      </w:r>
      <w:r>
        <w:rPr>
          <w:rFonts w:hint="eastAsia" w:ascii="宋体" w:hAnsi="宋体" w:eastAsia="宋体" w:cs="宋体"/>
          <w:b/>
          <w:color w:val="auto"/>
          <w:sz w:val="21"/>
          <w:szCs w:val="21"/>
          <w:highlight w:val="none"/>
          <w:lang w:val="en-US" w:eastAsia="zh-CN"/>
        </w:rPr>
        <w:t>监测</w:t>
      </w:r>
      <w:r>
        <w:rPr>
          <w:rFonts w:hint="eastAsia" w:ascii="宋体" w:hAnsi="宋体" w:eastAsia="宋体" w:cs="宋体"/>
          <w:b/>
          <w:color w:val="auto"/>
          <w:sz w:val="21"/>
          <w:szCs w:val="21"/>
          <w:highlight w:val="none"/>
        </w:rPr>
        <w:t>工作量</w:t>
      </w:r>
    </w:p>
    <w:tbl>
      <w:tblPr>
        <w:tblStyle w:val="53"/>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3693"/>
        <w:gridCol w:w="1749"/>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trPr>
        <w:tc>
          <w:tcPr>
            <w:tcW w:w="174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工程名称</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8941"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一、矿山环境保护与地质灾害治理工程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74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警示牌</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74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铁丝围栏</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100米</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74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水泥桩</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175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8941"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二、矿山地质环境监测及维护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74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崩塌地质灾害监测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74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p>
        </w:tc>
        <w:tc>
          <w:tcPr>
            <w:tcW w:w="3693"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地形地貌监测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748"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3693" w:type="dxa"/>
            <w:tcBorders>
              <w:top w:val="nil"/>
              <w:left w:val="single" w:color="auto" w:sz="4" w:space="0"/>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174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4</w:t>
            </w:r>
          </w:p>
        </w:tc>
        <w:tc>
          <w:tcPr>
            <w:tcW w:w="3693" w:type="dxa"/>
            <w:tcBorders>
              <w:top w:val="nil"/>
              <w:left w:val="single" w:color="auto" w:sz="4" w:space="0"/>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大气环境监测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751"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r>
    </w:tbl>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2）202</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月前，完成崩塌地质灾害防治监测</w:t>
      </w:r>
      <w:r>
        <w:rPr>
          <w:rFonts w:hint="eastAsia" w:ascii="宋体" w:hAnsi="宋体" w:cs="宋体"/>
          <w:color w:val="auto"/>
          <w:sz w:val="24"/>
          <w:szCs w:val="24"/>
          <w:lang w:val="en-US" w:eastAsia="zh-CN"/>
        </w:rPr>
        <w:t>36</w:t>
      </w:r>
      <w:r>
        <w:rPr>
          <w:rFonts w:hint="eastAsia" w:ascii="宋体" w:hAnsi="宋体" w:eastAsia="宋体" w:cs="宋体"/>
          <w:color w:val="auto"/>
          <w:sz w:val="24"/>
          <w:szCs w:val="24"/>
        </w:rPr>
        <w:t>次，地形地貌监测1次，土壤监测1次，大气环境监测2次。该阶段工作量详见表4-</w:t>
      </w:r>
      <w:r>
        <w:rPr>
          <w:rFonts w:hint="eastAsia" w:ascii="宋体" w:hAnsi="宋体" w:cs="宋体"/>
          <w:color w:val="auto"/>
          <w:sz w:val="24"/>
          <w:szCs w:val="24"/>
          <w:lang w:val="en-US" w:eastAsia="zh-CN"/>
        </w:rPr>
        <w:t>14</w:t>
      </w:r>
      <w:r>
        <w:rPr>
          <w:rFonts w:hint="eastAsia" w:ascii="宋体" w:hAnsi="宋体" w:eastAsia="宋体" w:cs="宋体"/>
          <w:color w:val="auto"/>
          <w:sz w:val="24"/>
          <w:szCs w:val="24"/>
        </w:rPr>
        <w:t>。</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w:t>
      </w:r>
      <w:r>
        <w:rPr>
          <w:rFonts w:hint="eastAsia" w:ascii="宋体" w:hAnsi="宋体" w:eastAsia="宋体" w:cs="宋体"/>
          <w:b/>
          <w:color w:val="auto"/>
          <w:sz w:val="21"/>
          <w:szCs w:val="21"/>
          <w:highlight w:val="none"/>
          <w:lang w:val="en-US" w:eastAsia="zh-CN"/>
        </w:rPr>
        <w:t xml:space="preserve">14  </w:t>
      </w:r>
      <w:r>
        <w:rPr>
          <w:rFonts w:hint="eastAsia" w:ascii="宋体" w:hAnsi="宋体" w:eastAsia="宋体" w:cs="宋体"/>
          <w:b/>
          <w:color w:val="auto"/>
          <w:sz w:val="21"/>
          <w:szCs w:val="21"/>
          <w:highlight w:val="none"/>
        </w:rPr>
        <w:t xml:space="preserve"> 202</w:t>
      </w:r>
      <w:r>
        <w:rPr>
          <w:rFonts w:hint="eastAsia" w:ascii="宋体" w:hAnsi="宋体" w:eastAsia="宋体" w:cs="宋体"/>
          <w:b/>
          <w:color w:val="auto"/>
          <w:sz w:val="21"/>
          <w:szCs w:val="21"/>
          <w:highlight w:val="none"/>
          <w:lang w:val="en-US" w:eastAsia="zh-CN"/>
        </w:rPr>
        <w:t>6</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月—202</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月环境保护治理与</w:t>
      </w:r>
      <w:r>
        <w:rPr>
          <w:rFonts w:hint="eastAsia" w:ascii="宋体" w:hAnsi="宋体" w:eastAsia="宋体" w:cs="宋体"/>
          <w:b/>
          <w:color w:val="auto"/>
          <w:sz w:val="21"/>
          <w:szCs w:val="21"/>
          <w:highlight w:val="none"/>
          <w:lang w:val="en-US" w:eastAsia="zh-CN"/>
        </w:rPr>
        <w:t>监测</w:t>
      </w:r>
      <w:r>
        <w:rPr>
          <w:rFonts w:hint="eastAsia" w:ascii="宋体" w:hAnsi="宋体" w:eastAsia="宋体" w:cs="宋体"/>
          <w:b/>
          <w:color w:val="auto"/>
          <w:sz w:val="21"/>
          <w:szCs w:val="21"/>
          <w:highlight w:val="none"/>
        </w:rPr>
        <w:t>工作量</w:t>
      </w:r>
    </w:p>
    <w:tbl>
      <w:tblPr>
        <w:tblStyle w:val="53"/>
        <w:tblW w:w="8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3693"/>
        <w:gridCol w:w="1749"/>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工程名称</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430"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二、矿山地质环境监测及维护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崩塌地质灾害监测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地形地貌监测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大气环境监测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p>
        </w:tc>
      </w:tr>
    </w:tbl>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3）202</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月—202</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月前，完成崩塌地质灾害防治监测</w:t>
      </w:r>
      <w:r>
        <w:rPr>
          <w:rFonts w:hint="eastAsia" w:ascii="宋体" w:hAnsi="宋体" w:cs="宋体"/>
          <w:color w:val="auto"/>
          <w:sz w:val="24"/>
          <w:szCs w:val="24"/>
          <w:lang w:val="en-US" w:eastAsia="zh-CN"/>
        </w:rPr>
        <w:t>36</w:t>
      </w:r>
      <w:r>
        <w:rPr>
          <w:rFonts w:hint="eastAsia" w:ascii="宋体" w:hAnsi="宋体" w:eastAsia="宋体" w:cs="宋体"/>
          <w:color w:val="auto"/>
          <w:sz w:val="24"/>
          <w:szCs w:val="24"/>
        </w:rPr>
        <w:t>次，地形地貌监测1次，土壤监测1次，大气环境监测2次。该阶段工作量详见表4-</w:t>
      </w:r>
      <w:r>
        <w:rPr>
          <w:rFonts w:hint="eastAsia" w:ascii="宋体" w:hAnsi="宋体" w:cs="宋体"/>
          <w:color w:val="auto"/>
          <w:sz w:val="24"/>
          <w:szCs w:val="24"/>
          <w:lang w:val="en-US" w:eastAsia="zh-CN"/>
        </w:rPr>
        <w:t>15</w:t>
      </w:r>
      <w:r>
        <w:rPr>
          <w:rFonts w:hint="eastAsia" w:ascii="宋体" w:hAnsi="宋体" w:eastAsia="宋体" w:cs="宋体"/>
          <w:color w:val="auto"/>
          <w:sz w:val="24"/>
          <w:szCs w:val="24"/>
        </w:rPr>
        <w:t>。</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w:t>
      </w:r>
      <w:r>
        <w:rPr>
          <w:rFonts w:hint="eastAsia" w:ascii="宋体" w:hAnsi="宋体" w:eastAsia="宋体" w:cs="宋体"/>
          <w:b/>
          <w:color w:val="auto"/>
          <w:sz w:val="21"/>
          <w:szCs w:val="21"/>
          <w:highlight w:val="none"/>
          <w:lang w:val="en-US" w:eastAsia="zh-CN"/>
        </w:rPr>
        <w:t xml:space="preserve">15  </w:t>
      </w:r>
      <w:r>
        <w:rPr>
          <w:rFonts w:hint="eastAsia" w:ascii="宋体" w:hAnsi="宋体" w:eastAsia="宋体" w:cs="宋体"/>
          <w:b/>
          <w:color w:val="auto"/>
          <w:sz w:val="21"/>
          <w:szCs w:val="21"/>
          <w:highlight w:val="none"/>
        </w:rPr>
        <w:t xml:space="preserve"> 202</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月—202</w:t>
      </w:r>
      <w:r>
        <w:rPr>
          <w:rFonts w:hint="eastAsia" w:ascii="宋体" w:hAnsi="宋体" w:eastAsia="宋体" w:cs="宋体"/>
          <w:b/>
          <w:color w:val="auto"/>
          <w:sz w:val="21"/>
          <w:szCs w:val="21"/>
          <w:highlight w:val="none"/>
          <w:lang w:val="en-US" w:eastAsia="zh-CN"/>
        </w:rPr>
        <w:t>8</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月环境保护治理与土地复垦工作量</w:t>
      </w:r>
    </w:p>
    <w:tbl>
      <w:tblPr>
        <w:tblStyle w:val="53"/>
        <w:tblW w:w="8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3693"/>
        <w:gridCol w:w="1749"/>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工程名称</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430"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二、矿山地质环境监测及维护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崩塌地质灾害监测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地形地貌监测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大气环境监测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p>
        </w:tc>
      </w:tr>
    </w:tbl>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4）202</w:t>
      </w:r>
      <w:r>
        <w:rPr>
          <w:rFonts w:hint="eastAsia" w:ascii="宋体" w:hAnsi="宋体" w:cs="宋体"/>
          <w:color w:val="auto"/>
          <w:sz w:val="24"/>
          <w:szCs w:val="24"/>
          <w:lang w:val="en-US" w:eastAsia="zh-CN"/>
        </w:rPr>
        <w:t>8</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月—202</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月前，完成崩塌地质灾害防治监测</w:t>
      </w:r>
      <w:r>
        <w:rPr>
          <w:rFonts w:hint="eastAsia" w:ascii="宋体" w:hAnsi="宋体" w:cs="宋体"/>
          <w:color w:val="auto"/>
          <w:sz w:val="24"/>
          <w:szCs w:val="24"/>
          <w:lang w:val="en-US" w:eastAsia="zh-CN"/>
        </w:rPr>
        <w:t>36</w:t>
      </w:r>
      <w:r>
        <w:rPr>
          <w:rFonts w:hint="eastAsia" w:ascii="宋体" w:hAnsi="宋体" w:eastAsia="宋体" w:cs="宋体"/>
          <w:color w:val="auto"/>
          <w:sz w:val="24"/>
          <w:szCs w:val="24"/>
        </w:rPr>
        <w:t>次，地形地貌监测1次，土壤监测1次，大气环境监测2次。该阶段工作量详见表4-</w:t>
      </w:r>
      <w:r>
        <w:rPr>
          <w:rFonts w:hint="eastAsia" w:ascii="宋体" w:hAnsi="宋体" w:cs="宋体"/>
          <w:color w:val="auto"/>
          <w:sz w:val="24"/>
          <w:szCs w:val="24"/>
          <w:lang w:val="en-US" w:eastAsia="zh-CN"/>
        </w:rPr>
        <w:t>16</w:t>
      </w:r>
      <w:r>
        <w:rPr>
          <w:rFonts w:hint="eastAsia" w:ascii="宋体" w:hAnsi="宋体" w:eastAsia="宋体" w:cs="宋体"/>
          <w:color w:val="auto"/>
          <w:sz w:val="24"/>
          <w:szCs w:val="24"/>
        </w:rPr>
        <w:t>。</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w:t>
      </w:r>
      <w:r>
        <w:rPr>
          <w:rFonts w:hint="eastAsia" w:ascii="宋体" w:hAnsi="宋体" w:eastAsia="宋体" w:cs="宋体"/>
          <w:b/>
          <w:color w:val="auto"/>
          <w:sz w:val="21"/>
          <w:szCs w:val="21"/>
          <w:highlight w:val="none"/>
          <w:lang w:val="en-US" w:eastAsia="zh-CN"/>
        </w:rPr>
        <w:t xml:space="preserve">16  </w:t>
      </w:r>
      <w:r>
        <w:rPr>
          <w:rFonts w:hint="eastAsia" w:ascii="宋体" w:hAnsi="宋体" w:eastAsia="宋体" w:cs="宋体"/>
          <w:b/>
          <w:color w:val="auto"/>
          <w:sz w:val="21"/>
          <w:szCs w:val="21"/>
          <w:highlight w:val="none"/>
        </w:rPr>
        <w:t xml:space="preserve"> 202</w:t>
      </w:r>
      <w:r>
        <w:rPr>
          <w:rFonts w:hint="eastAsia" w:ascii="宋体" w:hAnsi="宋体" w:eastAsia="宋体" w:cs="宋体"/>
          <w:b/>
          <w:color w:val="auto"/>
          <w:sz w:val="21"/>
          <w:szCs w:val="21"/>
          <w:highlight w:val="none"/>
          <w:lang w:val="en-US" w:eastAsia="zh-CN"/>
        </w:rPr>
        <w:t>8</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月—202</w:t>
      </w:r>
      <w:r>
        <w:rPr>
          <w:rFonts w:hint="eastAsia" w:ascii="宋体" w:hAnsi="宋体" w:eastAsia="宋体" w:cs="宋体"/>
          <w:b/>
          <w:color w:val="auto"/>
          <w:sz w:val="21"/>
          <w:szCs w:val="21"/>
          <w:highlight w:val="none"/>
          <w:lang w:val="en-US" w:eastAsia="zh-CN"/>
        </w:rPr>
        <w:t>9</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月环境保护治理与</w:t>
      </w:r>
      <w:r>
        <w:rPr>
          <w:rFonts w:hint="eastAsia" w:ascii="宋体" w:hAnsi="宋体" w:eastAsia="宋体" w:cs="宋体"/>
          <w:b/>
          <w:color w:val="auto"/>
          <w:sz w:val="21"/>
          <w:szCs w:val="21"/>
          <w:highlight w:val="none"/>
          <w:lang w:val="en-US" w:eastAsia="zh-CN"/>
        </w:rPr>
        <w:t>监测</w:t>
      </w:r>
      <w:r>
        <w:rPr>
          <w:rFonts w:hint="eastAsia" w:ascii="宋体" w:hAnsi="宋体" w:eastAsia="宋体" w:cs="宋体"/>
          <w:b/>
          <w:color w:val="auto"/>
          <w:sz w:val="21"/>
          <w:szCs w:val="21"/>
          <w:highlight w:val="none"/>
        </w:rPr>
        <w:t>工作量</w:t>
      </w:r>
    </w:p>
    <w:tbl>
      <w:tblPr>
        <w:tblStyle w:val="53"/>
        <w:tblW w:w="8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3693"/>
        <w:gridCol w:w="1749"/>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工程名称</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430"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二、矿山地质环境监测及维护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崩塌地质灾害监测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地形地貌监测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大气环境监测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p>
        </w:tc>
      </w:tr>
    </w:tbl>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5）202</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w:t>
      </w:r>
      <w:r>
        <w:rPr>
          <w:rFonts w:hint="eastAsia" w:ascii="宋体" w:hAnsi="宋体" w:cs="宋体"/>
          <w:color w:val="auto"/>
          <w:sz w:val="24"/>
          <w:szCs w:val="24"/>
          <w:lang w:val="en-US" w:eastAsia="zh-CN"/>
        </w:rPr>
        <w:t>30</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202</w:t>
      </w:r>
      <w:r>
        <w:rPr>
          <w:rFonts w:hint="eastAsia" w:ascii="宋体" w:hAnsi="宋体" w:cs="宋体"/>
          <w:color w:val="auto"/>
          <w:sz w:val="24"/>
          <w:szCs w:val="24"/>
          <w:lang w:val="en-US" w:eastAsia="zh-CN"/>
        </w:rPr>
        <w:t>9</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月前，完成崩塌地质灾害防治监测</w:t>
      </w:r>
      <w:r>
        <w:rPr>
          <w:rFonts w:hint="eastAsia" w:ascii="宋体" w:hAnsi="宋体" w:cs="宋体"/>
          <w:color w:val="auto"/>
          <w:sz w:val="24"/>
          <w:szCs w:val="24"/>
          <w:lang w:val="en-US" w:eastAsia="zh-CN"/>
        </w:rPr>
        <w:t>36</w:t>
      </w:r>
      <w:r>
        <w:rPr>
          <w:rFonts w:hint="eastAsia" w:ascii="宋体" w:hAnsi="宋体" w:eastAsia="宋体" w:cs="宋体"/>
          <w:color w:val="auto"/>
          <w:sz w:val="24"/>
          <w:szCs w:val="24"/>
        </w:rPr>
        <w:t>次，地形地貌监测1次，土壤监测1次，大气环境监测2次。该阶段工作量详见表4-</w:t>
      </w:r>
      <w:r>
        <w:rPr>
          <w:rFonts w:hint="eastAsia" w:ascii="宋体" w:hAnsi="宋体" w:cs="宋体"/>
          <w:color w:val="auto"/>
          <w:sz w:val="24"/>
          <w:szCs w:val="24"/>
          <w:lang w:val="en-US" w:eastAsia="zh-CN"/>
        </w:rPr>
        <w:t>17</w:t>
      </w:r>
      <w:r>
        <w:rPr>
          <w:rFonts w:hint="eastAsia" w:ascii="宋体" w:hAnsi="宋体" w:eastAsia="宋体" w:cs="宋体"/>
          <w:color w:val="auto"/>
          <w:sz w:val="24"/>
          <w:szCs w:val="24"/>
        </w:rPr>
        <w:t>。</w:t>
      </w:r>
    </w:p>
    <w:p>
      <w:pPr>
        <w:tabs>
          <w:tab w:val="left" w:pos="4063"/>
        </w:tabs>
        <w:spacing w:before="26"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表4-</w:t>
      </w:r>
      <w:r>
        <w:rPr>
          <w:rFonts w:hint="eastAsia" w:ascii="宋体" w:hAnsi="宋体" w:eastAsia="宋体" w:cs="宋体"/>
          <w:b/>
          <w:color w:val="auto"/>
          <w:sz w:val="21"/>
          <w:szCs w:val="21"/>
          <w:highlight w:val="none"/>
          <w:lang w:val="en-US" w:eastAsia="zh-CN"/>
        </w:rPr>
        <w:t xml:space="preserve">17  </w:t>
      </w:r>
      <w:r>
        <w:rPr>
          <w:rFonts w:hint="eastAsia" w:ascii="宋体" w:hAnsi="宋体" w:eastAsia="宋体" w:cs="宋体"/>
          <w:b/>
          <w:color w:val="auto"/>
          <w:sz w:val="21"/>
          <w:szCs w:val="21"/>
          <w:highlight w:val="none"/>
        </w:rPr>
        <w:t xml:space="preserve"> 202</w:t>
      </w:r>
      <w:r>
        <w:rPr>
          <w:rFonts w:hint="eastAsia" w:ascii="宋体" w:hAnsi="宋体" w:eastAsia="宋体" w:cs="宋体"/>
          <w:b/>
          <w:color w:val="auto"/>
          <w:sz w:val="21"/>
          <w:szCs w:val="21"/>
          <w:highlight w:val="none"/>
          <w:lang w:val="en-US" w:eastAsia="zh-CN"/>
        </w:rPr>
        <w:t>9</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月—20</w:t>
      </w:r>
      <w:r>
        <w:rPr>
          <w:rFonts w:hint="eastAsia" w:ascii="宋体" w:hAnsi="宋体" w:eastAsia="宋体" w:cs="宋体"/>
          <w:b/>
          <w:color w:val="auto"/>
          <w:sz w:val="21"/>
          <w:szCs w:val="21"/>
          <w:highlight w:val="none"/>
          <w:lang w:val="en-US" w:eastAsia="zh-CN"/>
        </w:rPr>
        <w:t>30</w:t>
      </w:r>
      <w:r>
        <w:rPr>
          <w:rFonts w:hint="eastAsia" w:ascii="宋体" w:hAnsi="宋体" w:eastAsia="宋体" w:cs="宋体"/>
          <w:b/>
          <w:color w:val="auto"/>
          <w:sz w:val="21"/>
          <w:szCs w:val="21"/>
          <w:highlight w:val="none"/>
        </w:rPr>
        <w:t>年</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月环境保护治理与土地复垦工作量</w:t>
      </w:r>
    </w:p>
    <w:tbl>
      <w:tblPr>
        <w:tblStyle w:val="53"/>
        <w:tblW w:w="84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3693"/>
        <w:gridCol w:w="1749"/>
        <w:gridCol w:w="1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工程名称</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430"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left"/>
              <w:rPr>
                <w:rFonts w:hint="eastAsia" w:ascii="宋体" w:hAnsi="宋体" w:eastAsia="宋体" w:cs="宋体"/>
                <w:b/>
                <w:bCs/>
                <w:color w:val="auto"/>
                <w:sz w:val="21"/>
                <w:szCs w:val="21"/>
              </w:rPr>
            </w:pPr>
            <w:r>
              <w:rPr>
                <w:rFonts w:hint="eastAsia" w:ascii="宋体" w:hAnsi="宋体" w:eastAsia="宋体" w:cs="宋体"/>
                <w:b/>
                <w:bCs/>
                <w:color w:val="auto"/>
                <w:sz w:val="21"/>
                <w:szCs w:val="21"/>
              </w:rPr>
              <w:t>二、矿山地质环境监测及维护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崩塌地质灾害监测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p>
        </w:tc>
        <w:tc>
          <w:tcPr>
            <w:tcW w:w="36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地形地貌监测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3</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36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大气环境监测</w:t>
            </w:r>
          </w:p>
        </w:tc>
        <w:tc>
          <w:tcPr>
            <w:tcW w:w="174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59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p>
        </w:tc>
      </w:tr>
    </w:tbl>
    <w:p>
      <w:pPr>
        <w:widowControl w:val="0"/>
        <w:spacing w:line="360" w:lineRule="auto"/>
        <w:ind w:firstLine="480" w:firstLineChars="200"/>
        <w:jc w:val="both"/>
        <w:rPr>
          <w:rFonts w:hint="eastAsia" w:ascii="宋体" w:hAnsi="宋体" w:eastAsia="宋体" w:cs="宋体"/>
          <w:color w:val="auto"/>
          <w:sz w:val="24"/>
          <w:szCs w:val="24"/>
        </w:rPr>
      </w:pPr>
    </w:p>
    <w:p>
      <w:pPr>
        <w:pStyle w:val="131"/>
        <w:ind w:firstLine="480"/>
        <w:rPr>
          <w:rFonts w:hint="eastAsia" w:ascii="宋体" w:hAnsi="宋体" w:eastAsia="宋体" w:cs="宋体"/>
          <w:color w:val="auto"/>
        </w:rPr>
      </w:pPr>
      <w:bookmarkStart w:id="187" w:name="_Toc24260"/>
      <w:bookmarkStart w:id="188" w:name="_Toc19453"/>
      <w:bookmarkStart w:id="189" w:name="_Toc12823"/>
      <w:bookmarkStart w:id="190" w:name="_Toc12443"/>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pStyle w:val="131"/>
        <w:ind w:firstLine="480"/>
        <w:rPr>
          <w:rFonts w:hint="eastAsia" w:ascii="宋体" w:hAnsi="宋体" w:eastAsia="宋体" w:cs="宋体"/>
          <w:color w:val="auto"/>
        </w:rPr>
      </w:pPr>
    </w:p>
    <w:p>
      <w:pPr>
        <w:rPr>
          <w:rFonts w:hint="eastAsia" w:ascii="宋体" w:hAnsi="宋体" w:eastAsia="宋体" w:cs="宋体"/>
          <w:b/>
          <w:bCs w:val="0"/>
          <w:color w:val="auto"/>
        </w:rPr>
      </w:pPr>
      <w:r>
        <w:rPr>
          <w:rFonts w:hint="eastAsia" w:ascii="宋体" w:hAnsi="宋体" w:eastAsia="宋体" w:cs="宋体"/>
          <w:b/>
          <w:bCs w:val="0"/>
          <w:color w:val="auto"/>
        </w:rPr>
        <w:br w:type="page"/>
      </w:r>
    </w:p>
    <w:p>
      <w:pPr>
        <w:pStyle w:val="2"/>
        <w:spacing w:before="360" w:beforeLines="150" w:after="240" w:afterLines="100" w:afterAutospacing="0" w:line="360" w:lineRule="auto"/>
        <w:jc w:val="center"/>
        <w:rPr>
          <w:rFonts w:hint="eastAsia" w:ascii="宋体" w:hAnsi="宋体" w:eastAsia="宋体" w:cs="宋体"/>
          <w:b/>
          <w:bCs w:val="0"/>
          <w:color w:val="auto"/>
        </w:rPr>
      </w:pPr>
      <w:bookmarkStart w:id="191" w:name="_Toc13688"/>
      <w:r>
        <w:rPr>
          <w:rFonts w:hint="eastAsia" w:ascii="宋体" w:hAnsi="宋体" w:eastAsia="宋体" w:cs="宋体"/>
          <w:b/>
          <w:bCs w:val="0"/>
          <w:color w:val="auto"/>
        </w:rPr>
        <w:t>第五章  矿山土地复垦</w:t>
      </w:r>
      <w:bookmarkEnd w:id="187"/>
      <w:bookmarkEnd w:id="188"/>
      <w:bookmarkEnd w:id="189"/>
      <w:bookmarkEnd w:id="190"/>
      <w:bookmarkEnd w:id="191"/>
    </w:p>
    <w:p>
      <w:pPr>
        <w:spacing w:line="360" w:lineRule="auto"/>
        <w:ind w:firstLine="602" w:firstLineChars="200"/>
        <w:outlineLvl w:val="1"/>
        <w:rPr>
          <w:rFonts w:hint="eastAsia" w:ascii="宋体" w:hAnsi="宋体" w:eastAsia="宋体" w:cs="宋体"/>
          <w:b/>
          <w:color w:val="auto"/>
          <w:sz w:val="30"/>
          <w:szCs w:val="30"/>
        </w:rPr>
      </w:pPr>
      <w:bookmarkStart w:id="192" w:name="_Toc26609"/>
      <w:bookmarkStart w:id="193" w:name="_Toc9518"/>
      <w:bookmarkStart w:id="194" w:name="_Toc6934"/>
      <w:bookmarkStart w:id="195" w:name="_Toc532760456"/>
      <w:bookmarkStart w:id="196" w:name="_Toc19528"/>
      <w:bookmarkStart w:id="197" w:name="_Toc14736"/>
      <w:bookmarkStart w:id="198" w:name="_Toc31646"/>
      <w:bookmarkStart w:id="199" w:name="_Toc7647"/>
      <w:r>
        <w:rPr>
          <w:rFonts w:hint="eastAsia" w:ascii="宋体" w:hAnsi="宋体" w:eastAsia="宋体" w:cs="宋体"/>
          <w:b/>
          <w:color w:val="auto"/>
          <w:sz w:val="30"/>
          <w:szCs w:val="30"/>
        </w:rPr>
        <w:t>一、矿山</w:t>
      </w:r>
      <w:bookmarkEnd w:id="192"/>
      <w:bookmarkEnd w:id="193"/>
      <w:bookmarkEnd w:id="194"/>
      <w:bookmarkEnd w:id="195"/>
      <w:bookmarkEnd w:id="196"/>
      <w:r>
        <w:rPr>
          <w:rFonts w:hint="eastAsia" w:ascii="宋体" w:hAnsi="宋体" w:eastAsia="宋体" w:cs="宋体"/>
          <w:b/>
          <w:color w:val="auto"/>
          <w:sz w:val="30"/>
          <w:szCs w:val="30"/>
        </w:rPr>
        <w:t>土地复垦区与复垦责任范围</w:t>
      </w:r>
      <w:bookmarkEnd w:id="197"/>
    </w:p>
    <w:bookmarkEnd w:id="198"/>
    <w:bookmarkEnd w:id="199"/>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（一）土地复垦区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依据前述土地损毁分析与预测结果，结合项目区实际情况，按照《土地复垦方案编制规程 第1部分：通则》（TD/T1031.1-2011）对复垦区的定义：“生产建设项目损毁土地和永久性建设用地构成的区域”。对于本项目来说，复垦区为矿山损毁土地，主要为规划露天采场、规划</w:t>
      </w:r>
      <w:r>
        <w:rPr>
          <w:rFonts w:hint="eastAsia" w:ascii="宋体" w:hAnsi="宋体" w:cs="宋体"/>
          <w:color w:val="auto"/>
          <w:sz w:val="24"/>
          <w:szCs w:val="24"/>
          <w:lang w:val="en-US" w:eastAsia="zh-CN"/>
        </w:rPr>
        <w:t>排土</w:t>
      </w:r>
      <w:r>
        <w:rPr>
          <w:rFonts w:hint="eastAsia" w:ascii="宋体" w:hAnsi="宋体" w:eastAsia="宋体" w:cs="宋体"/>
          <w:color w:val="auto"/>
          <w:sz w:val="24"/>
          <w:szCs w:val="24"/>
        </w:rPr>
        <w:t>场、</w:t>
      </w:r>
      <w:r>
        <w:rPr>
          <w:rFonts w:hint="eastAsia" w:ascii="宋体" w:hAnsi="宋体" w:cs="宋体"/>
          <w:color w:val="auto"/>
          <w:sz w:val="24"/>
          <w:szCs w:val="24"/>
          <w:lang w:val="en-US" w:eastAsia="zh-CN"/>
        </w:rPr>
        <w:t>规划生活区、</w:t>
      </w:r>
      <w:r>
        <w:rPr>
          <w:rFonts w:hint="eastAsia" w:ascii="宋体" w:hAnsi="宋体" w:eastAsia="宋体" w:cs="宋体"/>
          <w:color w:val="auto"/>
          <w:sz w:val="24"/>
          <w:szCs w:val="24"/>
        </w:rPr>
        <w:t>规划矿山道路等，面积</w:t>
      </w:r>
      <w:r>
        <w:rPr>
          <w:rFonts w:hint="eastAsia" w:ascii="宋体" w:hAnsi="宋体" w:cs="宋体"/>
          <w:color w:val="auto"/>
          <w:kern w:val="2"/>
          <w:sz w:val="24"/>
          <w:szCs w:val="24"/>
          <w:lang w:val="en-US" w:eastAsia="zh-CN"/>
        </w:rPr>
        <w:t>****公顷</w:t>
      </w:r>
      <w:r>
        <w:rPr>
          <w:rFonts w:hint="eastAsia" w:ascii="宋体" w:hAnsi="宋体" w:eastAsia="宋体" w:cs="宋体"/>
          <w:color w:val="auto"/>
          <w:kern w:val="2"/>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因此，确定本方案复垦区=矿山损毁土地=</w:t>
      </w:r>
      <w:r>
        <w:rPr>
          <w:rFonts w:hint="eastAsia" w:ascii="宋体" w:hAnsi="宋体" w:cs="宋体"/>
          <w:color w:val="auto"/>
          <w:kern w:val="2"/>
          <w:sz w:val="24"/>
          <w:szCs w:val="24"/>
          <w:lang w:val="en-US" w:eastAsia="zh-CN"/>
        </w:rPr>
        <w:t>****</w:t>
      </w:r>
      <w:r>
        <w:rPr>
          <w:rFonts w:hint="eastAsia" w:ascii="宋体" w:hAnsi="宋体" w:eastAsia="宋体" w:cs="宋体"/>
          <w:color w:val="auto"/>
          <w:kern w:val="2"/>
          <w:sz w:val="24"/>
          <w:szCs w:val="24"/>
        </w:rPr>
        <w:t>hm</w:t>
      </w:r>
      <w:r>
        <w:rPr>
          <w:rFonts w:hint="eastAsia" w:ascii="宋体" w:hAnsi="宋体" w:eastAsia="宋体" w:cs="宋体"/>
          <w:color w:val="auto"/>
          <w:kern w:val="2"/>
          <w:sz w:val="24"/>
          <w:szCs w:val="24"/>
          <w:vertAlign w:val="superscript"/>
        </w:rPr>
        <w:t>2</w:t>
      </w:r>
      <w:r>
        <w:rPr>
          <w:rFonts w:hint="eastAsia" w:ascii="宋体" w:hAnsi="宋体" w:eastAsia="宋体" w:cs="宋体"/>
          <w:color w:val="auto"/>
          <w:sz w:val="24"/>
          <w:szCs w:val="24"/>
        </w:rPr>
        <w:t>。复垦区范围统计详见表5-1。</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表5-1   土地复垦区范围统计表</w:t>
      </w:r>
    </w:p>
    <w:tbl>
      <w:tblPr>
        <w:tblStyle w:val="53"/>
        <w:tblW w:w="899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396"/>
        <w:gridCol w:w="1835"/>
        <w:gridCol w:w="1508"/>
        <w:gridCol w:w="1430"/>
        <w:gridCol w:w="1098"/>
        <w:gridCol w:w="1062"/>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w:t>
            </w:r>
          </w:p>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时序</w:t>
            </w:r>
          </w:p>
        </w:tc>
        <w:tc>
          <w:tcPr>
            <w:tcW w:w="396"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序号</w:t>
            </w:r>
          </w:p>
        </w:tc>
        <w:tc>
          <w:tcPr>
            <w:tcW w:w="1835"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损毁单元</w:t>
            </w:r>
          </w:p>
        </w:tc>
        <w:tc>
          <w:tcPr>
            <w:tcW w:w="1508"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损毁面积</w:t>
            </w:r>
          </w:p>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（hm</w:t>
            </w:r>
            <w:r>
              <w:rPr>
                <w:rFonts w:hint="eastAsia" w:ascii="宋体" w:hAnsi="宋体" w:eastAsia="宋体" w:cs="宋体"/>
                <w:b/>
                <w:bCs/>
                <w:color w:val="auto"/>
                <w:kern w:val="2"/>
                <w:sz w:val="21"/>
                <w:szCs w:val="21"/>
                <w:vertAlign w:val="superscript"/>
              </w:rPr>
              <w:t>2</w:t>
            </w:r>
            <w:r>
              <w:rPr>
                <w:rFonts w:hint="eastAsia" w:ascii="宋体" w:hAnsi="宋体" w:eastAsia="宋体" w:cs="宋体"/>
                <w:b/>
                <w:bCs/>
                <w:color w:val="auto"/>
                <w:kern w:val="2"/>
                <w:sz w:val="21"/>
                <w:szCs w:val="21"/>
              </w:rPr>
              <w:t>）</w:t>
            </w:r>
          </w:p>
        </w:tc>
        <w:tc>
          <w:tcPr>
            <w:tcW w:w="1430"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w:t>
            </w:r>
          </w:p>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地类</w:t>
            </w:r>
          </w:p>
        </w:tc>
        <w:tc>
          <w:tcPr>
            <w:tcW w:w="1098"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w:t>
            </w:r>
          </w:p>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方式</w:t>
            </w:r>
          </w:p>
        </w:tc>
        <w:tc>
          <w:tcPr>
            <w:tcW w:w="1062"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损毁</w:t>
            </w:r>
          </w:p>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程度</w:t>
            </w:r>
          </w:p>
        </w:tc>
        <w:tc>
          <w:tcPr>
            <w:tcW w:w="973" w:type="dxa"/>
            <w:vAlign w:val="center"/>
          </w:tcPr>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是否</w:t>
            </w:r>
          </w:p>
          <w:p>
            <w:pPr>
              <w:pStyle w:val="160"/>
              <w:spacing w:line="240" w:lineRule="auto"/>
              <w:ind w:firstLine="0"/>
              <w:jc w:val="center"/>
              <w:rPr>
                <w:rFonts w:hint="eastAsia" w:ascii="宋体" w:hAnsi="宋体" w:eastAsia="宋体" w:cs="宋体"/>
                <w:b/>
                <w:bCs/>
                <w:color w:val="auto"/>
                <w:kern w:val="2"/>
                <w:sz w:val="21"/>
                <w:szCs w:val="21"/>
              </w:rPr>
            </w:pPr>
            <w:r>
              <w:rPr>
                <w:rFonts w:hint="eastAsia" w:ascii="宋体" w:hAnsi="宋体" w:eastAsia="宋体" w:cs="宋体"/>
                <w:b/>
                <w:bCs/>
                <w:color w:val="auto"/>
                <w:kern w:val="2"/>
                <w:sz w:val="21"/>
                <w:szCs w:val="21"/>
              </w:rPr>
              <w:t>复垦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vMerge w:val="restart"/>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拟</w:t>
            </w:r>
          </w:p>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损</w:t>
            </w:r>
          </w:p>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毁</w:t>
            </w:r>
          </w:p>
        </w:tc>
        <w:tc>
          <w:tcPr>
            <w:tcW w:w="396"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1</w:t>
            </w:r>
          </w:p>
        </w:tc>
        <w:tc>
          <w:tcPr>
            <w:tcW w:w="1835"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规划露天采场</w:t>
            </w:r>
          </w:p>
        </w:tc>
        <w:tc>
          <w:tcPr>
            <w:tcW w:w="1508" w:type="dxa"/>
            <w:vAlign w:val="center"/>
          </w:tcPr>
          <w:p>
            <w:pPr>
              <w:spacing w:line="240" w:lineRule="auto"/>
              <w:jc w:val="center"/>
              <w:rPr>
                <w:rFonts w:hint="eastAsia" w:ascii="宋体" w:hAnsi="宋体" w:eastAsia="宋体" w:cs="宋体"/>
                <w:color w:val="auto"/>
                <w:kern w:val="2"/>
                <w:sz w:val="21"/>
                <w:szCs w:val="21"/>
              </w:rPr>
            </w:pPr>
            <w:r>
              <w:rPr>
                <w:rFonts w:hint="eastAsia" w:ascii="宋体" w:hAnsi="宋体" w:cs="宋体"/>
                <w:color w:val="auto"/>
                <w:kern w:val="2"/>
                <w:sz w:val="24"/>
                <w:szCs w:val="24"/>
                <w:lang w:val="en-US" w:eastAsia="zh-CN"/>
              </w:rPr>
              <w:t>****</w:t>
            </w:r>
          </w:p>
        </w:tc>
        <w:tc>
          <w:tcPr>
            <w:tcW w:w="1430"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裸土地</w:t>
            </w:r>
          </w:p>
        </w:tc>
        <w:tc>
          <w:tcPr>
            <w:tcW w:w="1098"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挖损</w:t>
            </w:r>
          </w:p>
        </w:tc>
        <w:tc>
          <w:tcPr>
            <w:tcW w:w="1062"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重度</w:t>
            </w:r>
          </w:p>
        </w:tc>
        <w:tc>
          <w:tcPr>
            <w:tcW w:w="97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396"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2</w:t>
            </w:r>
          </w:p>
        </w:tc>
        <w:tc>
          <w:tcPr>
            <w:tcW w:w="1835"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规划排土场</w:t>
            </w:r>
          </w:p>
        </w:tc>
        <w:tc>
          <w:tcPr>
            <w:tcW w:w="1508" w:type="dxa"/>
            <w:vAlign w:val="center"/>
          </w:tcPr>
          <w:p>
            <w:pPr>
              <w:spacing w:line="240" w:lineRule="auto"/>
              <w:jc w:val="center"/>
              <w:rPr>
                <w:rFonts w:hint="eastAsia" w:ascii="宋体" w:hAnsi="宋体" w:eastAsia="宋体" w:cs="宋体"/>
                <w:color w:val="auto"/>
                <w:kern w:val="2"/>
                <w:sz w:val="21"/>
                <w:szCs w:val="21"/>
              </w:rPr>
            </w:pPr>
            <w:r>
              <w:rPr>
                <w:rFonts w:hint="eastAsia" w:ascii="宋体" w:hAnsi="宋体" w:cs="宋体"/>
                <w:color w:val="auto"/>
                <w:kern w:val="2"/>
                <w:sz w:val="24"/>
                <w:szCs w:val="24"/>
                <w:lang w:val="en-US" w:eastAsia="zh-CN"/>
              </w:rPr>
              <w:t>****</w:t>
            </w:r>
          </w:p>
        </w:tc>
        <w:tc>
          <w:tcPr>
            <w:tcW w:w="1430"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裸土地</w:t>
            </w:r>
          </w:p>
        </w:tc>
        <w:tc>
          <w:tcPr>
            <w:tcW w:w="1098"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压占</w:t>
            </w:r>
          </w:p>
        </w:tc>
        <w:tc>
          <w:tcPr>
            <w:tcW w:w="1062" w:type="dxa"/>
            <w:vAlign w:val="center"/>
          </w:tcPr>
          <w:p>
            <w:pPr>
              <w:pStyle w:val="160"/>
              <w:spacing w:line="240" w:lineRule="auto"/>
              <w:jc w:val="center"/>
              <w:rPr>
                <w:rFonts w:hint="eastAsia" w:ascii="宋体" w:hAnsi="宋体" w:eastAsia="宋体" w:cs="宋体"/>
                <w:color w:val="auto"/>
                <w:kern w:val="2"/>
                <w:sz w:val="21"/>
                <w:szCs w:val="21"/>
                <w:lang w:eastAsia="zh-CN"/>
              </w:rPr>
            </w:pPr>
            <w:r>
              <w:rPr>
                <w:rFonts w:hint="eastAsia" w:ascii="宋体" w:hAnsi="宋体" w:eastAsia="宋体" w:cs="宋体"/>
                <w:bCs/>
                <w:color w:val="auto"/>
                <w:sz w:val="21"/>
                <w:szCs w:val="21"/>
              </w:rPr>
              <w:t>中度</w:t>
            </w:r>
          </w:p>
        </w:tc>
        <w:tc>
          <w:tcPr>
            <w:tcW w:w="97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396" w:type="dxa"/>
            <w:vAlign w:val="center"/>
          </w:tcPr>
          <w:p>
            <w:pPr>
              <w:pStyle w:val="160"/>
              <w:spacing w:line="240" w:lineRule="auto"/>
              <w:jc w:val="center"/>
              <w:rPr>
                <w:rFonts w:hint="eastAsia"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3</w:t>
            </w:r>
          </w:p>
        </w:tc>
        <w:tc>
          <w:tcPr>
            <w:tcW w:w="1835" w:type="dxa"/>
            <w:vAlign w:val="center"/>
          </w:tcPr>
          <w:p>
            <w:pPr>
              <w:pStyle w:val="160"/>
              <w:spacing w:line="240" w:lineRule="auto"/>
              <w:jc w:val="center"/>
              <w:rPr>
                <w:rFonts w:hint="default" w:ascii="宋体" w:hAnsi="宋体" w:eastAsia="宋体" w:cs="宋体"/>
                <w:color w:val="auto"/>
                <w:kern w:val="2"/>
                <w:sz w:val="21"/>
                <w:szCs w:val="21"/>
                <w:lang w:val="en-US" w:eastAsia="zh-CN"/>
              </w:rPr>
            </w:pPr>
            <w:r>
              <w:rPr>
                <w:rFonts w:hint="eastAsia" w:ascii="宋体" w:hAnsi="宋体" w:eastAsia="宋体" w:cs="宋体"/>
                <w:color w:val="auto"/>
                <w:kern w:val="2"/>
                <w:sz w:val="21"/>
                <w:szCs w:val="21"/>
                <w:lang w:val="en-US" w:eastAsia="zh-CN"/>
              </w:rPr>
              <w:t>规划生活区</w:t>
            </w:r>
          </w:p>
        </w:tc>
        <w:tc>
          <w:tcPr>
            <w:tcW w:w="1508" w:type="dxa"/>
            <w:vAlign w:val="center"/>
          </w:tcPr>
          <w:p>
            <w:pPr>
              <w:spacing w:line="240" w:lineRule="auto"/>
              <w:jc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430" w:type="dxa"/>
            <w:shd w:val="clear" w:color="auto" w:fill="auto"/>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bCs w:val="0"/>
                <w:color w:val="auto"/>
                <w:kern w:val="2"/>
                <w:sz w:val="21"/>
                <w:szCs w:val="21"/>
                <w:lang w:val="en-US" w:eastAsia="zh-CN" w:bidi="ar-SA"/>
              </w:rPr>
            </w:pPr>
            <w:r>
              <w:rPr>
                <w:rFonts w:hint="eastAsia" w:ascii="宋体" w:hAnsi="宋体" w:eastAsia="宋体" w:cs="宋体"/>
                <w:color w:val="auto"/>
                <w:kern w:val="2"/>
                <w:sz w:val="21"/>
                <w:szCs w:val="21"/>
              </w:rPr>
              <w:t>裸土地</w:t>
            </w:r>
          </w:p>
        </w:tc>
        <w:tc>
          <w:tcPr>
            <w:tcW w:w="1098" w:type="dxa"/>
            <w:shd w:val="clear" w:color="auto" w:fill="auto"/>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bCs w:val="0"/>
                <w:color w:val="auto"/>
                <w:kern w:val="2"/>
                <w:sz w:val="21"/>
                <w:szCs w:val="21"/>
                <w:lang w:val="en-US" w:eastAsia="zh-CN" w:bidi="ar-SA"/>
              </w:rPr>
            </w:pPr>
            <w:r>
              <w:rPr>
                <w:rFonts w:hint="eastAsia" w:ascii="宋体" w:hAnsi="宋体" w:eastAsia="宋体" w:cs="宋体"/>
                <w:color w:val="auto"/>
                <w:kern w:val="2"/>
                <w:sz w:val="21"/>
                <w:szCs w:val="21"/>
              </w:rPr>
              <w:t>压占</w:t>
            </w:r>
          </w:p>
        </w:tc>
        <w:tc>
          <w:tcPr>
            <w:tcW w:w="1062" w:type="dxa"/>
            <w:shd w:val="clear" w:color="auto" w:fill="auto"/>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bCs w:val="0"/>
                <w:color w:val="auto"/>
                <w:kern w:val="2"/>
                <w:sz w:val="21"/>
                <w:szCs w:val="21"/>
                <w:lang w:val="en-US" w:eastAsia="zh-CN" w:bidi="ar-SA"/>
              </w:rPr>
            </w:pPr>
            <w:r>
              <w:rPr>
                <w:rFonts w:hint="eastAsia" w:ascii="宋体" w:hAnsi="宋体" w:eastAsia="宋体" w:cs="宋体"/>
                <w:bCs/>
                <w:color w:val="auto"/>
                <w:sz w:val="21"/>
                <w:szCs w:val="21"/>
              </w:rPr>
              <w:t>中度</w:t>
            </w:r>
          </w:p>
        </w:tc>
        <w:tc>
          <w:tcPr>
            <w:tcW w:w="973" w:type="dxa"/>
            <w:shd w:val="clear" w:color="auto" w:fill="auto"/>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bCs w:val="0"/>
                <w:color w:val="auto"/>
                <w:kern w:val="2"/>
                <w:sz w:val="21"/>
                <w:szCs w:val="21"/>
                <w:lang w:val="en-US" w:eastAsia="zh-CN" w:bidi="ar-SA"/>
              </w:rPr>
            </w:pPr>
            <w:r>
              <w:rPr>
                <w:rFonts w:hint="eastAsia" w:ascii="宋体" w:hAnsi="宋体" w:eastAsia="宋体" w:cs="宋体"/>
                <w:color w:val="auto"/>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396" w:type="dxa"/>
            <w:vAlign w:val="center"/>
          </w:tcPr>
          <w:p>
            <w:pPr>
              <w:pStyle w:val="160"/>
              <w:spacing w:line="240" w:lineRule="auto"/>
              <w:jc w:val="center"/>
              <w:rPr>
                <w:rFonts w:hint="eastAsia" w:ascii="宋体" w:hAnsi="宋体" w:eastAsia="宋体" w:cs="宋体"/>
                <w:color w:val="auto"/>
                <w:kern w:val="2"/>
                <w:sz w:val="21"/>
                <w:szCs w:val="21"/>
                <w:lang w:eastAsia="zh-CN"/>
              </w:rPr>
            </w:pPr>
            <w:r>
              <w:rPr>
                <w:rFonts w:hint="eastAsia" w:ascii="宋体" w:hAnsi="宋体" w:eastAsia="宋体" w:cs="宋体"/>
                <w:color w:val="auto"/>
                <w:kern w:val="2"/>
                <w:sz w:val="21"/>
                <w:szCs w:val="21"/>
                <w:lang w:val="en-US" w:eastAsia="zh-CN"/>
              </w:rPr>
              <w:t>4</w:t>
            </w:r>
          </w:p>
        </w:tc>
        <w:tc>
          <w:tcPr>
            <w:tcW w:w="1835"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规划矿山道路</w:t>
            </w:r>
          </w:p>
        </w:tc>
        <w:tc>
          <w:tcPr>
            <w:tcW w:w="1508" w:type="dxa"/>
            <w:vAlign w:val="center"/>
          </w:tcPr>
          <w:p>
            <w:pPr>
              <w:spacing w:line="240" w:lineRule="auto"/>
              <w:jc w:val="center"/>
              <w:rPr>
                <w:rFonts w:hint="eastAsia" w:ascii="宋体" w:hAnsi="宋体" w:eastAsia="宋体" w:cs="宋体"/>
                <w:color w:val="auto"/>
                <w:kern w:val="2"/>
                <w:sz w:val="21"/>
                <w:szCs w:val="21"/>
              </w:rPr>
            </w:pPr>
            <w:r>
              <w:rPr>
                <w:rFonts w:hint="eastAsia" w:ascii="宋体" w:hAnsi="宋体" w:cs="宋体"/>
                <w:color w:val="auto"/>
                <w:kern w:val="2"/>
                <w:sz w:val="24"/>
                <w:szCs w:val="24"/>
                <w:lang w:val="en-US" w:eastAsia="zh-CN"/>
              </w:rPr>
              <w:t>****</w:t>
            </w:r>
          </w:p>
        </w:tc>
        <w:tc>
          <w:tcPr>
            <w:tcW w:w="1430"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裸土地</w:t>
            </w:r>
          </w:p>
        </w:tc>
        <w:tc>
          <w:tcPr>
            <w:tcW w:w="1098"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压占</w:t>
            </w:r>
          </w:p>
        </w:tc>
        <w:tc>
          <w:tcPr>
            <w:tcW w:w="1062"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bCs/>
                <w:color w:val="auto"/>
                <w:sz w:val="21"/>
                <w:szCs w:val="21"/>
              </w:rPr>
              <w:t>中度</w:t>
            </w:r>
          </w:p>
        </w:tc>
        <w:tc>
          <w:tcPr>
            <w:tcW w:w="97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vMerge w:val="continue"/>
            <w:vAlign w:val="center"/>
          </w:tcPr>
          <w:p>
            <w:pPr>
              <w:pStyle w:val="160"/>
              <w:spacing w:line="240" w:lineRule="auto"/>
              <w:jc w:val="center"/>
              <w:rPr>
                <w:rFonts w:hint="eastAsia" w:ascii="宋体" w:hAnsi="宋体" w:eastAsia="宋体" w:cs="宋体"/>
                <w:color w:val="auto"/>
                <w:kern w:val="2"/>
                <w:sz w:val="21"/>
                <w:szCs w:val="21"/>
              </w:rPr>
            </w:pPr>
          </w:p>
        </w:tc>
        <w:tc>
          <w:tcPr>
            <w:tcW w:w="2231" w:type="dxa"/>
            <w:gridSpan w:val="2"/>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小计</w:t>
            </w:r>
          </w:p>
        </w:tc>
        <w:tc>
          <w:tcPr>
            <w:tcW w:w="6071" w:type="dxa"/>
            <w:gridSpan w:val="5"/>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cs="宋体"/>
                <w:color w:val="auto"/>
                <w:kern w:val="2"/>
                <w:sz w:val="24"/>
                <w:szCs w:val="24"/>
                <w:lang w:val="en-US" w:eastAsia="zh-CN"/>
              </w:rPr>
              <w:t>****</w:t>
            </w:r>
            <w:r>
              <w:rPr>
                <w:rFonts w:hint="eastAsia" w:ascii="宋体" w:hAnsi="宋体" w:eastAsia="宋体" w:cs="宋体"/>
                <w:color w:val="auto"/>
                <w:kern w:val="2"/>
                <w:sz w:val="21"/>
                <w:szCs w:val="21"/>
              </w:rPr>
              <w:t>hm</w:t>
            </w:r>
            <w:r>
              <w:rPr>
                <w:rFonts w:hint="eastAsia" w:ascii="宋体" w:hAnsi="宋体" w:eastAsia="宋体" w:cs="宋体"/>
                <w:color w:val="auto"/>
                <w:kern w:val="2"/>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94" w:type="dxa"/>
            <w:vAlign w:val="center"/>
          </w:tcPr>
          <w:p>
            <w:pPr>
              <w:pStyle w:val="160"/>
              <w:spacing w:line="240" w:lineRule="auto"/>
              <w:jc w:val="center"/>
              <w:rPr>
                <w:rFonts w:hint="eastAsia" w:ascii="宋体" w:hAnsi="宋体" w:eastAsia="宋体" w:cs="宋体"/>
                <w:color w:val="auto"/>
                <w:kern w:val="2"/>
                <w:sz w:val="21"/>
                <w:szCs w:val="21"/>
              </w:rPr>
            </w:pPr>
          </w:p>
        </w:tc>
        <w:tc>
          <w:tcPr>
            <w:tcW w:w="2231" w:type="dxa"/>
            <w:gridSpan w:val="2"/>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合计</w:t>
            </w:r>
          </w:p>
        </w:tc>
        <w:tc>
          <w:tcPr>
            <w:tcW w:w="6071" w:type="dxa"/>
            <w:gridSpan w:val="5"/>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cs="宋体"/>
                <w:color w:val="auto"/>
                <w:kern w:val="2"/>
                <w:sz w:val="24"/>
                <w:szCs w:val="24"/>
                <w:lang w:val="en-US" w:eastAsia="zh-CN"/>
              </w:rPr>
              <w:t>****</w:t>
            </w:r>
            <w:r>
              <w:rPr>
                <w:rFonts w:hint="eastAsia" w:ascii="宋体" w:hAnsi="宋体" w:eastAsia="宋体" w:cs="宋体"/>
                <w:color w:val="auto"/>
                <w:kern w:val="2"/>
                <w:sz w:val="21"/>
                <w:szCs w:val="21"/>
              </w:rPr>
              <w:t>hm</w:t>
            </w:r>
            <w:r>
              <w:rPr>
                <w:rFonts w:hint="eastAsia" w:ascii="宋体" w:hAnsi="宋体" w:eastAsia="宋体" w:cs="宋体"/>
                <w:color w:val="auto"/>
                <w:kern w:val="2"/>
                <w:sz w:val="21"/>
                <w:szCs w:val="21"/>
                <w:vertAlign w:val="superscript"/>
              </w:rPr>
              <w:t>2</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（二）复垦责任范围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按照《土地复垦方案编制规程 第1部分：通则》（TD/T1031.1-2011）可知，土地复垦责任范围是指：“复垦区中损毁土地和不再留续使用的永久性建设用地构成的区域”。对本项目来说，对于本项目来说，复垦区为矿山损毁土地，分析如下：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根据土地复垦方案编制规程可知，土地复垦责任范围是指复垦区损毁土地中不再留续使用的区域。因此本方案复垦责任范围为损毁的全部土地，则复垦责任范围面积</w:t>
      </w:r>
      <w:r>
        <w:rPr>
          <w:rFonts w:hint="eastAsia" w:ascii="宋体" w:hAnsi="宋体" w:cs="宋体"/>
          <w:color w:val="auto"/>
          <w:kern w:val="2"/>
          <w:sz w:val="24"/>
          <w:szCs w:val="24"/>
          <w:lang w:val="en-US" w:eastAsia="zh-CN"/>
        </w:rPr>
        <w:t>****</w:t>
      </w:r>
      <w:r>
        <w:rPr>
          <w:rFonts w:hint="eastAsia" w:ascii="宋体" w:hAnsi="宋体" w:eastAsia="宋体" w:cs="宋体"/>
          <w:color w:val="auto"/>
          <w:kern w:val="2"/>
          <w:sz w:val="24"/>
          <w:szCs w:val="24"/>
        </w:rPr>
        <w:t>hm</w:t>
      </w:r>
      <w:r>
        <w:rPr>
          <w:rFonts w:hint="eastAsia" w:ascii="宋体" w:hAnsi="宋体" w:eastAsia="宋体" w:cs="宋体"/>
          <w:color w:val="auto"/>
          <w:kern w:val="2"/>
          <w:sz w:val="24"/>
          <w:szCs w:val="24"/>
          <w:vertAlign w:val="superscript"/>
        </w:rPr>
        <w:t>2</w:t>
      </w:r>
      <w:r>
        <w:rPr>
          <w:rFonts w:hint="eastAsia" w:ascii="宋体" w:hAnsi="宋体" w:eastAsia="宋体" w:cs="宋体"/>
          <w:color w:val="auto"/>
          <w:sz w:val="24"/>
          <w:szCs w:val="24"/>
        </w:rPr>
        <w:t>（复垦责任范围详见表5-2），复垦率为100%</w:t>
      </w:r>
      <w:r>
        <w:rPr>
          <w:rFonts w:hint="eastAsia" w:ascii="宋体" w:hAnsi="宋体" w:cs="宋体"/>
          <w:color w:val="auto"/>
          <w:sz w:val="24"/>
          <w:szCs w:val="24"/>
          <w:lang w:eastAsia="zh-CN"/>
        </w:rPr>
        <w:t>，复垦责任范围拐点坐标见表</w:t>
      </w:r>
      <w:r>
        <w:rPr>
          <w:rFonts w:hint="eastAsia" w:ascii="宋体" w:hAnsi="宋体" w:cs="宋体"/>
          <w:color w:val="auto"/>
          <w:sz w:val="24"/>
          <w:szCs w:val="24"/>
          <w:lang w:val="en-US" w:eastAsia="zh-CN"/>
        </w:rPr>
        <w:t>5</w:t>
      </w:r>
      <w:r>
        <w:rPr>
          <w:rFonts w:hint="eastAsia" w:ascii="宋体" w:hAnsi="宋体" w:cs="宋体"/>
          <w:color w:val="auto"/>
          <w:sz w:val="24"/>
          <w:szCs w:val="24"/>
          <w:lang w:eastAsia="zh-CN"/>
        </w:rPr>
        <w:t>-3，具体位置详见图</w:t>
      </w:r>
      <w:r>
        <w:rPr>
          <w:rFonts w:hint="eastAsia" w:ascii="宋体" w:hAnsi="宋体" w:cs="宋体"/>
          <w:color w:val="auto"/>
          <w:sz w:val="24"/>
          <w:szCs w:val="24"/>
          <w:lang w:val="en-US" w:eastAsia="zh-CN"/>
        </w:rPr>
        <w:t>5</w:t>
      </w:r>
      <w:r>
        <w:rPr>
          <w:rFonts w:hint="eastAsia" w:ascii="宋体" w:hAnsi="宋体" w:cs="宋体"/>
          <w:color w:val="auto"/>
          <w:sz w:val="24"/>
          <w:szCs w:val="24"/>
          <w:lang w:eastAsia="zh-CN"/>
        </w:rPr>
        <w:t>-1。</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表5-2    复垦责任范围一览表</w:t>
      </w:r>
    </w:p>
    <w:tbl>
      <w:tblPr>
        <w:tblStyle w:val="53"/>
        <w:tblW w:w="79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3"/>
        <w:gridCol w:w="1751"/>
        <w:gridCol w:w="2486"/>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903" w:type="dxa"/>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复垦责任范围</w:t>
            </w:r>
          </w:p>
        </w:tc>
        <w:tc>
          <w:tcPr>
            <w:tcW w:w="1751" w:type="dxa"/>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面积（hm</w:t>
            </w:r>
            <w:r>
              <w:rPr>
                <w:rFonts w:hint="eastAsia" w:ascii="宋体" w:hAnsi="宋体" w:eastAsia="宋体" w:cs="宋体"/>
                <w:b/>
                <w:bCs/>
                <w:color w:val="auto"/>
                <w:sz w:val="21"/>
                <w:szCs w:val="21"/>
                <w:vertAlign w:val="superscript"/>
              </w:rPr>
              <w:t>2</w:t>
            </w:r>
            <w:r>
              <w:rPr>
                <w:rFonts w:hint="eastAsia" w:ascii="宋体" w:hAnsi="宋体" w:eastAsia="宋体" w:cs="宋体"/>
                <w:b/>
                <w:bCs/>
                <w:color w:val="auto"/>
                <w:sz w:val="21"/>
                <w:szCs w:val="21"/>
              </w:rPr>
              <w:t>）</w:t>
            </w:r>
          </w:p>
        </w:tc>
        <w:tc>
          <w:tcPr>
            <w:tcW w:w="2486" w:type="dxa"/>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复垦期</w:t>
            </w:r>
          </w:p>
        </w:tc>
        <w:tc>
          <w:tcPr>
            <w:tcW w:w="1832" w:type="dxa"/>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损毁类型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903" w:type="dxa"/>
            <w:vAlign w:val="center"/>
          </w:tcPr>
          <w:p>
            <w:pPr>
              <w:pStyle w:val="160"/>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规划露天采场</w:t>
            </w:r>
          </w:p>
        </w:tc>
        <w:tc>
          <w:tcPr>
            <w:tcW w:w="1751" w:type="dxa"/>
            <w:vAlign w:val="center"/>
          </w:tcPr>
          <w:p>
            <w:pPr>
              <w:spacing w:line="240" w:lineRule="auto"/>
              <w:jc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2486" w:type="dxa"/>
            <w:vAlign w:val="center"/>
          </w:tcPr>
          <w:p>
            <w:pPr>
              <w:pStyle w:val="469"/>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7-2052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12</w:t>
            </w:r>
          </w:p>
        </w:tc>
        <w:tc>
          <w:tcPr>
            <w:tcW w:w="183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挖损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903" w:type="dxa"/>
            <w:vAlign w:val="center"/>
          </w:tcPr>
          <w:p>
            <w:pPr>
              <w:pStyle w:val="160"/>
              <w:spacing w:line="240" w:lineRule="auto"/>
              <w:jc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规划排土场</w:t>
            </w:r>
          </w:p>
        </w:tc>
        <w:tc>
          <w:tcPr>
            <w:tcW w:w="1751" w:type="dxa"/>
            <w:vAlign w:val="center"/>
          </w:tcPr>
          <w:p>
            <w:pPr>
              <w:spacing w:line="240" w:lineRule="auto"/>
              <w:jc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2486" w:type="dxa"/>
            <w:vAlign w:val="center"/>
          </w:tcPr>
          <w:p>
            <w:pPr>
              <w:pStyle w:val="469"/>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7-2052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12</w:t>
            </w:r>
          </w:p>
        </w:tc>
        <w:tc>
          <w:tcPr>
            <w:tcW w:w="183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903" w:type="dxa"/>
            <w:vAlign w:val="center"/>
          </w:tcPr>
          <w:p>
            <w:pPr>
              <w:pStyle w:val="160"/>
              <w:spacing w:line="240" w:lineRule="auto"/>
              <w:jc w:val="center"/>
              <w:rPr>
                <w:rFonts w:hint="default" w:ascii="宋体" w:hAnsi="宋体" w:eastAsia="宋体" w:cs="宋体"/>
                <w:color w:val="auto"/>
                <w:kern w:val="2"/>
                <w:sz w:val="21"/>
                <w:szCs w:val="21"/>
                <w:lang w:val="en-US" w:eastAsia="zh-CN"/>
              </w:rPr>
            </w:pPr>
            <w:r>
              <w:rPr>
                <w:rFonts w:hint="eastAsia" w:ascii="宋体" w:hAnsi="宋体" w:cs="宋体"/>
                <w:color w:val="auto"/>
                <w:kern w:val="2"/>
                <w:sz w:val="21"/>
                <w:szCs w:val="21"/>
                <w:lang w:val="en-US" w:eastAsia="zh-CN"/>
              </w:rPr>
              <w:t>规划生活区</w:t>
            </w:r>
          </w:p>
        </w:tc>
        <w:tc>
          <w:tcPr>
            <w:tcW w:w="1751" w:type="dxa"/>
            <w:vAlign w:val="center"/>
          </w:tcPr>
          <w:p>
            <w:pPr>
              <w:spacing w:line="240" w:lineRule="auto"/>
              <w:jc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2486" w:type="dxa"/>
            <w:shd w:val="clear" w:color="auto" w:fill="auto"/>
            <w:vAlign w:val="center"/>
          </w:tcPr>
          <w:p>
            <w:pPr>
              <w:pStyle w:val="469"/>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7-2052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12</w:t>
            </w:r>
          </w:p>
        </w:tc>
        <w:tc>
          <w:tcPr>
            <w:tcW w:w="1832" w:type="dxa"/>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903" w:type="dxa"/>
            <w:vAlign w:val="center"/>
          </w:tcPr>
          <w:p>
            <w:pPr>
              <w:pStyle w:val="160"/>
              <w:spacing w:line="240" w:lineRule="auto"/>
              <w:jc w:val="center"/>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规划矿山道路</w:t>
            </w:r>
          </w:p>
        </w:tc>
        <w:tc>
          <w:tcPr>
            <w:tcW w:w="1751" w:type="dxa"/>
            <w:vAlign w:val="center"/>
          </w:tcPr>
          <w:p>
            <w:pPr>
              <w:spacing w:line="240" w:lineRule="auto"/>
              <w:jc w:val="center"/>
              <w:rPr>
                <w:rFonts w:hint="eastAsia" w:ascii="宋体" w:hAnsi="宋体" w:eastAsia="宋体" w:cs="宋体"/>
                <w:color w:val="auto"/>
                <w:kern w:val="2"/>
                <w:sz w:val="21"/>
                <w:szCs w:val="21"/>
              </w:rPr>
            </w:pPr>
            <w:r>
              <w:rPr>
                <w:rFonts w:hint="eastAsia" w:ascii="宋体" w:hAnsi="宋体" w:cs="宋体"/>
                <w:color w:val="auto"/>
                <w:kern w:val="2"/>
                <w:sz w:val="24"/>
                <w:szCs w:val="24"/>
                <w:lang w:val="en-US" w:eastAsia="zh-CN"/>
              </w:rPr>
              <w:t>****</w:t>
            </w:r>
          </w:p>
        </w:tc>
        <w:tc>
          <w:tcPr>
            <w:tcW w:w="2486" w:type="dxa"/>
            <w:vAlign w:val="center"/>
          </w:tcPr>
          <w:p>
            <w:pPr>
              <w:pStyle w:val="469"/>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7-2052</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12</w:t>
            </w:r>
          </w:p>
        </w:tc>
        <w:tc>
          <w:tcPr>
            <w:tcW w:w="1832"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903"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6069" w:type="dxa"/>
            <w:gridSpan w:val="3"/>
            <w:vAlign w:val="center"/>
          </w:tcPr>
          <w:p>
            <w:pPr>
              <w:pStyle w:val="160"/>
              <w:spacing w:line="240" w:lineRule="auto"/>
              <w:jc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r>
              <w:rPr>
                <w:rFonts w:hint="eastAsia" w:ascii="宋体" w:hAnsi="宋体" w:eastAsia="宋体" w:cs="宋体"/>
                <w:color w:val="auto"/>
                <w:kern w:val="2"/>
                <w:sz w:val="21"/>
                <w:szCs w:val="21"/>
              </w:rPr>
              <w:t>hm</w:t>
            </w:r>
            <w:r>
              <w:rPr>
                <w:rFonts w:hint="eastAsia" w:ascii="宋体" w:hAnsi="宋体" w:eastAsia="宋体" w:cs="宋体"/>
                <w:color w:val="auto"/>
                <w:kern w:val="2"/>
                <w:sz w:val="21"/>
                <w:szCs w:val="21"/>
                <w:vertAlign w:val="superscript"/>
              </w:rPr>
              <w:t>2</w:t>
            </w:r>
          </w:p>
        </w:tc>
      </w:tr>
    </w:tbl>
    <w:p>
      <w:pPr>
        <w:keepNext w:val="0"/>
        <w:keepLines w:val="0"/>
        <w:pageBreakBefore w:val="0"/>
        <w:widowControl/>
        <w:tabs>
          <w:tab w:val="left" w:pos="3309"/>
          <w:tab w:val="left" w:pos="4063"/>
          <w:tab w:val="center" w:pos="4851"/>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bookmarkStart w:id="200" w:name="_Toc532760457"/>
      <w:bookmarkStart w:id="201" w:name="_Toc31026"/>
      <w:bookmarkStart w:id="202" w:name="_Toc17041"/>
      <w:bookmarkStart w:id="203" w:name="_Toc516175901"/>
      <w:bookmarkStart w:id="204" w:name="_Toc1360"/>
      <w:bookmarkStart w:id="205" w:name="_Toc28097"/>
      <w:bookmarkStart w:id="206" w:name="_Toc11565"/>
      <w:r>
        <w:rPr>
          <w:rFonts w:hint="eastAsia" w:ascii="宋体" w:hAnsi="宋体" w:eastAsia="宋体" w:cs="宋体"/>
          <w:b/>
          <w:color w:val="auto"/>
          <w:sz w:val="21"/>
          <w:szCs w:val="21"/>
        </w:rPr>
        <w:t>表</w:t>
      </w:r>
      <w:r>
        <w:rPr>
          <w:rFonts w:hint="eastAsia" w:ascii="宋体" w:hAnsi="宋体" w:eastAsia="宋体" w:cs="宋体"/>
          <w:b/>
          <w:color w:val="auto"/>
          <w:sz w:val="21"/>
          <w:szCs w:val="21"/>
          <w:lang w:val="en-US" w:eastAsia="zh-CN"/>
        </w:rPr>
        <w:t>5</w:t>
      </w:r>
      <w:r>
        <w:rPr>
          <w:rFonts w:hint="eastAsia" w:ascii="宋体" w:hAnsi="宋体" w:eastAsia="宋体" w:cs="宋体"/>
          <w:b/>
          <w:color w:val="auto"/>
          <w:sz w:val="21"/>
          <w:szCs w:val="21"/>
        </w:rPr>
        <w:t>-3</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复垦责任范围拐点坐标表</w:t>
      </w:r>
    </w:p>
    <w:tbl>
      <w:tblPr>
        <w:tblStyle w:val="54"/>
        <w:tblW w:w="8865" w:type="dxa"/>
        <w:tblInd w:w="-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861"/>
        <w:gridCol w:w="1950"/>
        <w:gridCol w:w="645"/>
        <w:gridCol w:w="177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8865" w:type="dxa"/>
            <w:gridSpan w:val="6"/>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直角坐标（CGC2000）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trPr>
        <w:tc>
          <w:tcPr>
            <w:tcW w:w="749"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拐点</w:t>
            </w:r>
          </w:p>
        </w:tc>
        <w:tc>
          <w:tcPr>
            <w:tcW w:w="1861"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X</w:t>
            </w:r>
          </w:p>
        </w:tc>
        <w:tc>
          <w:tcPr>
            <w:tcW w:w="195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Y</w:t>
            </w:r>
          </w:p>
        </w:tc>
        <w:tc>
          <w:tcPr>
            <w:tcW w:w="645"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拐点</w:t>
            </w:r>
          </w:p>
        </w:tc>
        <w:tc>
          <w:tcPr>
            <w:tcW w:w="177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X</w:t>
            </w:r>
          </w:p>
        </w:tc>
        <w:tc>
          <w:tcPr>
            <w:tcW w:w="1890" w:type="dxa"/>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865" w:type="dxa"/>
            <w:gridSpan w:val="6"/>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规划露天采坑1</w:t>
            </w:r>
            <w:r>
              <w:rPr>
                <w:rFonts w:hint="eastAsia" w:ascii="宋体" w:hAnsi="宋体" w:eastAsia="宋体" w:cs="宋体"/>
                <w:color w:val="auto"/>
                <w:sz w:val="21"/>
                <w:szCs w:val="21"/>
              </w:rPr>
              <w:t>（因其为不规则形状，故选取了8个坐标点代替整体范围）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C1</w:t>
            </w:r>
          </w:p>
        </w:tc>
        <w:tc>
          <w:tcPr>
            <w:tcW w:w="1861"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195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645"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C2</w:t>
            </w:r>
          </w:p>
        </w:tc>
        <w:tc>
          <w:tcPr>
            <w:tcW w:w="177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189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C3</w:t>
            </w:r>
          </w:p>
        </w:tc>
        <w:tc>
          <w:tcPr>
            <w:tcW w:w="1861"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195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645"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C4</w:t>
            </w:r>
          </w:p>
        </w:tc>
        <w:tc>
          <w:tcPr>
            <w:tcW w:w="177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189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C5</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C6</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C7</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C8</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5" w:type="dxa"/>
            <w:gridSpan w:val="6"/>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规划露天采坑2</w:t>
            </w:r>
            <w:r>
              <w:rPr>
                <w:rFonts w:hint="eastAsia" w:ascii="宋体" w:hAnsi="宋体" w:eastAsia="宋体" w:cs="宋体"/>
                <w:color w:val="auto"/>
                <w:sz w:val="21"/>
                <w:szCs w:val="21"/>
              </w:rPr>
              <w:t>（因其为不规则形状，故选取了</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个坐标点代替整体范围）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C9</w:t>
            </w:r>
          </w:p>
        </w:tc>
        <w:tc>
          <w:tcPr>
            <w:tcW w:w="1861"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195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645"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C10</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C11</w:t>
            </w:r>
          </w:p>
        </w:tc>
        <w:tc>
          <w:tcPr>
            <w:tcW w:w="1861"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195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645"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bidi="ar"/>
              </w:rPr>
              <w:t>C12</w:t>
            </w:r>
          </w:p>
        </w:tc>
        <w:tc>
          <w:tcPr>
            <w:tcW w:w="177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c>
          <w:tcPr>
            <w:tcW w:w="1890" w:type="dxa"/>
            <w:shd w:val="clear" w:color="auto" w:fill="auto"/>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val="en-US" w:eastAsia="zh-CN" w:bidi="ar-SA"/>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C13</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C14</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bidi="ar"/>
              </w:rPr>
              <w:t>C15</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1770" w:type="dxa"/>
            <w:vAlign w:val="center"/>
          </w:tcPr>
          <w:p>
            <w:pPr>
              <w:widowControl w:val="0"/>
              <w:spacing w:line="240" w:lineRule="auto"/>
              <w:ind w:firstLine="0" w:firstLineChars="0"/>
              <w:jc w:val="center"/>
              <w:rPr>
                <w:rFonts w:hint="eastAsia" w:ascii="宋体" w:hAnsi="宋体" w:eastAsia="宋体" w:cs="宋体"/>
                <w:color w:val="auto"/>
                <w:sz w:val="21"/>
                <w:szCs w:val="21"/>
              </w:rPr>
            </w:pPr>
          </w:p>
        </w:tc>
        <w:tc>
          <w:tcPr>
            <w:tcW w:w="1890" w:type="dxa"/>
            <w:vAlign w:val="center"/>
          </w:tcPr>
          <w:p>
            <w:pPr>
              <w:widowControl w:val="0"/>
              <w:spacing w:line="240" w:lineRule="auto"/>
              <w:ind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5" w:type="dxa"/>
            <w:gridSpan w:val="6"/>
            <w:vAlign w:val="center"/>
          </w:tcPr>
          <w:p>
            <w:pPr>
              <w:widowControl w:val="0"/>
              <w:spacing w:line="240" w:lineRule="auto"/>
              <w:ind w:firstLine="0" w:firstLineChars="0"/>
              <w:jc w:val="center"/>
              <w:rPr>
                <w:rFonts w:hint="eastAsia" w:ascii="宋体" w:hAnsi="宋体" w:eastAsia="宋体" w:cs="宋体"/>
                <w:color w:val="auto"/>
                <w:sz w:val="21"/>
                <w:szCs w:val="21"/>
              </w:rPr>
            </w:pPr>
            <w:r>
              <w:rPr>
                <w:rFonts w:hint="eastAsia" w:ascii="宋体" w:hAnsi="宋体" w:cs="宋体"/>
                <w:color w:val="auto"/>
                <w:kern w:val="2"/>
                <w:sz w:val="21"/>
                <w:szCs w:val="21"/>
                <w:lang w:val="en-US" w:eastAsia="zh-CN"/>
              </w:rPr>
              <w:t>规划生活区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default" w:ascii="宋体" w:hAnsi="宋体" w:eastAsia="宋体" w:cs="宋体"/>
                <w:color w:val="auto"/>
                <w:sz w:val="21"/>
                <w:szCs w:val="21"/>
                <w:lang w:val="en-US" w:eastAsia="zh-CN" w:bidi="ar"/>
              </w:rPr>
            </w:pPr>
            <w:r>
              <w:rPr>
                <w:rFonts w:hint="eastAsia" w:ascii="宋体" w:hAnsi="宋体" w:eastAsia="宋体" w:cs="宋体"/>
                <w:color w:val="auto"/>
                <w:sz w:val="21"/>
                <w:szCs w:val="21"/>
                <w:lang w:val="en-US" w:eastAsia="zh-CN" w:bidi="ar"/>
              </w:rPr>
              <w:t>T1</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bidi="ar"/>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lang w:bidi="ar"/>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textAlignment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bidi="ar"/>
              </w:rPr>
              <w:t>T2</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bidi="ar"/>
              </w:rPr>
              <w:t>T3</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textAlignment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bidi="ar"/>
              </w:rPr>
              <w:t>T4</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865" w:type="dxa"/>
            <w:gridSpan w:val="6"/>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kern w:val="2"/>
                <w:sz w:val="21"/>
                <w:szCs w:val="21"/>
              </w:rPr>
              <w:t>规划排土场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bidi="ar"/>
              </w:rPr>
              <w:t>T</w:t>
            </w:r>
            <w:r>
              <w:rPr>
                <w:rFonts w:hint="eastAsia" w:ascii="宋体" w:hAnsi="宋体" w:eastAsia="宋体" w:cs="宋体"/>
                <w:color w:val="auto"/>
                <w:sz w:val="21"/>
                <w:szCs w:val="21"/>
                <w:lang w:bidi="ar"/>
              </w:rPr>
              <w:t>5</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bidi="ar"/>
              </w:rPr>
              <w:t>T</w:t>
            </w:r>
            <w:r>
              <w:rPr>
                <w:rFonts w:hint="eastAsia" w:ascii="宋体" w:hAnsi="宋体" w:eastAsia="宋体" w:cs="宋体"/>
                <w:color w:val="auto"/>
                <w:sz w:val="21"/>
                <w:szCs w:val="21"/>
                <w:lang w:bidi="ar"/>
              </w:rPr>
              <w:t>6</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49"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bidi="ar"/>
              </w:rPr>
              <w:t>T</w:t>
            </w:r>
            <w:r>
              <w:rPr>
                <w:rFonts w:hint="eastAsia" w:ascii="宋体" w:hAnsi="宋体" w:eastAsia="宋体" w:cs="宋体"/>
                <w:color w:val="auto"/>
                <w:sz w:val="21"/>
                <w:szCs w:val="21"/>
                <w:lang w:bidi="ar"/>
              </w:rPr>
              <w:t>7</w:t>
            </w:r>
          </w:p>
        </w:tc>
        <w:tc>
          <w:tcPr>
            <w:tcW w:w="1861"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95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645"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bidi="ar"/>
              </w:rPr>
              <w:t>T</w:t>
            </w:r>
            <w:r>
              <w:rPr>
                <w:rFonts w:hint="eastAsia" w:ascii="宋体" w:hAnsi="宋体" w:eastAsia="宋体" w:cs="宋体"/>
                <w:color w:val="auto"/>
                <w:sz w:val="21"/>
                <w:szCs w:val="21"/>
                <w:lang w:bidi="ar"/>
              </w:rPr>
              <w:t>8</w:t>
            </w:r>
          </w:p>
        </w:tc>
        <w:tc>
          <w:tcPr>
            <w:tcW w:w="177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c>
          <w:tcPr>
            <w:tcW w:w="1890" w:type="dxa"/>
            <w:vAlign w:val="center"/>
          </w:tcPr>
          <w:p>
            <w:pPr>
              <w:widowControl w:val="0"/>
              <w:spacing w:line="240" w:lineRule="auto"/>
              <w:ind w:firstLine="0" w:firstLineChars="0"/>
              <w:jc w:val="center"/>
              <w:textAlignment w:val="center"/>
              <w:rPr>
                <w:rFonts w:hint="eastAsia" w:ascii="宋体" w:hAnsi="宋体" w:eastAsia="宋体" w:cs="宋体"/>
                <w:color w:val="auto"/>
                <w:sz w:val="21"/>
                <w:szCs w:val="21"/>
              </w:rPr>
            </w:pPr>
            <w:r>
              <w:rPr>
                <w:rFonts w:hint="eastAsia" w:ascii="宋体" w:hAnsi="宋体" w:cs="宋体"/>
                <w:color w:val="auto"/>
                <w:kern w:val="2"/>
                <w:sz w:val="24"/>
                <w:szCs w:val="24"/>
                <w:lang w:val="en-US" w:eastAsia="zh-CN"/>
              </w:rPr>
              <w:t>********</w:t>
            </w:r>
          </w:p>
        </w:tc>
      </w:tr>
    </w:tbl>
    <w:p>
      <w:pPr>
        <w:bidi w:val="0"/>
        <w:rPr>
          <w:rFonts w:hint="eastAsia"/>
          <w:color w:val="auto"/>
          <w:lang w:val="en-US" w:eastAsia="zh-CN"/>
        </w:rPr>
      </w:pPr>
    </w:p>
    <w:p>
      <w:pPr>
        <w:bidi w:val="0"/>
        <w:jc w:val="center"/>
        <w:rPr>
          <w:rFonts w:hint="eastAsia"/>
          <w:color w:val="auto"/>
          <w:lang w:val="en-US" w:eastAsia="zh-CN"/>
        </w:rPr>
      </w:pPr>
    </w:p>
    <w:p>
      <w:pPr>
        <w:keepNext w:val="0"/>
        <w:keepLines w:val="0"/>
        <w:pageBreakBefore w:val="0"/>
        <w:widowControl/>
        <w:tabs>
          <w:tab w:val="left" w:pos="3309"/>
          <w:tab w:val="left" w:pos="4063"/>
          <w:tab w:val="center" w:pos="4851"/>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图5</w:t>
      </w:r>
      <w:r>
        <w:rPr>
          <w:rFonts w:hint="eastAsia" w:ascii="宋体" w:hAnsi="宋体" w:eastAsia="宋体" w:cs="宋体"/>
          <w:b/>
          <w:color w:val="auto"/>
          <w:sz w:val="21"/>
          <w:szCs w:val="21"/>
        </w:rPr>
        <w:t>-</w:t>
      </w:r>
      <w:r>
        <w:rPr>
          <w:rFonts w:hint="eastAsia" w:ascii="宋体" w:hAnsi="宋体" w:eastAsia="宋体" w:cs="宋体"/>
          <w:b/>
          <w:color w:val="auto"/>
          <w:sz w:val="21"/>
          <w:szCs w:val="21"/>
          <w:lang w:val="en-US" w:eastAsia="zh-CN"/>
        </w:rPr>
        <w:t xml:space="preserve">1        </w:t>
      </w:r>
      <w:r>
        <w:rPr>
          <w:rFonts w:hint="eastAsia" w:ascii="宋体" w:hAnsi="宋体" w:eastAsia="宋体" w:cs="宋体"/>
          <w:b/>
          <w:color w:val="auto"/>
          <w:sz w:val="21"/>
          <w:szCs w:val="21"/>
        </w:rPr>
        <w:t>复垦责任范围</w:t>
      </w:r>
      <w:r>
        <w:rPr>
          <w:rFonts w:hint="eastAsia" w:ascii="宋体" w:hAnsi="宋体" w:eastAsia="宋体" w:cs="宋体"/>
          <w:b/>
          <w:color w:val="auto"/>
          <w:sz w:val="21"/>
          <w:szCs w:val="21"/>
          <w:lang w:val="en-US" w:eastAsia="zh-CN"/>
        </w:rPr>
        <w:t>示意图</w:t>
      </w:r>
    </w:p>
    <w:p>
      <w:pPr>
        <w:bidi w:val="0"/>
        <w:jc w:val="center"/>
        <w:rPr>
          <w:rFonts w:hint="eastAsia"/>
          <w:color w:val="auto"/>
          <w:lang w:val="en-US" w:eastAsia="zh-CN"/>
        </w:rPr>
      </w:pPr>
    </w:p>
    <w:p>
      <w:pPr>
        <w:spacing w:line="360" w:lineRule="auto"/>
        <w:ind w:firstLine="602" w:firstLineChars="200"/>
        <w:outlineLvl w:val="1"/>
        <w:rPr>
          <w:rFonts w:hint="eastAsia" w:ascii="宋体" w:hAnsi="宋体" w:eastAsia="宋体" w:cs="宋体"/>
          <w:b/>
          <w:color w:val="auto"/>
          <w:sz w:val="30"/>
          <w:szCs w:val="30"/>
        </w:rPr>
      </w:pPr>
      <w:r>
        <w:rPr>
          <w:rFonts w:hint="eastAsia" w:ascii="宋体" w:hAnsi="宋体" w:cs="宋体"/>
          <w:b/>
          <w:color w:val="auto"/>
          <w:sz w:val="30"/>
          <w:szCs w:val="30"/>
          <w:lang w:val="en-US" w:eastAsia="zh-CN"/>
        </w:rPr>
        <w:t>二</w:t>
      </w:r>
      <w:r>
        <w:rPr>
          <w:rFonts w:hint="eastAsia" w:ascii="宋体" w:hAnsi="宋体" w:eastAsia="宋体" w:cs="宋体"/>
          <w:b/>
          <w:color w:val="auto"/>
          <w:sz w:val="30"/>
          <w:szCs w:val="30"/>
        </w:rPr>
        <w:t>、</w:t>
      </w:r>
      <w:bookmarkEnd w:id="200"/>
      <w:bookmarkEnd w:id="201"/>
      <w:bookmarkEnd w:id="202"/>
      <w:bookmarkEnd w:id="203"/>
      <w:r>
        <w:rPr>
          <w:rFonts w:hint="eastAsia" w:ascii="宋体" w:hAnsi="宋体" w:eastAsia="宋体" w:cs="宋体"/>
          <w:b/>
          <w:color w:val="auto"/>
          <w:sz w:val="30"/>
          <w:szCs w:val="30"/>
        </w:rPr>
        <w:t>矿区土地复垦可行性分析</w:t>
      </w:r>
      <w:bookmarkEnd w:id="204"/>
    </w:p>
    <w:bookmarkEnd w:id="205"/>
    <w:bookmarkEnd w:id="206"/>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（一）土地复垦适宜性评价</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1、土地复垦适宜性评价原则、依据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（1）评价原则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1）符合土地利用总体规划，并与其他规划相协调的原则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在确定待复垦土地的适宜性时，不仅要考虑被评价土地的自然条件和损毁状况，还应考虑区域性的土地利用总体规划和农牧业规划，统筹考虑本地区的社会经济和矿区的生产建设发展，避免盲目投资、过度超前浪费土地资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2）因地制宜原则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土地利用受周围环境条件制约，土地利用方式必须有与环境特征相适应的配套设施。根据被损毁前后土地拥有的基础设施，因地制宜，扬长避短，发挥优势，确定合理的利用方向。复垦后的土地，根据土地利用总体规划和生态建设规划，尊重权利人意愿的基础上，宜农则农、宜林则林，宜牧则牧、宜渔则渔。</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3）自然因素和社会经济因素相结合原则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对于复垦区被损毁土地复垦适宜性评价，既要考虑它的自然属性（如土壤、气候、地貌、损毁程度等），又要考虑它的社会属性（如业主意愿、社会需求和资金等），二者相结合确定复垦利用方向。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4）主导限制因素与综合平衡原则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影响损毁土地复垦利用的因素很多，如土源、坡度、土壤肥力以及排灌条件等。根据项目区自然环境、土地利用和土地损毁情况，分析影响损毁土地复垦利用的主导性限制因素，同时也应兼顾其他限制因素。</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5）综合效益最佳原则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在确定土地的复垦方向时，应首先考虑其最佳综合效益，选择最佳的利用方向，根据土地状况是否适宜复垦为某种用途的土地，或以最小的费用投入取得最佳的经济、社会和生态环境效益，同时应注意发挥整体效益。</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6）动态和土地可持续利用原则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复垦土地损毁是一个动态过程，复垦土地的适宜性也随损毁等级与过程而变化，具有动态性，在进行复垦土地的适宜性评价时，应考虑矿区工农业发展的前景、科技进步以及生产和生活水平所带来的社会需求方面的变化，确定复垦土地的开发利用方向。复垦后的土地应既能满足保护生物多样性和生态环境的需要，又能满足人类对土地的需求，应保证生态安全和人类社会可持续发展。</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7）经济可行与技术合理性原则</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矿山闭坑后，露天采矿场回填、平整后可与周边地形地貌相协调。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土地复垦所需的费用应在保证复垦目标完整、复垦效果达到复垦标准的前提下，兼顾土地复垦成本，尽可能减轻企业负担。复垦技术应能满足复垦工作顺利开展、复垦效果达到复垦质量的要求。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（2）评价依据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土地复垦适宜性评价是在详细调查项目区土地损毁状况和损毁后的土地的自然条件基础上，参考土地损毁程度分析的结果，依据国家和地方的规划和行业标准，结合项目所在地区的复垦经验，采取切实可行的方法，改善被损毁土地的生态环境，确定复垦利用方向。其主要依据包括：</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1）土地复垦的相关规程和标准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包括《土地复垦方案编制规程》（2011）、《新疆维吾尔自治区土地开发整理工程建设标准条文》（试行）（2007）、新疆维吾尔自治区土地复垦标准和实施办法等。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2）土地利用的相关规程和标准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包括土地利用总体规划（2010-2020年）、新疆生态功能区划等。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其他包括复垦区土地损毁程度分析结果、复垦区土地资源调查资料和项目周边己复垦案例的调查资料等。</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复垦方向的初步确定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土地复垦适宜性评价是以特定复垦方向为前提。根据土地利用总体规划，并与生态环境保护规划相衔接，从矿山实际出发，通过对自然因素、社会经济因素、政策因素和公众意愿的分析，确定初步复垦方向。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（1）政策因素分析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的土地复垦工作应本着因地制宜、合理利用的原则，坚持矿区开发与保护、开采与复垦相结合，实现土地资源的永续利用，并与社会、经济、环境协调发展。综合考虑待复垦区内的实际情况和采矿拟损毁程度后，确定待复垦区的大体复垦方向为：裸土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（2）公众意愿分析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各级专家领导的意见以及矿区公众的意见和态度对复垦适宜性评价工作的开展具有十分重要的意义。本方案编制过程中，遵循公众全面参与、全程参与的原则，为使评价工作更明主化、公众化，特向广大公众征求意见。本项目编制单位技术人员在矿山工作人员的陪同下走访了矿区所在地相关主管部门与土地权属人，就复垦方向、复垦目标等进行了交流与讨论。他们一致认为复垦目标合理可行，因此公众对于土地复垦持肯定的态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得到的意见和建议归纳后大致如下：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——注重复垦区的生态修复，与周围景观一致；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——复垦后使当地居民的生活环境得到恢复和改善。</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（3）自然和社会经济因素分析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开采导致的地表挖损与压占也使得大量土地受损。项目区的土地复垦工作应本着因地制宜、合理利用的原则，坚持矿区开发与保护、开采和复垦相结合，恢复原有土地状态，实现土地资源的可持续利用，并与社会、经济、环境协调发展。本方案综合考虑项目所在地的干旱实际情况，不利于植被生长，因此项目区土地复垦方向主要复垦为裸土地。综上分析，项目区所在位置生态环境脆弱，本方案土地复垦尽最大改善项目区生态环境，保证区域生态环境不恶化，保持水土，涵养土源，保护当地脆弱的生态系统。因此复垦初步方向考虑恢复成裸土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 xml:space="preserve">评价单元划分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本方案主要以土地利用现状图作为评价的基础图件，考虑土地损毁程度，然后根据不同的土地类别情况，综合分析被叠置要素之间的相互作用和联系来进行划分。结合矿山拟破坏土地情况、各破坏土地面积叠加情况以及破坏土地的拟复垦情况，本矿山共分为3个土地复垦区，土地复垦分区见表5-3。</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表5‒3  </w:t>
      </w:r>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rPr>
        <w:t>土地复垦分区表</w:t>
      </w:r>
    </w:p>
    <w:tbl>
      <w:tblPr>
        <w:tblStyle w:val="53"/>
        <w:tblW w:w="90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677"/>
        <w:gridCol w:w="1770"/>
        <w:gridCol w:w="1275"/>
        <w:gridCol w:w="1132"/>
        <w:gridCol w:w="16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569"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一级评价单元</w:t>
            </w:r>
          </w:p>
        </w:tc>
        <w:tc>
          <w:tcPr>
            <w:tcW w:w="1677"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二级评价单元</w:t>
            </w:r>
          </w:p>
        </w:tc>
        <w:tc>
          <w:tcPr>
            <w:tcW w:w="1770"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损毁面积（公顷）</w:t>
            </w:r>
          </w:p>
        </w:tc>
        <w:tc>
          <w:tcPr>
            <w:tcW w:w="1275"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地类</w:t>
            </w:r>
          </w:p>
        </w:tc>
        <w:tc>
          <w:tcPr>
            <w:tcW w:w="1132"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损毁方式</w:t>
            </w:r>
          </w:p>
        </w:tc>
        <w:tc>
          <w:tcPr>
            <w:tcW w:w="1634"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损毁程度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569"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挖损区</w:t>
            </w:r>
          </w:p>
        </w:tc>
        <w:tc>
          <w:tcPr>
            <w:tcW w:w="1677"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露天采矿场</w:t>
            </w:r>
          </w:p>
        </w:tc>
        <w:tc>
          <w:tcPr>
            <w:tcW w:w="1770" w:type="dxa"/>
            <w:vAlign w:val="center"/>
          </w:tcPr>
          <w:p>
            <w:pPr>
              <w:keepNext w:val="0"/>
              <w:keepLines w:val="0"/>
              <w:widowControl/>
              <w:suppressLineNumbers w:val="0"/>
              <w:jc w:val="center"/>
              <w:textAlignment w:val="center"/>
              <w:rPr>
                <w:rFonts w:hint="default" w:ascii="宋体" w:hAnsi="宋体" w:eastAsia="宋体" w:cs="宋体"/>
                <w:bCs/>
                <w:color w:val="auto"/>
                <w:sz w:val="21"/>
                <w:szCs w:val="21"/>
                <w:lang w:val="en-US"/>
              </w:rPr>
            </w:pPr>
            <w:r>
              <w:rPr>
                <w:rFonts w:hint="eastAsia" w:ascii="宋体" w:hAnsi="宋体" w:cs="宋体"/>
                <w:i w:val="0"/>
                <w:iCs w:val="0"/>
                <w:color w:val="auto"/>
                <w:kern w:val="0"/>
                <w:sz w:val="21"/>
                <w:szCs w:val="21"/>
                <w:u w:val="none"/>
                <w:lang w:val="en-US" w:eastAsia="zh-CN" w:bidi="ar"/>
              </w:rPr>
              <w:t>****</w:t>
            </w:r>
          </w:p>
        </w:tc>
        <w:tc>
          <w:tcPr>
            <w:tcW w:w="1275"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裸土地</w:t>
            </w:r>
          </w:p>
        </w:tc>
        <w:tc>
          <w:tcPr>
            <w:tcW w:w="1132"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挖损</w:t>
            </w:r>
          </w:p>
        </w:tc>
        <w:tc>
          <w:tcPr>
            <w:tcW w:w="1634"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重度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569" w:type="dxa"/>
            <w:vMerge w:val="restart"/>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压占区</w:t>
            </w:r>
          </w:p>
        </w:tc>
        <w:tc>
          <w:tcPr>
            <w:tcW w:w="1677"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排土场</w:t>
            </w:r>
          </w:p>
        </w:tc>
        <w:tc>
          <w:tcPr>
            <w:tcW w:w="1770" w:type="dxa"/>
            <w:vAlign w:val="center"/>
          </w:tcPr>
          <w:p>
            <w:pPr>
              <w:keepNext w:val="0"/>
              <w:keepLines w:val="0"/>
              <w:widowControl/>
              <w:suppressLineNumbers w:val="0"/>
              <w:jc w:val="center"/>
              <w:textAlignment w:val="center"/>
              <w:rPr>
                <w:rFonts w:hint="eastAsia" w:ascii="宋体" w:hAnsi="宋体" w:eastAsia="宋体" w:cs="宋体"/>
                <w:bCs/>
                <w:color w:val="auto"/>
                <w:sz w:val="21"/>
                <w:szCs w:val="21"/>
              </w:rPr>
            </w:pPr>
            <w:r>
              <w:rPr>
                <w:rFonts w:hint="eastAsia" w:ascii="宋体" w:hAnsi="宋体" w:cs="宋体"/>
                <w:i w:val="0"/>
                <w:iCs w:val="0"/>
                <w:color w:val="auto"/>
                <w:kern w:val="0"/>
                <w:sz w:val="21"/>
                <w:szCs w:val="21"/>
                <w:u w:val="none"/>
                <w:lang w:val="en-US" w:eastAsia="zh-CN" w:bidi="ar"/>
              </w:rPr>
              <w:t>****</w:t>
            </w:r>
          </w:p>
        </w:tc>
        <w:tc>
          <w:tcPr>
            <w:tcW w:w="1275"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裸土地</w:t>
            </w:r>
          </w:p>
        </w:tc>
        <w:tc>
          <w:tcPr>
            <w:tcW w:w="1132"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1634"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569" w:type="dxa"/>
            <w:vMerge w:val="continue"/>
            <w:vAlign w:val="center"/>
          </w:tcPr>
          <w:p>
            <w:pPr>
              <w:adjustRightInd w:val="0"/>
              <w:snapToGrid w:val="0"/>
              <w:jc w:val="center"/>
              <w:rPr>
                <w:rFonts w:hint="eastAsia" w:ascii="宋体" w:hAnsi="宋体" w:eastAsia="宋体" w:cs="宋体"/>
                <w:bCs/>
                <w:color w:val="auto"/>
                <w:sz w:val="21"/>
                <w:szCs w:val="21"/>
              </w:rPr>
            </w:pPr>
          </w:p>
        </w:tc>
        <w:tc>
          <w:tcPr>
            <w:tcW w:w="1677" w:type="dxa"/>
            <w:shd w:val="clear" w:color="auto" w:fill="auto"/>
            <w:vAlign w:val="center"/>
          </w:tcPr>
          <w:p>
            <w:pPr>
              <w:adjustRightInd w:val="0"/>
              <w:snapToGrid w:val="0"/>
              <w:jc w:val="center"/>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lang w:val="en-US" w:eastAsia="zh-CN"/>
              </w:rPr>
              <w:t>生活区</w:t>
            </w:r>
          </w:p>
        </w:tc>
        <w:tc>
          <w:tcPr>
            <w:tcW w:w="1770" w:type="dxa"/>
            <w:shd w:val="clear" w:color="auto" w:fill="auto"/>
            <w:vAlign w:val="center"/>
          </w:tcPr>
          <w:p>
            <w:pPr>
              <w:keepNext w:val="0"/>
              <w:keepLines w:val="0"/>
              <w:widowControl/>
              <w:suppressLineNumbers w:val="0"/>
              <w:jc w:val="center"/>
              <w:textAlignment w:val="center"/>
              <w:rPr>
                <w:rFonts w:hint="eastAsia" w:ascii="宋体" w:hAnsi="宋体" w:eastAsia="宋体" w:cs="宋体"/>
                <w:bCs/>
                <w:color w:val="auto"/>
                <w:sz w:val="21"/>
                <w:szCs w:val="21"/>
                <w:lang w:val="en-US" w:eastAsia="zh-CN" w:bidi="ar-SA"/>
              </w:rPr>
            </w:pPr>
            <w:r>
              <w:rPr>
                <w:rFonts w:hint="eastAsia" w:ascii="宋体" w:hAnsi="宋体" w:cs="宋体"/>
                <w:i w:val="0"/>
                <w:iCs w:val="0"/>
                <w:color w:val="auto"/>
                <w:kern w:val="0"/>
                <w:sz w:val="21"/>
                <w:szCs w:val="21"/>
                <w:u w:val="none"/>
                <w:lang w:val="en-US" w:eastAsia="zh-CN" w:bidi="ar"/>
              </w:rPr>
              <w:t>****</w:t>
            </w:r>
          </w:p>
        </w:tc>
        <w:tc>
          <w:tcPr>
            <w:tcW w:w="1275" w:type="dxa"/>
            <w:shd w:val="clear" w:color="auto" w:fill="auto"/>
            <w:vAlign w:val="center"/>
          </w:tcPr>
          <w:p>
            <w:pPr>
              <w:adjustRightInd w:val="0"/>
              <w:snapToGrid w:val="0"/>
              <w:jc w:val="center"/>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rPr>
              <w:t>裸土地</w:t>
            </w:r>
          </w:p>
        </w:tc>
        <w:tc>
          <w:tcPr>
            <w:tcW w:w="1132" w:type="dxa"/>
            <w:shd w:val="clear" w:color="auto" w:fill="auto"/>
            <w:vAlign w:val="center"/>
          </w:tcPr>
          <w:p>
            <w:pPr>
              <w:adjustRightInd w:val="0"/>
              <w:snapToGrid w:val="0"/>
              <w:jc w:val="center"/>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rPr>
              <w:t>压占</w:t>
            </w:r>
          </w:p>
        </w:tc>
        <w:tc>
          <w:tcPr>
            <w:tcW w:w="1634" w:type="dxa"/>
            <w:shd w:val="clear" w:color="auto" w:fill="auto"/>
            <w:vAlign w:val="center"/>
          </w:tcPr>
          <w:p>
            <w:pPr>
              <w:adjustRightInd w:val="0"/>
              <w:snapToGrid w:val="0"/>
              <w:jc w:val="center"/>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569" w:type="dxa"/>
            <w:vMerge w:val="continue"/>
            <w:vAlign w:val="center"/>
          </w:tcPr>
          <w:p>
            <w:pPr>
              <w:adjustRightInd w:val="0"/>
              <w:snapToGrid w:val="0"/>
              <w:jc w:val="center"/>
              <w:rPr>
                <w:rFonts w:hint="eastAsia" w:ascii="宋体" w:hAnsi="宋体" w:eastAsia="宋体" w:cs="宋体"/>
                <w:bCs/>
                <w:color w:val="auto"/>
                <w:sz w:val="21"/>
                <w:szCs w:val="21"/>
              </w:rPr>
            </w:pPr>
          </w:p>
        </w:tc>
        <w:tc>
          <w:tcPr>
            <w:tcW w:w="1677"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矿山道路</w:t>
            </w:r>
          </w:p>
        </w:tc>
        <w:tc>
          <w:tcPr>
            <w:tcW w:w="1770" w:type="dxa"/>
            <w:vAlign w:val="center"/>
          </w:tcPr>
          <w:p>
            <w:pPr>
              <w:keepNext w:val="0"/>
              <w:keepLines w:val="0"/>
              <w:widowControl/>
              <w:suppressLineNumbers w:val="0"/>
              <w:jc w:val="center"/>
              <w:textAlignment w:val="center"/>
              <w:rPr>
                <w:rFonts w:hint="eastAsia" w:ascii="宋体" w:hAnsi="宋体" w:eastAsia="宋体" w:cs="宋体"/>
                <w:bCs/>
                <w:color w:val="auto"/>
                <w:sz w:val="21"/>
                <w:szCs w:val="21"/>
              </w:rPr>
            </w:pPr>
            <w:r>
              <w:rPr>
                <w:rFonts w:hint="eastAsia" w:ascii="宋体" w:hAnsi="宋体" w:cs="宋体"/>
                <w:i w:val="0"/>
                <w:iCs w:val="0"/>
                <w:color w:val="auto"/>
                <w:kern w:val="0"/>
                <w:sz w:val="21"/>
                <w:szCs w:val="21"/>
                <w:u w:val="none"/>
                <w:lang w:val="en-US" w:eastAsia="zh-CN" w:bidi="ar"/>
              </w:rPr>
              <w:t>****</w:t>
            </w:r>
          </w:p>
        </w:tc>
        <w:tc>
          <w:tcPr>
            <w:tcW w:w="1275"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裸土地</w:t>
            </w:r>
          </w:p>
        </w:tc>
        <w:tc>
          <w:tcPr>
            <w:tcW w:w="1132"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1634"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中度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3246" w:type="dxa"/>
            <w:gridSpan w:val="2"/>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合计</w:t>
            </w:r>
          </w:p>
        </w:tc>
        <w:tc>
          <w:tcPr>
            <w:tcW w:w="1770" w:type="dxa"/>
            <w:vAlign w:val="center"/>
          </w:tcPr>
          <w:p>
            <w:pPr>
              <w:adjustRightInd w:val="0"/>
              <w:snapToGrid w:val="0"/>
              <w:jc w:val="center"/>
              <w:rPr>
                <w:rFonts w:hint="default" w:ascii="宋体" w:hAnsi="宋体" w:eastAsia="宋体" w:cs="宋体"/>
                <w:bCs/>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75" w:type="dxa"/>
            <w:vAlign w:val="center"/>
          </w:tcPr>
          <w:p>
            <w:pPr>
              <w:adjustRightInd w:val="0"/>
              <w:snapToGrid w:val="0"/>
              <w:jc w:val="center"/>
              <w:rPr>
                <w:rFonts w:hint="eastAsia" w:ascii="宋体" w:hAnsi="宋体" w:eastAsia="宋体" w:cs="宋体"/>
                <w:bCs/>
                <w:color w:val="auto"/>
                <w:sz w:val="21"/>
                <w:szCs w:val="21"/>
              </w:rPr>
            </w:pPr>
          </w:p>
        </w:tc>
        <w:tc>
          <w:tcPr>
            <w:tcW w:w="1132"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c>
          <w:tcPr>
            <w:tcW w:w="1634" w:type="dxa"/>
            <w:vAlign w:val="center"/>
          </w:tcPr>
          <w:p>
            <w:pPr>
              <w:adjustRightInd w:val="0"/>
              <w:snapToGrid w:val="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评价方法的选择</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（1）确定初步复垦方向</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1）国家政策及区域规划</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新疆生态功能区划》，矿区所在区域位于塔里木盆地暖温荒漠及绿洲农业生态区，塔里木盆地西部、北部荒漠及绿洲农业生态亚区，喀什三角洲荒漠-绿洲农业、盐渍化敏感与改水防病生态功能区，主要生态服务功能为农产品生产、荒漠化控制、人居环境、旅游。主要生态环境问题为土壤盐渍化、三角洲下部天然水质差、城市污水处理滞后、浮尘天气多、土壤质量下降。主要生态敏感因子、敏感程度为生物多样性和生境不敏感、中度敏感，土壤侵蚀不敏感，土地沙漠化、土壤盐渍化不敏感。主要保护目标为保护人群身体健康、保护水资源、保护农田、保护荒漠植被、保护文物古迹与民份风情。主要保护措施为改善人畜收用水质、防治地方病，引洪放淤扩大植被疆盖、建设城镇污水处理系统、加强农田投入品的使用管理。发展方向为以农收业为基础，建设棉花及特色林果业基地、发展民俗风情旅游。</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所在区域不在城市化地区、农业地区和生态地区三类国土空间规划和用途管制范围内，也不在生态保护红线范围内。结合待复垦区周边土地利用方式，以恢复原土地利用类型为首选复垦方向，初步确定土地复垦方向为裸岩石砾地。</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2）区域自然条件因素分析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位于塔里木陆块中,南西侧为昆盖山晚古生代岛弧盆系地块；北东侧邻塔里木北缘隆起地块，区内数条沟谷分布，无基岩出露，均为第四系覆盖，植被覆盖率为＜2％。有机质含量12.53-15.28g/kg，PH值7.84-8.01，土壤肥力较低。根据自然条件，复垦方向宜保持与周边土地利用现状一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评估区范围内无居民点，区内地形平缓，干旱少雨，蒸发量大，地表植被不发育弱，属于生态脆弱带，主要土地利用类型为裸岩石砾地。本复垦方案设计复垦措施应以注重地形地貌恢复为主，同时注重社会经济效益的体现，以达到矿山生态效益与社会经济效益综合最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3</w:t>
      </w:r>
      <w:r>
        <w:rPr>
          <w:rFonts w:hint="eastAsia" w:ascii="宋体" w:hAnsi="宋体" w:eastAsia="宋体" w:cs="宋体"/>
          <w:bCs/>
          <w:color w:val="auto"/>
          <w:sz w:val="24"/>
          <w:szCs w:val="24"/>
        </w:rPr>
        <w:t>）区域社会经济条件分析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矿区人迹罕见。矿区内及其周边无常住居民，无工业基础，经济基础相对薄弱。本复垦方案设计复垦措施应以注重生态恢复为主，同时注重社会经济效益的体现，以达到生态效益与社会经济效益综合最佳。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4</w:t>
      </w:r>
      <w:r>
        <w:rPr>
          <w:rFonts w:hint="eastAsia" w:ascii="宋体" w:hAnsi="宋体" w:eastAsia="宋体" w:cs="宋体"/>
          <w:bCs/>
          <w:color w:val="auto"/>
          <w:sz w:val="24"/>
          <w:szCs w:val="24"/>
        </w:rPr>
        <w:t>）公众意愿分析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实地调查走访，该地区的原土地使用者仍希望将损毁土地复垦为原土地利用类型，并保证复垦后的土地肥力不减少，同时在对损毁土地主要采取恢复整治措施，避免土地功能发生重大改变，恢复土地生态功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）复垦方向的初步确定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综合以上区域自然环境条件、社会经济条件、区域地方规划和土地权利人意愿等分析，初步确定待复垦土地以恢复原土地利用类型为主。</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（2）复垦土地的主要限制因素与农林牧业等级标准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复垦土地的主要限制因素是土地评级的依据。根据《土地复垦技术标准》，限制农林牧生产的主要因素有地形坡度、土壤母质、有效土层厚度、灌排水条件、非均匀沉降、污染程度和土壤有机质等。根据以上限制因素的分析指标，将土地复垦适宜性评价等级确定为4级标准：1级表示土地属性最适宜，2级表示中等适宜，3级表示不太适宜，N表示不适宜（表5-4）。</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表5‒4  主要限制因素与农林牧评级指标</w:t>
      </w:r>
    </w:p>
    <w:tbl>
      <w:tblPr>
        <w:tblStyle w:val="53"/>
        <w:tblW w:w="87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3598"/>
        <w:gridCol w:w="1245"/>
        <w:gridCol w:w="1358"/>
        <w:gridCol w:w="1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4686" w:type="dxa"/>
            <w:gridSpan w:val="2"/>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限制因素及分析指标</w:t>
            </w:r>
          </w:p>
        </w:tc>
        <w:tc>
          <w:tcPr>
            <w:tcW w:w="1245" w:type="dxa"/>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耕地评价</w:t>
            </w:r>
          </w:p>
        </w:tc>
        <w:tc>
          <w:tcPr>
            <w:tcW w:w="1358" w:type="dxa"/>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林地评价</w:t>
            </w:r>
          </w:p>
        </w:tc>
        <w:tc>
          <w:tcPr>
            <w:tcW w:w="1499" w:type="dxa"/>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牧草地评价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坡度</w:t>
            </w: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4~7</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8~15</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16~25</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26~35</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＞35</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3或2</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N或3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母质</w:t>
            </w: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壤土</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c>
          <w:tcPr>
            <w:tcW w:w="149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粘土、砂壤土</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c>
          <w:tcPr>
            <w:tcW w:w="149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砂土</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c>
          <w:tcPr>
            <w:tcW w:w="149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砂砾质</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N或3</w:t>
            </w:r>
          </w:p>
        </w:tc>
        <w:tc>
          <w:tcPr>
            <w:tcW w:w="149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覆土厚度（毫米）</w:t>
            </w: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99~50</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49~30</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29~10</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2或N</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影响不大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灌排水</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条件</w:t>
            </w: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不淹没或偶然淹没，灌排水条件较好</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季节性短期淹没，灌排水条件一般</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季节性长期淹没，灌排水条件较差</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3或不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长期淹没，无灌排水条件</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非均匀</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沉降</w:t>
            </w: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轻度</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中度</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重度</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污染</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程度</w:t>
            </w: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无</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轻度</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中度</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重度</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restart"/>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土壤有机质（g.千克）</w:t>
            </w: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ind w:firstLine="420"/>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10‒6</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2‒3</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9" w:type="dxa"/>
            <w:vAlign w:val="center"/>
          </w:tcPr>
          <w:p>
            <w:pPr>
              <w:ind w:firstLine="10" w:firstLineChars="5"/>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88" w:type="dxa"/>
            <w:vMerge w:val="continue"/>
            <w:vAlign w:val="center"/>
          </w:tcPr>
          <w:p>
            <w:pPr>
              <w:ind w:firstLine="420"/>
              <w:jc w:val="center"/>
              <w:rPr>
                <w:rFonts w:hint="eastAsia" w:ascii="宋体" w:hAnsi="宋体" w:eastAsia="宋体" w:cs="宋体"/>
                <w:color w:val="auto"/>
                <w:sz w:val="21"/>
                <w:szCs w:val="21"/>
              </w:rPr>
            </w:pPr>
          </w:p>
        </w:tc>
        <w:tc>
          <w:tcPr>
            <w:tcW w:w="3598" w:type="dxa"/>
            <w:vAlign w:val="center"/>
          </w:tcPr>
          <w:p>
            <w:pPr>
              <w:ind w:firstLine="63" w:firstLineChars="3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245" w:type="dxa"/>
            <w:vAlign w:val="center"/>
          </w:tcPr>
          <w:p>
            <w:pPr>
              <w:ind w:firstLine="27" w:firstLineChars="13"/>
              <w:jc w:val="center"/>
              <w:rPr>
                <w:rFonts w:hint="eastAsia" w:ascii="宋体" w:hAnsi="宋体" w:eastAsia="宋体" w:cs="宋体"/>
                <w:color w:val="auto"/>
                <w:sz w:val="21"/>
                <w:szCs w:val="21"/>
              </w:rPr>
            </w:pPr>
            <w:r>
              <w:rPr>
                <w:rFonts w:hint="eastAsia" w:ascii="宋体" w:hAnsi="宋体" w:eastAsia="宋体" w:cs="宋体"/>
                <w:color w:val="auto"/>
                <w:sz w:val="21"/>
                <w:szCs w:val="21"/>
              </w:rPr>
              <w:t>3或N</w:t>
            </w:r>
          </w:p>
        </w:tc>
        <w:tc>
          <w:tcPr>
            <w:tcW w:w="1358"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1499"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r>
    </w:tbl>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1</w:t>
      </w:r>
      <w:r>
        <w:rPr>
          <w:rFonts w:hint="eastAsia" w:ascii="宋体" w:hAnsi="宋体" w:eastAsia="宋体" w:cs="宋体"/>
          <w:bCs/>
          <w:color w:val="auto"/>
          <w:sz w:val="24"/>
          <w:szCs w:val="24"/>
        </w:rPr>
        <w:t>)参评因素的选择</w:t>
      </w:r>
    </w:p>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根据实地调查，矿山部分地方基岩裸露，地形平缓，植被不发育，周边无耕地、林地、牧草地及农用地，土地类型为</w:t>
      </w:r>
      <w:r>
        <w:rPr>
          <w:rFonts w:hint="eastAsia" w:ascii="宋体" w:hAnsi="宋体" w:cs="宋体"/>
          <w:bCs/>
          <w:color w:val="auto"/>
          <w:sz w:val="24"/>
          <w:szCs w:val="24"/>
          <w:lang w:val="en-US" w:eastAsia="zh-CN"/>
        </w:rPr>
        <w:t>未利用地中的</w:t>
      </w:r>
      <w:r>
        <w:rPr>
          <w:rFonts w:hint="eastAsia" w:ascii="宋体" w:hAnsi="宋体" w:eastAsia="宋体" w:cs="宋体"/>
          <w:bCs/>
          <w:color w:val="auto"/>
          <w:sz w:val="24"/>
          <w:szCs w:val="24"/>
        </w:rPr>
        <w:t>裸土地。主要限制因素，坡度缓，有机机质量少，土壤母质粗，土层薄，灌溉条件较差，地形平坦开阔，排水条件较好；评估区内气候干旱，降雨量小，蒸发量大，无地表水系，灌溉条件较好；评估区地层岩性为泥盆系沙拉依姆群依木干他乌组(Dy)页</w:t>
      </w:r>
      <w:r>
        <w:rPr>
          <w:rFonts w:hint="eastAsia" w:ascii="宋体" w:hAnsi="宋体" w:cs="宋体"/>
          <w:bCs/>
          <w:color w:val="auto"/>
          <w:sz w:val="24"/>
          <w:szCs w:val="24"/>
          <w:lang w:val="en-US" w:eastAsia="zh-CN"/>
        </w:rPr>
        <w:t>层</w:t>
      </w:r>
      <w:r>
        <w:rPr>
          <w:rFonts w:hint="eastAsia" w:ascii="宋体" w:hAnsi="宋体" w:eastAsia="宋体" w:cs="宋体"/>
          <w:bCs/>
          <w:color w:val="auto"/>
          <w:sz w:val="24"/>
          <w:szCs w:val="24"/>
        </w:rPr>
        <w:t>，周边</w:t>
      </w:r>
      <w:r>
        <w:rPr>
          <w:rFonts w:hint="eastAsia" w:ascii="宋体" w:hAnsi="宋体" w:cs="宋体"/>
          <w:bCs/>
          <w:color w:val="auto"/>
          <w:sz w:val="24"/>
          <w:szCs w:val="24"/>
          <w:lang w:val="en-US" w:eastAsia="zh-CN"/>
        </w:rPr>
        <w:t>无</w:t>
      </w:r>
      <w:r>
        <w:rPr>
          <w:rFonts w:hint="eastAsia" w:ascii="宋体" w:hAnsi="宋体" w:eastAsia="宋体" w:cs="宋体"/>
          <w:bCs/>
          <w:color w:val="auto"/>
          <w:sz w:val="24"/>
          <w:szCs w:val="24"/>
        </w:rPr>
        <w:t>耕地、林地，土地利用类型为裸土地（编码1206），土壤有机质含量较低。</w:t>
      </w:r>
    </w:p>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结合评估区内实际条件，评估区土地复垦选取的主要限制因素为坡度、土壤母质、灌排水条件、非均匀沉降、污染程度、土壤有机质等6项指标。结合矿山土地复垦单元和各类参评因素，待复垦土地适宜性评价如下表5-</w:t>
      </w:r>
      <w:r>
        <w:rPr>
          <w:rFonts w:hint="eastAsia" w:ascii="宋体" w:hAnsi="宋体" w:cs="宋体"/>
          <w:bCs/>
          <w:color w:val="auto"/>
          <w:sz w:val="24"/>
          <w:szCs w:val="24"/>
          <w:lang w:val="en-US" w:eastAsia="zh-CN"/>
        </w:rPr>
        <w:t>5</w:t>
      </w:r>
      <w:r>
        <w:rPr>
          <w:rFonts w:hint="eastAsia" w:ascii="宋体" w:hAnsi="宋体" w:eastAsia="宋体" w:cs="宋体"/>
          <w:bCs/>
          <w:color w:val="auto"/>
          <w:sz w:val="24"/>
          <w:szCs w:val="24"/>
        </w:rPr>
        <w:t>。</w:t>
      </w:r>
    </w:p>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2</w:t>
      </w:r>
      <w:r>
        <w:rPr>
          <w:rFonts w:hint="eastAsia" w:ascii="宋体" w:hAnsi="宋体" w:eastAsia="宋体" w:cs="宋体"/>
          <w:bCs/>
          <w:color w:val="auto"/>
          <w:sz w:val="24"/>
          <w:szCs w:val="24"/>
        </w:rPr>
        <w:t>）待复垦土地适宜性评价</w:t>
      </w:r>
    </w:p>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color w:val="auto"/>
          <w:sz w:val="24"/>
        </w:rPr>
      </w:pPr>
      <w:r>
        <w:rPr>
          <w:rFonts w:hint="eastAsia" w:ascii="宋体" w:hAnsi="宋体" w:eastAsia="宋体" w:cs="宋体"/>
          <w:bCs/>
          <w:color w:val="auto"/>
          <w:sz w:val="24"/>
          <w:szCs w:val="24"/>
        </w:rPr>
        <w:t>依据矿山实地调查和资料收集，得到各待复垦土地单元的类参评因素数据（见表5-5）。根据各项指标数据，结合土地复垦可行性评价主要限制因素与农林牧评级指标表5-4，可以得出各复垦分区各参评因素对应的评价等级（见表5-6）。</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表5‒</w:t>
      </w:r>
      <w:r>
        <w:rPr>
          <w:rFonts w:hint="eastAsia" w:ascii="宋体" w:hAnsi="宋体" w:eastAsia="宋体" w:cs="宋体"/>
          <w:b/>
          <w:color w:val="auto"/>
          <w:sz w:val="21"/>
          <w:szCs w:val="21"/>
          <w:lang w:val="en-US" w:eastAsia="zh-CN"/>
        </w:rPr>
        <w:t xml:space="preserve">5  </w:t>
      </w:r>
      <w:r>
        <w:rPr>
          <w:rFonts w:hint="eastAsia" w:ascii="宋体" w:hAnsi="宋体" w:eastAsia="宋体" w:cs="宋体"/>
          <w:b/>
          <w:color w:val="auto"/>
          <w:sz w:val="21"/>
          <w:szCs w:val="21"/>
        </w:rPr>
        <w:t xml:space="preserve"> 待复垦土地单元的参评价因素综合表</w:t>
      </w:r>
    </w:p>
    <w:tbl>
      <w:tblPr>
        <w:tblStyle w:val="53"/>
        <w:tblW w:w="893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5"/>
        <w:gridCol w:w="1073"/>
        <w:gridCol w:w="964"/>
        <w:gridCol w:w="1976"/>
        <w:gridCol w:w="937"/>
        <w:gridCol w:w="840"/>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9" w:hRule="atLeast"/>
          <w:jc w:val="center"/>
        </w:trPr>
        <w:tc>
          <w:tcPr>
            <w:tcW w:w="1875" w:type="dxa"/>
            <w:vMerge w:val="restart"/>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土地复垦分区</w:t>
            </w:r>
          </w:p>
        </w:tc>
        <w:tc>
          <w:tcPr>
            <w:tcW w:w="7056" w:type="dxa"/>
            <w:gridSpan w:val="6"/>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评价因素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 w:hRule="atLeast"/>
          <w:jc w:val="center"/>
        </w:trPr>
        <w:tc>
          <w:tcPr>
            <w:tcW w:w="1875" w:type="dxa"/>
            <w:vMerge w:val="continue"/>
            <w:vAlign w:val="center"/>
          </w:tcPr>
          <w:p>
            <w:pPr>
              <w:jc w:val="center"/>
              <w:rPr>
                <w:rFonts w:hint="eastAsia" w:ascii="宋体" w:hAnsi="宋体" w:eastAsia="宋体" w:cs="宋体"/>
                <w:b/>
                <w:bCs/>
                <w:color w:val="auto"/>
                <w:sz w:val="21"/>
                <w:szCs w:val="21"/>
              </w:rPr>
            </w:pPr>
          </w:p>
        </w:tc>
        <w:tc>
          <w:tcPr>
            <w:tcW w:w="1073" w:type="dxa"/>
            <w:vAlign w:val="center"/>
          </w:tcPr>
          <w:p>
            <w:pPr>
              <w:jc w:val="center"/>
              <w:rPr>
                <w:rFonts w:hint="eastAsia" w:ascii="宋体" w:hAnsi="宋体" w:eastAsia="宋体" w:cs="宋体"/>
                <w:b/>
                <w:color w:val="auto"/>
                <w:sz w:val="21"/>
                <w:szCs w:val="21"/>
              </w:rPr>
            </w:pPr>
            <w:r>
              <w:rPr>
                <w:rFonts w:hint="eastAsia" w:ascii="宋体" w:hAnsi="宋体" w:eastAsia="宋体" w:cs="宋体"/>
                <w:b/>
                <w:bCs/>
                <w:color w:val="auto"/>
                <w:sz w:val="21"/>
                <w:szCs w:val="21"/>
              </w:rPr>
              <w:t>地形坡度</w:t>
            </w:r>
          </w:p>
        </w:tc>
        <w:tc>
          <w:tcPr>
            <w:tcW w:w="964" w:type="dxa"/>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土壤</w:t>
            </w:r>
          </w:p>
          <w:p>
            <w:pPr>
              <w:jc w:val="center"/>
              <w:rPr>
                <w:rFonts w:hint="eastAsia" w:ascii="宋体" w:hAnsi="宋体" w:eastAsia="宋体" w:cs="宋体"/>
                <w:b/>
                <w:bCs/>
                <w:color w:val="auto"/>
                <w:sz w:val="21"/>
                <w:szCs w:val="21"/>
              </w:rPr>
            </w:pPr>
            <w:r>
              <w:rPr>
                <w:rFonts w:hint="eastAsia" w:ascii="宋体" w:hAnsi="宋体" w:eastAsia="宋体" w:cs="宋体"/>
                <w:b/>
                <w:color w:val="auto"/>
                <w:sz w:val="21"/>
                <w:szCs w:val="21"/>
              </w:rPr>
              <w:t>母质</w:t>
            </w:r>
          </w:p>
        </w:tc>
        <w:tc>
          <w:tcPr>
            <w:tcW w:w="1976" w:type="dxa"/>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灌排水条件</w:t>
            </w:r>
          </w:p>
        </w:tc>
        <w:tc>
          <w:tcPr>
            <w:tcW w:w="937" w:type="dxa"/>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非均匀</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沉降</w:t>
            </w:r>
          </w:p>
        </w:tc>
        <w:tc>
          <w:tcPr>
            <w:tcW w:w="840" w:type="dxa"/>
            <w:vAlign w:val="center"/>
          </w:tcPr>
          <w:p>
            <w:pPr>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污染</w:t>
            </w:r>
          </w:p>
          <w:p>
            <w:pPr>
              <w:jc w:val="center"/>
              <w:rPr>
                <w:rFonts w:hint="eastAsia" w:ascii="宋体" w:hAnsi="宋体" w:eastAsia="宋体" w:cs="宋体"/>
                <w:b/>
                <w:color w:val="auto"/>
                <w:sz w:val="21"/>
                <w:szCs w:val="21"/>
              </w:rPr>
            </w:pPr>
            <w:r>
              <w:rPr>
                <w:rFonts w:hint="eastAsia" w:ascii="宋体" w:hAnsi="宋体" w:eastAsia="宋体" w:cs="宋体"/>
                <w:b/>
                <w:bCs/>
                <w:color w:val="auto"/>
                <w:sz w:val="21"/>
                <w:szCs w:val="21"/>
              </w:rPr>
              <w:t>程度</w:t>
            </w:r>
          </w:p>
        </w:tc>
        <w:tc>
          <w:tcPr>
            <w:tcW w:w="1266" w:type="dxa"/>
            <w:vAlign w:val="center"/>
          </w:tcPr>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土壤有机质（g.kg）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4" w:hRule="atLeast"/>
          <w:jc w:val="center"/>
        </w:trPr>
        <w:tc>
          <w:tcPr>
            <w:tcW w:w="187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露天采矿场</w:t>
            </w:r>
          </w:p>
        </w:tc>
        <w:tc>
          <w:tcPr>
            <w:tcW w:w="1073" w:type="dxa"/>
            <w:vAlign w:val="center"/>
          </w:tcPr>
          <w:p>
            <w:pPr>
              <w:jc w:val="center"/>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10</w:t>
            </w:r>
            <w:r>
              <w:rPr>
                <w:rFonts w:hint="eastAsia" w:ascii="宋体" w:hAnsi="宋体" w:eastAsia="宋体" w:cs="宋体"/>
                <w:bCs/>
                <w:color w:val="auto"/>
                <w:sz w:val="21"/>
                <w:szCs w:val="21"/>
                <w:highlight w:val="none"/>
              </w:rPr>
              <w:t>-</w:t>
            </w:r>
            <w:r>
              <w:rPr>
                <w:rFonts w:hint="eastAsia" w:ascii="宋体" w:hAnsi="宋体" w:cs="宋体"/>
                <w:bCs/>
                <w:color w:val="auto"/>
                <w:sz w:val="21"/>
                <w:szCs w:val="21"/>
                <w:highlight w:val="none"/>
                <w:lang w:val="en-US" w:eastAsia="zh-CN"/>
              </w:rPr>
              <w:t>35</w:t>
            </w:r>
            <w:r>
              <w:rPr>
                <w:rFonts w:hint="eastAsia" w:ascii="宋体" w:hAnsi="宋体" w:eastAsia="宋体" w:cs="宋体"/>
                <w:bCs/>
                <w:color w:val="auto"/>
                <w:sz w:val="21"/>
                <w:szCs w:val="21"/>
                <w:highlight w:val="none"/>
              </w:rPr>
              <w:t>°</w:t>
            </w:r>
          </w:p>
        </w:tc>
        <w:tc>
          <w:tcPr>
            <w:tcW w:w="964" w:type="dxa"/>
            <w:vAlign w:val="center"/>
          </w:tcPr>
          <w:p>
            <w:pPr>
              <w:jc w:val="center"/>
              <w:rPr>
                <w:rFonts w:hint="eastAsia" w:ascii="宋体" w:hAnsi="宋体" w:eastAsia="宋体" w:cs="宋体"/>
                <w:bCs/>
                <w:color w:val="auto"/>
                <w:sz w:val="21"/>
                <w:szCs w:val="21"/>
              </w:rPr>
            </w:pPr>
            <w:r>
              <w:rPr>
                <w:rFonts w:hint="eastAsia" w:ascii="宋体" w:hAnsi="宋体" w:eastAsia="宋体" w:cs="宋体"/>
                <w:color w:val="auto"/>
                <w:sz w:val="21"/>
                <w:szCs w:val="21"/>
              </w:rPr>
              <w:t>砂砾质</w:t>
            </w:r>
          </w:p>
        </w:tc>
        <w:tc>
          <w:tcPr>
            <w:tcW w:w="197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不淹没，</w:t>
            </w:r>
          </w:p>
          <w:p>
            <w:pPr>
              <w:jc w:val="center"/>
              <w:rPr>
                <w:rFonts w:hint="eastAsia" w:ascii="宋体" w:hAnsi="宋体" w:eastAsia="宋体" w:cs="宋体"/>
                <w:bCs/>
                <w:color w:val="auto"/>
                <w:sz w:val="21"/>
                <w:szCs w:val="21"/>
              </w:rPr>
            </w:pPr>
            <w:r>
              <w:rPr>
                <w:rFonts w:hint="eastAsia" w:ascii="宋体" w:hAnsi="宋体" w:eastAsia="宋体" w:cs="宋体"/>
                <w:color w:val="auto"/>
                <w:sz w:val="21"/>
                <w:szCs w:val="21"/>
              </w:rPr>
              <w:t>灌排溉条件较差</w:t>
            </w:r>
          </w:p>
        </w:tc>
        <w:tc>
          <w:tcPr>
            <w:tcW w:w="937"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w:t>
            </w:r>
          </w:p>
        </w:tc>
        <w:tc>
          <w:tcPr>
            <w:tcW w:w="840"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w:t>
            </w:r>
          </w:p>
        </w:tc>
        <w:tc>
          <w:tcPr>
            <w:tcW w:w="126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187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排土场</w:t>
            </w:r>
          </w:p>
        </w:tc>
        <w:tc>
          <w:tcPr>
            <w:tcW w:w="1073" w:type="dxa"/>
            <w:vAlign w:val="center"/>
          </w:tcPr>
          <w:p>
            <w:pPr>
              <w:jc w:val="center"/>
              <w:rPr>
                <w:rFonts w:hint="eastAsia" w:ascii="宋体" w:hAnsi="宋体" w:eastAsia="宋体" w:cs="宋体"/>
                <w:bCs/>
                <w:color w:val="auto"/>
                <w:sz w:val="21"/>
                <w:szCs w:val="21"/>
                <w:highlight w:val="none"/>
              </w:rPr>
            </w:pPr>
            <w:r>
              <w:rPr>
                <w:rFonts w:hint="eastAsia" w:ascii="宋体" w:hAnsi="宋体" w:cs="宋体"/>
                <w:color w:val="auto"/>
                <w:sz w:val="21"/>
                <w:szCs w:val="21"/>
                <w:highlight w:val="none"/>
                <w:lang w:val="en-US" w:eastAsia="zh-CN"/>
              </w:rPr>
              <w:t>5-8</w:t>
            </w:r>
            <w:r>
              <w:rPr>
                <w:rFonts w:hint="eastAsia" w:ascii="宋体" w:hAnsi="宋体" w:eastAsia="宋体" w:cs="宋体"/>
                <w:color w:val="auto"/>
                <w:sz w:val="21"/>
                <w:szCs w:val="21"/>
                <w:highlight w:val="none"/>
              </w:rPr>
              <w:t>°</w:t>
            </w:r>
          </w:p>
        </w:tc>
        <w:tc>
          <w:tcPr>
            <w:tcW w:w="964" w:type="dxa"/>
            <w:vAlign w:val="center"/>
          </w:tcPr>
          <w:p>
            <w:pPr>
              <w:jc w:val="center"/>
              <w:rPr>
                <w:rFonts w:hint="eastAsia" w:ascii="宋体" w:hAnsi="宋体" w:eastAsia="宋体" w:cs="宋体"/>
                <w:bCs/>
                <w:color w:val="auto"/>
                <w:sz w:val="21"/>
                <w:szCs w:val="21"/>
              </w:rPr>
            </w:pPr>
            <w:r>
              <w:rPr>
                <w:rFonts w:hint="eastAsia" w:ascii="宋体" w:hAnsi="宋体" w:eastAsia="宋体" w:cs="宋体"/>
                <w:color w:val="auto"/>
                <w:sz w:val="21"/>
                <w:szCs w:val="21"/>
              </w:rPr>
              <w:t>砂砾质</w:t>
            </w:r>
          </w:p>
        </w:tc>
        <w:tc>
          <w:tcPr>
            <w:tcW w:w="197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不淹没，</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灌排溉条件较差</w:t>
            </w:r>
          </w:p>
        </w:tc>
        <w:tc>
          <w:tcPr>
            <w:tcW w:w="937"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w:t>
            </w:r>
          </w:p>
        </w:tc>
        <w:tc>
          <w:tcPr>
            <w:tcW w:w="840"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w:t>
            </w:r>
          </w:p>
        </w:tc>
        <w:tc>
          <w:tcPr>
            <w:tcW w:w="126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9" w:hRule="atLeast"/>
          <w:jc w:val="center"/>
        </w:trPr>
        <w:tc>
          <w:tcPr>
            <w:tcW w:w="1875" w:type="dxa"/>
            <w:vAlign w:val="center"/>
          </w:tcPr>
          <w:p>
            <w:pPr>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生活区</w:t>
            </w:r>
          </w:p>
        </w:tc>
        <w:tc>
          <w:tcPr>
            <w:tcW w:w="1073" w:type="dxa"/>
            <w:shd w:val="clear" w:color="auto" w:fill="auto"/>
            <w:vAlign w:val="center"/>
          </w:tcPr>
          <w:p>
            <w:pPr>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w:t>
            </w:r>
          </w:p>
        </w:tc>
        <w:tc>
          <w:tcPr>
            <w:tcW w:w="964" w:type="dxa"/>
            <w:shd w:val="clear" w:color="auto" w:fill="auto"/>
            <w:vAlign w:val="center"/>
          </w:tcPr>
          <w:p>
            <w:pPr>
              <w:jc w:val="center"/>
              <w:rPr>
                <w:rFonts w:hint="eastAsia" w:ascii="宋体" w:hAnsi="宋体" w:eastAsia="宋体" w:cs="宋体"/>
                <w:bCs/>
                <w:color w:val="auto"/>
                <w:sz w:val="21"/>
                <w:szCs w:val="21"/>
                <w:lang w:val="en-US" w:eastAsia="zh-CN" w:bidi="ar-SA"/>
              </w:rPr>
            </w:pPr>
            <w:r>
              <w:rPr>
                <w:rFonts w:hint="eastAsia" w:ascii="宋体" w:hAnsi="宋体" w:eastAsia="宋体" w:cs="宋体"/>
                <w:color w:val="auto"/>
                <w:sz w:val="21"/>
                <w:szCs w:val="21"/>
              </w:rPr>
              <w:t>砂砾质</w:t>
            </w:r>
          </w:p>
        </w:tc>
        <w:tc>
          <w:tcPr>
            <w:tcW w:w="1976" w:type="dxa"/>
            <w:shd w:val="clear" w:color="auto" w:fill="auto"/>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不淹没，</w:t>
            </w:r>
          </w:p>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灌排溉条件较差</w:t>
            </w:r>
          </w:p>
        </w:tc>
        <w:tc>
          <w:tcPr>
            <w:tcW w:w="937" w:type="dxa"/>
            <w:shd w:val="clear" w:color="auto" w:fill="auto"/>
            <w:vAlign w:val="center"/>
          </w:tcPr>
          <w:p>
            <w:pPr>
              <w:jc w:val="center"/>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rPr>
              <w:t>无</w:t>
            </w:r>
          </w:p>
        </w:tc>
        <w:tc>
          <w:tcPr>
            <w:tcW w:w="840" w:type="dxa"/>
            <w:shd w:val="clear" w:color="auto" w:fill="auto"/>
            <w:vAlign w:val="center"/>
          </w:tcPr>
          <w:p>
            <w:pPr>
              <w:jc w:val="center"/>
              <w:rPr>
                <w:rFonts w:hint="eastAsia" w:ascii="宋体" w:hAnsi="宋体" w:eastAsia="宋体" w:cs="宋体"/>
                <w:bCs/>
                <w:color w:val="auto"/>
                <w:sz w:val="21"/>
                <w:szCs w:val="21"/>
                <w:lang w:val="en-US" w:eastAsia="zh-CN" w:bidi="ar-SA"/>
              </w:rPr>
            </w:pPr>
            <w:r>
              <w:rPr>
                <w:rFonts w:hint="eastAsia" w:ascii="宋体" w:hAnsi="宋体" w:eastAsia="宋体" w:cs="宋体"/>
                <w:bCs/>
                <w:color w:val="auto"/>
                <w:sz w:val="21"/>
                <w:szCs w:val="21"/>
              </w:rPr>
              <w:t>无</w:t>
            </w:r>
          </w:p>
        </w:tc>
        <w:tc>
          <w:tcPr>
            <w:tcW w:w="1266" w:type="dxa"/>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875"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矿山道路</w:t>
            </w:r>
          </w:p>
        </w:tc>
        <w:tc>
          <w:tcPr>
            <w:tcW w:w="1073" w:type="dxa"/>
            <w:vAlign w:val="center"/>
          </w:tcPr>
          <w:p>
            <w:pPr>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3-5°</w:t>
            </w:r>
          </w:p>
        </w:tc>
        <w:tc>
          <w:tcPr>
            <w:tcW w:w="964" w:type="dxa"/>
            <w:vAlign w:val="center"/>
          </w:tcPr>
          <w:p>
            <w:pPr>
              <w:jc w:val="center"/>
              <w:rPr>
                <w:rFonts w:hint="eastAsia" w:ascii="宋体" w:hAnsi="宋体" w:eastAsia="宋体" w:cs="宋体"/>
                <w:bCs/>
                <w:color w:val="auto"/>
                <w:sz w:val="21"/>
                <w:szCs w:val="21"/>
              </w:rPr>
            </w:pPr>
            <w:r>
              <w:rPr>
                <w:rFonts w:hint="eastAsia" w:ascii="宋体" w:hAnsi="宋体" w:eastAsia="宋体" w:cs="宋体"/>
                <w:color w:val="auto"/>
                <w:sz w:val="21"/>
                <w:szCs w:val="21"/>
              </w:rPr>
              <w:t>砂砾质</w:t>
            </w:r>
          </w:p>
        </w:tc>
        <w:tc>
          <w:tcPr>
            <w:tcW w:w="197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不淹没，</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灌排溉条件较差</w:t>
            </w:r>
          </w:p>
        </w:tc>
        <w:tc>
          <w:tcPr>
            <w:tcW w:w="937"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w:t>
            </w:r>
          </w:p>
        </w:tc>
        <w:tc>
          <w:tcPr>
            <w:tcW w:w="840"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无</w:t>
            </w:r>
          </w:p>
        </w:tc>
        <w:tc>
          <w:tcPr>
            <w:tcW w:w="1266"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r>
    </w:tbl>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表5‒6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待复垦土地单元各因素评级结果</w:t>
      </w:r>
    </w:p>
    <w:tbl>
      <w:tblPr>
        <w:tblStyle w:val="53"/>
        <w:tblW w:w="8997" w:type="dxa"/>
        <w:jc w:val="center"/>
        <w:tblInd w:w="0" w:type="dxa"/>
        <w:tblLayout w:type="fixed"/>
        <w:tblCellMar>
          <w:top w:w="0" w:type="dxa"/>
          <w:left w:w="0" w:type="dxa"/>
          <w:bottom w:w="0" w:type="dxa"/>
          <w:right w:w="0" w:type="dxa"/>
        </w:tblCellMar>
      </w:tblPr>
      <w:tblGrid>
        <w:gridCol w:w="907"/>
        <w:gridCol w:w="1057"/>
        <w:gridCol w:w="758"/>
        <w:gridCol w:w="1186"/>
        <w:gridCol w:w="1142"/>
        <w:gridCol w:w="758"/>
        <w:gridCol w:w="850"/>
        <w:gridCol w:w="663"/>
        <w:gridCol w:w="1070"/>
        <w:gridCol w:w="606"/>
      </w:tblGrid>
      <w:tr>
        <w:tblPrEx>
          <w:tblLayout w:type="fixed"/>
          <w:tblCellMar>
            <w:top w:w="0" w:type="dxa"/>
            <w:left w:w="0" w:type="dxa"/>
            <w:bottom w:w="0" w:type="dxa"/>
            <w:right w:w="0" w:type="dxa"/>
          </w:tblCellMar>
        </w:tblPrEx>
        <w:trPr>
          <w:trHeight w:val="310" w:hRule="atLeast"/>
          <w:tblHeader/>
          <w:jc w:val="center"/>
        </w:trPr>
        <w:tc>
          <w:tcPr>
            <w:tcW w:w="9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单元</w:t>
            </w:r>
          </w:p>
        </w:tc>
        <w:tc>
          <w:tcPr>
            <w:tcW w:w="105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复垦土地类型</w:t>
            </w:r>
          </w:p>
        </w:tc>
        <w:tc>
          <w:tcPr>
            <w:tcW w:w="6427" w:type="dxa"/>
            <w:gridSpan w:val="7"/>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评价因素</w:t>
            </w:r>
          </w:p>
        </w:tc>
        <w:tc>
          <w:tcPr>
            <w:tcW w:w="60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评价结果</w:t>
            </w:r>
          </w:p>
        </w:tc>
      </w:tr>
      <w:tr>
        <w:tblPrEx>
          <w:tblLayout w:type="fixed"/>
          <w:tblCellMar>
            <w:top w:w="0" w:type="dxa"/>
            <w:left w:w="0" w:type="dxa"/>
            <w:bottom w:w="0" w:type="dxa"/>
            <w:right w:w="0" w:type="dxa"/>
          </w:tblCellMar>
        </w:tblPrEx>
        <w:trPr>
          <w:trHeight w:val="619" w:hRule="atLeast"/>
          <w:tblHeader/>
          <w:jc w:val="center"/>
        </w:trPr>
        <w:tc>
          <w:tcPr>
            <w:tcW w:w="90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坡度</w:t>
            </w:r>
          </w:p>
        </w:tc>
        <w:tc>
          <w:tcPr>
            <w:tcW w:w="1186"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土壤母质</w:t>
            </w:r>
          </w:p>
        </w:tc>
        <w:tc>
          <w:tcPr>
            <w:tcW w:w="1142"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覆土厚度（mm）</w:t>
            </w: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排灌条件</w:t>
            </w:r>
          </w:p>
        </w:tc>
        <w:tc>
          <w:tcPr>
            <w:tcW w:w="85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非均匀沉降</w:t>
            </w:r>
          </w:p>
        </w:tc>
        <w:tc>
          <w:tcPr>
            <w:tcW w:w="663"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污染程度</w:t>
            </w:r>
          </w:p>
        </w:tc>
        <w:tc>
          <w:tcPr>
            <w:tcW w:w="107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土壤有机质（g/kg）</w:t>
            </w:r>
          </w:p>
        </w:tc>
        <w:tc>
          <w:tcPr>
            <w:tcW w:w="606"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r>
      <w:tr>
        <w:tblPrEx>
          <w:tblLayout w:type="fixed"/>
          <w:tblCellMar>
            <w:top w:w="0" w:type="dxa"/>
            <w:left w:w="0" w:type="dxa"/>
            <w:bottom w:w="0" w:type="dxa"/>
            <w:right w:w="0" w:type="dxa"/>
          </w:tblCellMar>
        </w:tblPrEx>
        <w:trPr>
          <w:trHeight w:val="340" w:hRule="exact"/>
          <w:jc w:val="center"/>
        </w:trPr>
        <w:tc>
          <w:tcPr>
            <w:tcW w:w="907" w:type="dxa"/>
            <w:vMerge w:val="restart"/>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露天采矿场</w:t>
            </w:r>
          </w:p>
          <w:p>
            <w:pPr>
              <w:jc w:val="center"/>
              <w:rPr>
                <w:rFonts w:hint="eastAsia" w:ascii="宋体" w:hAnsi="宋体" w:eastAsia="宋体" w:cs="宋体"/>
                <w:color w:val="auto"/>
                <w:sz w:val="21"/>
                <w:szCs w:val="21"/>
              </w:rPr>
            </w:pPr>
          </w:p>
        </w:tc>
        <w:tc>
          <w:tcPr>
            <w:tcW w:w="105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耕地</w:t>
            </w: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186"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606"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林地</w:t>
            </w: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2</w:t>
            </w:r>
          </w:p>
        </w:tc>
        <w:tc>
          <w:tcPr>
            <w:tcW w:w="1186"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2或N</w:t>
            </w: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06"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top w:val="nil"/>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86"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758"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06" w:type="dxa"/>
            <w:tcBorders>
              <w:top w:val="nil"/>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tblPrEx>
          <w:tblLayout w:type="fixed"/>
          <w:tblCellMar>
            <w:top w:w="0" w:type="dxa"/>
            <w:left w:w="0" w:type="dxa"/>
            <w:bottom w:w="0" w:type="dxa"/>
            <w:right w:w="0" w:type="dxa"/>
          </w:tblCellMar>
        </w:tblPrEx>
        <w:trPr>
          <w:trHeight w:val="340" w:hRule="exact"/>
          <w:jc w:val="center"/>
        </w:trPr>
        <w:tc>
          <w:tcPr>
            <w:tcW w:w="907"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排土场</w:t>
            </w:r>
          </w:p>
        </w:tc>
        <w:tc>
          <w:tcPr>
            <w:tcW w:w="105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耕地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118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60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林地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3或2</w:t>
            </w:r>
          </w:p>
        </w:tc>
        <w:tc>
          <w:tcPr>
            <w:tcW w:w="118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2或N</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0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N或3</w:t>
            </w:r>
          </w:p>
        </w:tc>
        <w:tc>
          <w:tcPr>
            <w:tcW w:w="118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0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r>
        <w:tblPrEx>
          <w:tblLayout w:type="fixed"/>
          <w:tblCellMar>
            <w:top w:w="0" w:type="dxa"/>
            <w:left w:w="0" w:type="dxa"/>
            <w:bottom w:w="0" w:type="dxa"/>
            <w:right w:w="0" w:type="dxa"/>
          </w:tblCellMar>
        </w:tblPrEx>
        <w:trPr>
          <w:trHeight w:val="340" w:hRule="exact"/>
          <w:jc w:val="center"/>
        </w:trPr>
        <w:tc>
          <w:tcPr>
            <w:tcW w:w="907"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生活区</w:t>
            </w:r>
          </w:p>
        </w:tc>
        <w:tc>
          <w:tcPr>
            <w:tcW w:w="105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耕地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11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N</w:t>
            </w:r>
          </w:p>
        </w:tc>
        <w:tc>
          <w:tcPr>
            <w:tcW w:w="75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2或3</w:t>
            </w:r>
          </w:p>
        </w:tc>
        <w:tc>
          <w:tcPr>
            <w:tcW w:w="60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林地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11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2或N</w:t>
            </w:r>
          </w:p>
        </w:tc>
        <w:tc>
          <w:tcPr>
            <w:tcW w:w="75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60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裸土地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lang w:val="en-US" w:eastAsia="zh-CN"/>
              </w:rPr>
            </w:pPr>
            <w:r>
              <w:rPr>
                <w:rFonts w:hint="eastAsia" w:ascii="宋体" w:hAnsi="宋体" w:cs="宋体"/>
                <w:color w:val="auto"/>
                <w:sz w:val="21"/>
                <w:szCs w:val="21"/>
                <w:lang w:val="en-US" w:eastAsia="zh-CN"/>
              </w:rPr>
              <w:t>1</w:t>
            </w:r>
          </w:p>
        </w:tc>
        <w:tc>
          <w:tcPr>
            <w:tcW w:w="118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2</w:t>
            </w:r>
          </w:p>
        </w:tc>
        <w:tc>
          <w:tcPr>
            <w:tcW w:w="758"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1</w:t>
            </w:r>
          </w:p>
        </w:tc>
        <w:tc>
          <w:tcPr>
            <w:tcW w:w="606" w:type="dxa"/>
            <w:tcBorders>
              <w:top w:val="single" w:color="auto" w:sz="4" w:space="0"/>
              <w:left w:val="nil"/>
              <w:bottom w:val="single" w:color="auto" w:sz="4" w:space="0"/>
              <w:right w:val="single" w:color="auto" w:sz="4" w:space="0"/>
            </w:tcBorders>
            <w:shd w:val="clear" w:color="auto" w:fill="auto"/>
            <w:vAlign w:val="center"/>
          </w:tcPr>
          <w:p>
            <w:pPr>
              <w:jc w:val="center"/>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3</w:t>
            </w:r>
          </w:p>
        </w:tc>
      </w:tr>
      <w:tr>
        <w:tblPrEx>
          <w:tblLayout w:type="fixed"/>
          <w:tblCellMar>
            <w:top w:w="0" w:type="dxa"/>
            <w:left w:w="0" w:type="dxa"/>
            <w:bottom w:w="0" w:type="dxa"/>
            <w:right w:w="0" w:type="dxa"/>
          </w:tblCellMar>
        </w:tblPrEx>
        <w:trPr>
          <w:trHeight w:val="340" w:hRule="exact"/>
          <w:jc w:val="center"/>
        </w:trPr>
        <w:tc>
          <w:tcPr>
            <w:tcW w:w="907"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矿山道路</w:t>
            </w:r>
          </w:p>
        </w:tc>
        <w:tc>
          <w:tcPr>
            <w:tcW w:w="105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耕地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8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2或3</w:t>
            </w:r>
          </w:p>
        </w:tc>
        <w:tc>
          <w:tcPr>
            <w:tcW w:w="60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left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林地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8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2或N</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0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N</w:t>
            </w:r>
          </w:p>
        </w:tc>
      </w:tr>
      <w:tr>
        <w:tblPrEx>
          <w:tblLayout w:type="fixed"/>
          <w:tblCellMar>
            <w:top w:w="0" w:type="dxa"/>
            <w:left w:w="0" w:type="dxa"/>
            <w:bottom w:w="0" w:type="dxa"/>
            <w:right w:w="0" w:type="dxa"/>
          </w:tblCellMar>
        </w:tblPrEx>
        <w:trPr>
          <w:trHeight w:val="340" w:hRule="exact"/>
          <w:jc w:val="center"/>
        </w:trPr>
        <w:tc>
          <w:tcPr>
            <w:tcW w:w="907" w:type="dxa"/>
            <w:vMerge w:val="continue"/>
            <w:tcBorders>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p>
        </w:tc>
        <w:tc>
          <w:tcPr>
            <w:tcW w:w="1057"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18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142"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758"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85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63"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70"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606" w:type="dxa"/>
            <w:tcBorders>
              <w:top w:val="single" w:color="auto" w:sz="4" w:space="0"/>
              <w:left w:val="nil"/>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5、最终复垦方向的确定及复垦单元的划分</w:t>
      </w:r>
    </w:p>
    <w:p>
      <w:pPr>
        <w:keepNext w:val="0"/>
        <w:keepLines w:val="0"/>
        <w:pageBreakBefore w:val="0"/>
        <w:widowControl w:val="0"/>
        <w:tabs>
          <w:tab w:val="center" w:pos="4433"/>
        </w:tabs>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结合各复垦分区参评因素的评价等级表5-</w:t>
      </w:r>
      <w:r>
        <w:rPr>
          <w:rFonts w:hint="eastAsia" w:ascii="宋体" w:hAnsi="宋体" w:cs="宋体"/>
          <w:bCs/>
          <w:color w:val="auto"/>
          <w:sz w:val="24"/>
          <w:szCs w:val="24"/>
          <w:lang w:val="en-US" w:eastAsia="zh-CN"/>
        </w:rPr>
        <w:t>6</w:t>
      </w:r>
      <w:r>
        <w:rPr>
          <w:rFonts w:hint="eastAsia" w:ascii="宋体" w:hAnsi="宋体" w:eastAsia="宋体" w:cs="宋体"/>
          <w:bCs/>
          <w:color w:val="auto"/>
          <w:sz w:val="24"/>
          <w:szCs w:val="24"/>
        </w:rPr>
        <w:t>，得出每个复垦分区的待复垦土地适宜性评价结果（见表5-</w:t>
      </w:r>
      <w:r>
        <w:rPr>
          <w:rFonts w:hint="eastAsia" w:ascii="宋体" w:hAnsi="宋体" w:cs="宋体"/>
          <w:bCs/>
          <w:color w:val="auto"/>
          <w:sz w:val="24"/>
          <w:szCs w:val="24"/>
          <w:lang w:val="en-US" w:eastAsia="zh-CN"/>
        </w:rPr>
        <w:t>7</w:t>
      </w:r>
      <w:r>
        <w:rPr>
          <w:rFonts w:hint="eastAsia" w:ascii="宋体" w:hAnsi="宋体" w:eastAsia="宋体" w:cs="宋体"/>
          <w:bCs/>
          <w:color w:val="auto"/>
          <w:sz w:val="24"/>
          <w:szCs w:val="24"/>
        </w:rPr>
        <w:t>），土地复垦限制因素主要为土壤有机质。</w:t>
      </w:r>
    </w:p>
    <w:p>
      <w:pPr>
        <w:keepNext w:val="0"/>
        <w:keepLines w:val="0"/>
        <w:pageBreakBefore w:val="0"/>
        <w:widowControl w:val="0"/>
        <w:tabs>
          <w:tab w:val="center" w:pos="4433"/>
        </w:tabs>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结合各复垦分区评价结果进行论述如下：</w:t>
      </w:r>
    </w:p>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（1）露天采矿场土地复垦区：面积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kern w:val="2"/>
          <w:sz w:val="24"/>
          <w:szCs w:val="24"/>
        </w:rPr>
        <w:t>公</w:t>
      </w:r>
      <w:r>
        <w:rPr>
          <w:rFonts w:hint="eastAsia" w:ascii="宋体" w:hAnsi="宋体" w:eastAsia="宋体" w:cs="宋体"/>
          <w:bCs/>
          <w:color w:val="auto"/>
          <w:sz w:val="24"/>
          <w:szCs w:val="24"/>
        </w:rPr>
        <w:t>顷，露天采矿场土地破坏方式为挖损。土地破坏后地表形成露天采坑，工作台阶坡面角&lt;45°。由于矿体为水平分层开采，坑底地形较平坦，不易积水，排水条件较差；土壤母质为砂砾质，有机质含量低，土地未污染。该区土地复垦适宜性评价等级为“N”或“3”，不适宜复垦为耕地，不太适宜复垦为林地和牧草地。综合评价土地复垦方向为回填、平整后与周边地形地貌相协调，土地复垦类型为裸土地。</w:t>
      </w:r>
    </w:p>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r>
        <w:rPr>
          <w:rFonts w:hint="eastAsia" w:ascii="宋体" w:hAnsi="宋体" w:eastAsia="宋体" w:cs="宋体"/>
          <w:bCs/>
          <w:color w:val="auto"/>
          <w:sz w:val="24"/>
          <w:szCs w:val="24"/>
          <w:lang w:val="en-US" w:eastAsia="zh-CN"/>
        </w:rPr>
        <w:t>排土场</w:t>
      </w:r>
      <w:r>
        <w:rPr>
          <w:rFonts w:hint="eastAsia" w:ascii="宋体" w:hAnsi="宋体" w:eastAsia="宋体" w:cs="宋体"/>
          <w:bCs/>
          <w:color w:val="auto"/>
          <w:sz w:val="24"/>
          <w:szCs w:val="24"/>
        </w:rPr>
        <w:t>土地复垦区：面积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土地破坏方式为压占。地形平坦，场地内排水条件较好；土壤母质为砂砾质，有机质含量低，土地未污染。该区土地复垦适宜性评价等级为“N”或“3”，不适宜复垦为耕地，不太适宜复垦为林地和牧草地。综合评价土地复垦方向为平整后与周边地形地貌相协调，土地复垦类型为裸土地。</w:t>
      </w:r>
    </w:p>
    <w:p>
      <w:pPr>
        <w:pStyle w:val="21"/>
        <w:keepNext w:val="0"/>
        <w:keepLines w:val="0"/>
        <w:pageBreakBefore w:val="0"/>
        <w:widowControl w:val="0"/>
        <w:kinsoku/>
        <w:wordWrap/>
        <w:overflowPunct/>
        <w:topLinePunct w:val="0"/>
        <w:autoSpaceDE/>
        <w:autoSpaceDN/>
        <w:bidi w:val="0"/>
        <w:adjustRightInd/>
        <w:snapToGrid/>
        <w:spacing w:after="0"/>
        <w:textAlignment w:val="auto"/>
        <w:rPr>
          <w:rFonts w:hint="eastAsia" w:ascii="宋体" w:hAnsi="宋体" w:eastAsia="宋体" w:cs="宋体"/>
          <w:color w:val="auto"/>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生活区</w:t>
      </w:r>
      <w:r>
        <w:rPr>
          <w:rFonts w:hint="eastAsia" w:ascii="宋体" w:hAnsi="宋体" w:eastAsia="宋体" w:cs="宋体"/>
          <w:bCs/>
          <w:color w:val="auto"/>
          <w:sz w:val="24"/>
          <w:szCs w:val="24"/>
        </w:rPr>
        <w:t>土地复垦区：面积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土地破坏方式为压占。地形平坦，场地内排水条件较好；土壤母质为砂砾质，有机质含量低，土地未污染。该区土地复垦适宜性评价等级为“N”或“3”，不适宜复垦为耕地，不太适宜复垦为林地和牧草地。综合评价土地复垦方向为平整后与周边地形地貌相协调，土地复垦类型为裸土地。</w:t>
      </w:r>
    </w:p>
    <w:p>
      <w:pPr>
        <w:keepNext w:val="0"/>
        <w:keepLines w:val="0"/>
        <w:pageBreakBefore w:val="0"/>
        <w:widowControl w:val="0"/>
        <w:tabs>
          <w:tab w:val="center" w:pos="4433"/>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）矿山道路土地复垦区：面积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土地破坏方式为压占。闭坑后将区内建筑物拆除、材料外运，垃圾回填采坑。平整后，场地地形坡度3°，场地内不淹没或偶然淹没，排水条件较好；土壤母质为砂砾质，有机质含量低，土地未污染。该区土地复垦适宜性评价等级为“N”或“3”，不适宜复垦为耕地，不太适宜复垦为林地和牧草地。综合评价土地复垦方向为平整后与周边地形地貌相协调，土地复垦类型为裸土地。</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表5‒7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矿山复垦对象各评价单元的评价情况表</w:t>
      </w:r>
    </w:p>
    <w:tbl>
      <w:tblPr>
        <w:tblStyle w:val="53"/>
        <w:tblW w:w="85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9"/>
        <w:gridCol w:w="1029"/>
        <w:gridCol w:w="1418"/>
        <w:gridCol w:w="1134"/>
        <w:gridCol w:w="2345"/>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9"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评价单元</w:t>
            </w:r>
          </w:p>
        </w:tc>
        <w:tc>
          <w:tcPr>
            <w:tcW w:w="1029"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面积（hm</w:t>
            </w:r>
            <w:r>
              <w:rPr>
                <w:rFonts w:hint="eastAsia" w:ascii="宋体" w:hAnsi="宋体" w:eastAsia="宋体" w:cs="宋体"/>
                <w:bCs/>
                <w:color w:val="auto"/>
                <w:sz w:val="21"/>
                <w:szCs w:val="21"/>
                <w:vertAlign w:val="superscript"/>
              </w:rPr>
              <w:t>2</w:t>
            </w:r>
            <w:r>
              <w:rPr>
                <w:rFonts w:hint="eastAsia" w:ascii="宋体" w:hAnsi="宋体" w:eastAsia="宋体" w:cs="宋体"/>
                <w:bCs/>
                <w:color w:val="auto"/>
                <w:sz w:val="21"/>
                <w:szCs w:val="21"/>
              </w:rPr>
              <w:t>）</w:t>
            </w:r>
          </w:p>
        </w:tc>
        <w:tc>
          <w:tcPr>
            <w:tcW w:w="1418"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损毁地类</w:t>
            </w:r>
          </w:p>
        </w:tc>
        <w:tc>
          <w:tcPr>
            <w:tcW w:w="1134" w:type="dxa"/>
            <w:vAlign w:val="center"/>
          </w:tcPr>
          <w:p>
            <w:pPr>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损毁方式</w:t>
            </w:r>
          </w:p>
        </w:tc>
        <w:tc>
          <w:tcPr>
            <w:tcW w:w="2345" w:type="dxa"/>
            <w:tcBorders>
              <w:top w:val="single" w:color="000000" w:sz="4" w:space="0"/>
              <w:left w:val="single" w:color="000000" w:sz="4" w:space="0"/>
              <w:bottom w:val="single" w:color="000000" w:sz="4" w:space="0"/>
              <w:right w:val="single" w:color="000000" w:sz="4" w:space="0"/>
            </w:tcBorders>
            <w:vAlign w:val="center"/>
          </w:tcPr>
          <w:p>
            <w:pPr>
              <w:pStyle w:val="477"/>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适应性评价</w:t>
            </w:r>
          </w:p>
        </w:tc>
        <w:tc>
          <w:tcPr>
            <w:tcW w:w="1119" w:type="dxa"/>
            <w:tcBorders>
              <w:top w:val="single" w:color="000000" w:sz="4" w:space="0"/>
              <w:left w:val="single" w:color="000000" w:sz="4" w:space="0"/>
              <w:bottom w:val="single" w:color="000000" w:sz="4" w:space="0"/>
              <w:right w:val="single" w:color="000000" w:sz="4" w:space="0"/>
            </w:tcBorders>
            <w:vAlign w:val="center"/>
          </w:tcPr>
          <w:p>
            <w:pPr>
              <w:pStyle w:val="477"/>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复垦</w:t>
            </w:r>
          </w:p>
          <w:p>
            <w:pPr>
              <w:pStyle w:val="477"/>
              <w:spacing w:line="240" w:lineRule="auto"/>
              <w:rPr>
                <w:rFonts w:hint="eastAsia" w:ascii="宋体" w:hAnsi="宋体" w:eastAsia="宋体" w:cs="宋体"/>
                <w:color w:val="auto"/>
                <w:sz w:val="21"/>
                <w:szCs w:val="21"/>
              </w:rPr>
            </w:pPr>
            <w:r>
              <w:rPr>
                <w:rFonts w:hint="eastAsia" w:ascii="宋体" w:hAnsi="宋体" w:eastAsia="宋体" w:cs="宋体"/>
                <w:color w:val="auto"/>
                <w:sz w:val="21"/>
                <w:szCs w:val="21"/>
              </w:rPr>
              <w:t>方向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9" w:type="dxa"/>
            <w:tcBorders>
              <w:top w:val="single" w:color="auto" w:sz="4" w:space="0"/>
              <w:left w:val="single" w:color="auto" w:sz="4" w:space="0"/>
              <w:right w:val="single" w:color="auto" w:sz="4" w:space="0"/>
            </w:tcBorders>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bCs/>
                <w:color w:val="auto"/>
                <w:sz w:val="21"/>
                <w:szCs w:val="21"/>
              </w:rPr>
              <w:t>露天采场</w:t>
            </w:r>
          </w:p>
        </w:tc>
        <w:tc>
          <w:tcPr>
            <w:tcW w:w="1029" w:type="dxa"/>
            <w:tcBorders>
              <w:top w:val="single" w:color="auto" w:sz="4" w:space="0"/>
              <w:left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rPr>
            </w:pPr>
            <w:r>
              <w:rPr>
                <w:rFonts w:hint="eastAsia" w:ascii="宋体" w:hAnsi="宋体" w:cs="宋体"/>
                <w:i w:val="0"/>
                <w:iCs w:val="0"/>
                <w:color w:val="auto"/>
                <w:kern w:val="0"/>
                <w:sz w:val="21"/>
                <w:szCs w:val="21"/>
                <w:u w:val="none"/>
                <w:lang w:val="en-US" w:eastAsia="zh-CN" w:bidi="ar"/>
              </w:rPr>
              <w:t>****</w:t>
            </w:r>
          </w:p>
        </w:tc>
        <w:tc>
          <w:tcPr>
            <w:tcW w:w="1418"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裸</w:t>
            </w:r>
            <w:r>
              <w:rPr>
                <w:rFonts w:hint="eastAsia" w:ascii="宋体" w:hAnsi="宋体" w:cs="宋体"/>
                <w:color w:val="auto"/>
                <w:kern w:val="2"/>
                <w:sz w:val="21"/>
                <w:szCs w:val="21"/>
                <w:lang w:val="en-US" w:eastAsia="zh-CN"/>
              </w:rPr>
              <w:t>土</w:t>
            </w:r>
            <w:r>
              <w:rPr>
                <w:rFonts w:hint="eastAsia" w:ascii="宋体" w:hAnsi="宋体" w:eastAsia="宋体" w:cs="宋体"/>
                <w:color w:val="auto"/>
                <w:kern w:val="2"/>
                <w:sz w:val="21"/>
                <w:szCs w:val="21"/>
              </w:rPr>
              <w:t>地</w:t>
            </w:r>
          </w:p>
        </w:tc>
        <w:tc>
          <w:tcPr>
            <w:tcW w:w="1134"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挖损</w:t>
            </w:r>
          </w:p>
        </w:tc>
        <w:tc>
          <w:tcPr>
            <w:tcW w:w="2345"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不适宜复垦为耕地、不适宜复垦为耕地林地，不适宜复垦为牧草地</w:t>
            </w:r>
          </w:p>
        </w:tc>
        <w:tc>
          <w:tcPr>
            <w:tcW w:w="1119"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bCs/>
                <w:color w:val="auto"/>
                <w:sz w:val="21"/>
                <w:szCs w:val="21"/>
              </w:rPr>
              <w:t>裸土地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bCs/>
                <w:color w:val="auto"/>
                <w:sz w:val="21"/>
                <w:szCs w:val="21"/>
              </w:rPr>
              <w:t>排土场</w:t>
            </w:r>
          </w:p>
        </w:tc>
        <w:tc>
          <w:tcPr>
            <w:tcW w:w="102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rPr>
            </w:pPr>
            <w:r>
              <w:rPr>
                <w:rFonts w:hint="eastAsia" w:ascii="宋体" w:hAnsi="宋体" w:cs="宋体"/>
                <w:i w:val="0"/>
                <w:iCs w:val="0"/>
                <w:color w:val="auto"/>
                <w:kern w:val="0"/>
                <w:sz w:val="21"/>
                <w:szCs w:val="21"/>
                <w:u w:val="none"/>
                <w:lang w:val="en-US" w:eastAsia="zh-CN" w:bidi="ar"/>
              </w:rPr>
              <w:t>****</w:t>
            </w:r>
          </w:p>
        </w:tc>
        <w:tc>
          <w:tcPr>
            <w:tcW w:w="1418"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裸</w:t>
            </w:r>
            <w:r>
              <w:rPr>
                <w:rFonts w:hint="eastAsia" w:ascii="宋体" w:hAnsi="宋体" w:cs="宋体"/>
                <w:color w:val="auto"/>
                <w:kern w:val="2"/>
                <w:sz w:val="21"/>
                <w:szCs w:val="21"/>
                <w:lang w:val="en-US" w:eastAsia="zh-CN"/>
              </w:rPr>
              <w:t>土</w:t>
            </w:r>
            <w:r>
              <w:rPr>
                <w:rFonts w:hint="eastAsia" w:ascii="宋体" w:hAnsi="宋体" w:eastAsia="宋体" w:cs="宋体"/>
                <w:color w:val="auto"/>
                <w:kern w:val="2"/>
                <w:sz w:val="21"/>
                <w:szCs w:val="21"/>
              </w:rPr>
              <w:t>地</w:t>
            </w:r>
          </w:p>
        </w:tc>
        <w:tc>
          <w:tcPr>
            <w:tcW w:w="1134"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压占</w:t>
            </w:r>
          </w:p>
        </w:tc>
        <w:tc>
          <w:tcPr>
            <w:tcW w:w="2345"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不适宜复垦为耕地、不适宜复垦为耕地林地，不适宜复垦为牧草地</w:t>
            </w:r>
          </w:p>
        </w:tc>
        <w:tc>
          <w:tcPr>
            <w:tcW w:w="1119"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bCs/>
                <w:color w:val="auto"/>
                <w:sz w:val="21"/>
                <w:szCs w:val="21"/>
              </w:rPr>
              <w:t>裸土地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pPr>
              <w:pStyle w:val="160"/>
              <w:spacing w:line="240" w:lineRule="auto"/>
              <w:rPr>
                <w:rFonts w:hint="eastAsia"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生活区</w:t>
            </w:r>
          </w:p>
        </w:tc>
        <w:tc>
          <w:tcPr>
            <w:tcW w:w="102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bCs/>
                <w:color w:val="auto"/>
                <w:sz w:val="21"/>
                <w:szCs w:val="21"/>
              </w:rPr>
            </w:pPr>
            <w:r>
              <w:rPr>
                <w:rFonts w:hint="eastAsia" w:ascii="宋体" w:hAnsi="宋体" w:cs="宋体"/>
                <w:i w:val="0"/>
                <w:iCs w:val="0"/>
                <w:color w:val="auto"/>
                <w:kern w:val="0"/>
                <w:sz w:val="21"/>
                <w:szCs w:val="21"/>
                <w:u w:val="none"/>
                <w:lang w:val="en-US" w:eastAsia="zh-CN" w:bidi="ar"/>
              </w:rPr>
              <w:t>****</w:t>
            </w:r>
          </w:p>
        </w:tc>
        <w:tc>
          <w:tcPr>
            <w:tcW w:w="1418" w:type="dxa"/>
            <w:shd w:val="clear" w:color="auto" w:fill="auto"/>
            <w:vAlign w:val="center"/>
          </w:tcPr>
          <w:p>
            <w:pPr>
              <w:pStyle w:val="160"/>
              <w:tabs>
                <w:tab w:val="left" w:pos="540"/>
                <w:tab w:val="left" w:pos="1080"/>
                <w:tab w:val="left" w:pos="1260"/>
                <w:tab w:val="left" w:pos="1440"/>
              </w:tabs>
              <w:spacing w:line="240" w:lineRule="auto"/>
              <w:rPr>
                <w:rFonts w:hint="eastAsia" w:ascii="宋体" w:hAnsi="宋体" w:eastAsia="宋体" w:cs="宋体"/>
                <w:bCs w:val="0"/>
                <w:color w:val="auto"/>
                <w:kern w:val="2"/>
                <w:sz w:val="21"/>
                <w:szCs w:val="21"/>
                <w:lang w:val="en-US" w:eastAsia="zh-CN" w:bidi="ar-SA"/>
              </w:rPr>
            </w:pPr>
            <w:r>
              <w:rPr>
                <w:rFonts w:hint="eastAsia" w:ascii="宋体" w:hAnsi="宋体" w:eastAsia="宋体" w:cs="宋体"/>
                <w:color w:val="auto"/>
                <w:kern w:val="2"/>
                <w:sz w:val="21"/>
                <w:szCs w:val="21"/>
              </w:rPr>
              <w:t>裸</w:t>
            </w:r>
            <w:r>
              <w:rPr>
                <w:rFonts w:hint="eastAsia" w:ascii="宋体" w:hAnsi="宋体" w:cs="宋体"/>
                <w:color w:val="auto"/>
                <w:kern w:val="2"/>
                <w:sz w:val="21"/>
                <w:szCs w:val="21"/>
                <w:lang w:val="en-US" w:eastAsia="zh-CN"/>
              </w:rPr>
              <w:t>土</w:t>
            </w:r>
            <w:r>
              <w:rPr>
                <w:rFonts w:hint="eastAsia" w:ascii="宋体" w:hAnsi="宋体" w:eastAsia="宋体" w:cs="宋体"/>
                <w:color w:val="auto"/>
                <w:kern w:val="2"/>
                <w:sz w:val="21"/>
                <w:szCs w:val="21"/>
              </w:rPr>
              <w:t>地</w:t>
            </w:r>
          </w:p>
        </w:tc>
        <w:tc>
          <w:tcPr>
            <w:tcW w:w="1134" w:type="dxa"/>
            <w:shd w:val="clear" w:color="auto" w:fill="auto"/>
            <w:vAlign w:val="center"/>
          </w:tcPr>
          <w:p>
            <w:pPr>
              <w:pStyle w:val="160"/>
              <w:tabs>
                <w:tab w:val="left" w:pos="540"/>
                <w:tab w:val="left" w:pos="1080"/>
                <w:tab w:val="left" w:pos="1260"/>
                <w:tab w:val="left" w:pos="1440"/>
              </w:tabs>
              <w:spacing w:line="240" w:lineRule="auto"/>
              <w:rPr>
                <w:rFonts w:hint="eastAsia" w:ascii="宋体" w:hAnsi="宋体" w:eastAsia="宋体" w:cs="宋体"/>
                <w:bCs w:val="0"/>
                <w:color w:val="auto"/>
                <w:kern w:val="2"/>
                <w:sz w:val="21"/>
                <w:szCs w:val="21"/>
                <w:lang w:val="en-US" w:eastAsia="zh-CN" w:bidi="ar-SA"/>
              </w:rPr>
            </w:pPr>
            <w:r>
              <w:rPr>
                <w:rFonts w:hint="eastAsia" w:ascii="宋体" w:hAnsi="宋体" w:eastAsia="宋体" w:cs="宋体"/>
                <w:color w:val="auto"/>
                <w:kern w:val="2"/>
                <w:sz w:val="21"/>
                <w:szCs w:val="21"/>
              </w:rPr>
              <w:t>压占</w:t>
            </w:r>
          </w:p>
        </w:tc>
        <w:tc>
          <w:tcPr>
            <w:tcW w:w="2345" w:type="dxa"/>
            <w:shd w:val="clear" w:color="auto" w:fill="auto"/>
            <w:vAlign w:val="center"/>
          </w:tcPr>
          <w:p>
            <w:pPr>
              <w:pStyle w:val="160"/>
              <w:tabs>
                <w:tab w:val="left" w:pos="540"/>
                <w:tab w:val="left" w:pos="1080"/>
                <w:tab w:val="left" w:pos="1260"/>
                <w:tab w:val="left" w:pos="1440"/>
              </w:tabs>
              <w:spacing w:line="240" w:lineRule="auto"/>
              <w:rPr>
                <w:rFonts w:hint="eastAsia" w:ascii="宋体" w:hAnsi="宋体" w:eastAsia="宋体" w:cs="宋体"/>
                <w:bCs w:val="0"/>
                <w:color w:val="auto"/>
                <w:kern w:val="2"/>
                <w:sz w:val="21"/>
                <w:szCs w:val="21"/>
                <w:lang w:val="en-US" w:eastAsia="zh-CN" w:bidi="ar-SA"/>
              </w:rPr>
            </w:pPr>
            <w:r>
              <w:rPr>
                <w:rFonts w:hint="eastAsia" w:ascii="宋体" w:hAnsi="宋体" w:eastAsia="宋体" w:cs="宋体"/>
                <w:color w:val="auto"/>
                <w:kern w:val="2"/>
                <w:sz w:val="21"/>
                <w:szCs w:val="21"/>
              </w:rPr>
              <w:t>不适宜复垦为耕地、不适宜复垦为耕地林地，不适宜复垦为牧草地</w:t>
            </w:r>
          </w:p>
        </w:tc>
        <w:tc>
          <w:tcPr>
            <w:tcW w:w="1119" w:type="dxa"/>
            <w:shd w:val="clear" w:color="auto" w:fill="auto"/>
            <w:vAlign w:val="center"/>
          </w:tcPr>
          <w:p>
            <w:pPr>
              <w:pStyle w:val="160"/>
              <w:tabs>
                <w:tab w:val="left" w:pos="540"/>
                <w:tab w:val="left" w:pos="1080"/>
                <w:tab w:val="left" w:pos="1260"/>
                <w:tab w:val="left" w:pos="1440"/>
              </w:tabs>
              <w:spacing w:line="240" w:lineRule="auto"/>
              <w:rPr>
                <w:rFonts w:hint="eastAsia" w:ascii="宋体" w:hAnsi="宋体" w:eastAsia="宋体" w:cs="宋体"/>
                <w:bCs w:val="0"/>
                <w:color w:val="auto"/>
                <w:kern w:val="2"/>
                <w:sz w:val="21"/>
                <w:szCs w:val="21"/>
                <w:lang w:val="en-US" w:eastAsia="zh-CN" w:bidi="ar-SA"/>
              </w:rPr>
            </w:pPr>
            <w:r>
              <w:rPr>
                <w:rFonts w:hint="eastAsia" w:ascii="宋体" w:hAnsi="宋体" w:eastAsia="宋体" w:cs="宋体"/>
                <w:bCs/>
                <w:color w:val="auto"/>
                <w:sz w:val="21"/>
                <w:szCs w:val="21"/>
              </w:rPr>
              <w:t>裸土地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bCs/>
                <w:color w:val="auto"/>
                <w:sz w:val="21"/>
                <w:szCs w:val="21"/>
              </w:rPr>
              <w:t>矿山道路</w:t>
            </w:r>
          </w:p>
        </w:tc>
        <w:tc>
          <w:tcPr>
            <w:tcW w:w="1029"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rPr>
            </w:pPr>
            <w:r>
              <w:rPr>
                <w:rFonts w:hint="eastAsia" w:ascii="宋体" w:hAnsi="宋体" w:cs="宋体"/>
                <w:i w:val="0"/>
                <w:iCs w:val="0"/>
                <w:color w:val="auto"/>
                <w:kern w:val="0"/>
                <w:sz w:val="21"/>
                <w:szCs w:val="21"/>
                <w:u w:val="none"/>
                <w:lang w:val="en-US" w:eastAsia="zh-CN" w:bidi="ar"/>
              </w:rPr>
              <w:t>****</w:t>
            </w:r>
          </w:p>
        </w:tc>
        <w:tc>
          <w:tcPr>
            <w:tcW w:w="1418"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裸</w:t>
            </w:r>
            <w:r>
              <w:rPr>
                <w:rFonts w:hint="eastAsia" w:ascii="宋体" w:hAnsi="宋体" w:cs="宋体"/>
                <w:color w:val="auto"/>
                <w:kern w:val="2"/>
                <w:sz w:val="21"/>
                <w:szCs w:val="21"/>
                <w:lang w:val="en-US" w:eastAsia="zh-CN"/>
              </w:rPr>
              <w:t>土</w:t>
            </w:r>
            <w:r>
              <w:rPr>
                <w:rFonts w:hint="eastAsia" w:ascii="宋体" w:hAnsi="宋体" w:eastAsia="宋体" w:cs="宋体"/>
                <w:color w:val="auto"/>
                <w:kern w:val="2"/>
                <w:sz w:val="21"/>
                <w:szCs w:val="21"/>
              </w:rPr>
              <w:t>地</w:t>
            </w:r>
          </w:p>
        </w:tc>
        <w:tc>
          <w:tcPr>
            <w:tcW w:w="1134"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压占</w:t>
            </w:r>
          </w:p>
        </w:tc>
        <w:tc>
          <w:tcPr>
            <w:tcW w:w="2345"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不适宜复垦为耕地、不适宜复垦为耕地林地，不适宜复垦为牧草地</w:t>
            </w:r>
          </w:p>
        </w:tc>
        <w:tc>
          <w:tcPr>
            <w:tcW w:w="1119" w:type="dxa"/>
            <w:vAlign w:val="center"/>
          </w:tcPr>
          <w:p>
            <w:pPr>
              <w:pStyle w:val="160"/>
              <w:spacing w:line="240" w:lineRule="auto"/>
              <w:rPr>
                <w:rFonts w:hint="eastAsia" w:ascii="宋体" w:hAnsi="宋体" w:eastAsia="宋体" w:cs="宋体"/>
                <w:color w:val="auto"/>
                <w:kern w:val="2"/>
                <w:sz w:val="21"/>
                <w:szCs w:val="21"/>
              </w:rPr>
            </w:pPr>
            <w:r>
              <w:rPr>
                <w:rFonts w:hint="eastAsia" w:ascii="宋体" w:hAnsi="宋体" w:eastAsia="宋体" w:cs="宋体"/>
                <w:bCs/>
                <w:color w:val="auto"/>
                <w:sz w:val="21"/>
                <w:szCs w:val="21"/>
              </w:rPr>
              <w:t>裸土地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46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c>
          <w:tcPr>
            <w:tcW w:w="7045" w:type="dxa"/>
            <w:gridSpan w:val="5"/>
            <w:tcBorders>
              <w:top w:val="single" w:color="auto" w:sz="4" w:space="0"/>
              <w:left w:val="single" w:color="auto" w:sz="4" w:space="0"/>
              <w:bottom w:val="single" w:color="auto" w:sz="4" w:space="0"/>
            </w:tcBorders>
            <w:vAlign w:val="center"/>
          </w:tcPr>
          <w:p>
            <w:pPr>
              <w:jc w:val="center"/>
              <w:rPr>
                <w:rFonts w:hint="eastAsia" w:ascii="宋体" w:hAnsi="宋体" w:eastAsia="宋体" w:cs="宋体"/>
                <w:bCs/>
                <w:color w:val="auto"/>
                <w:sz w:val="21"/>
                <w:szCs w:val="21"/>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1"/>
                <w:szCs w:val="21"/>
              </w:rPr>
              <w:t xml:space="preserve"> hm</w:t>
            </w:r>
            <w:r>
              <w:rPr>
                <w:rFonts w:hint="eastAsia" w:ascii="宋体" w:hAnsi="宋体" w:eastAsia="宋体" w:cs="宋体"/>
                <w:bCs/>
                <w:color w:val="auto"/>
                <w:sz w:val="21"/>
                <w:szCs w:val="21"/>
                <w:vertAlign w:val="superscript"/>
              </w:rPr>
              <w:t>2</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（二）水土资源平衡分析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bookmarkStart w:id="207" w:name="_Toc31226"/>
      <w:bookmarkStart w:id="208" w:name="_Toc22899"/>
      <w:r>
        <w:rPr>
          <w:rFonts w:hint="eastAsia" w:ascii="宋体" w:hAnsi="宋体" w:eastAsia="宋体" w:cs="宋体"/>
          <w:bCs/>
          <w:color w:val="auto"/>
          <w:sz w:val="24"/>
          <w:szCs w:val="24"/>
          <w:highlight w:val="none"/>
        </w:rPr>
        <w:t>1、水资源平衡分析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矿区位于塔里木陆块中,南西侧为昆盖山晚古生代岛弧盆系地块；北东侧邻塔里木北缘隆起地块，年均降水量约</w:t>
      </w:r>
      <w:r>
        <w:rPr>
          <w:rFonts w:hint="eastAsia" w:ascii="宋体" w:hAnsi="宋体" w:eastAsia="宋体" w:cs="宋体"/>
          <w:color w:val="auto"/>
          <w:sz w:val="24"/>
          <w:szCs w:val="24"/>
          <w:highlight w:val="none"/>
        </w:rPr>
        <w:t>74.7mm</w:t>
      </w:r>
      <w:r>
        <w:rPr>
          <w:rFonts w:hint="eastAsia" w:ascii="宋体" w:hAnsi="宋体" w:eastAsia="宋体" w:cs="宋体"/>
          <w:bCs/>
          <w:color w:val="auto"/>
          <w:sz w:val="24"/>
          <w:szCs w:val="24"/>
          <w:highlight w:val="none"/>
        </w:rPr>
        <w:t>左右,年蒸发量</w:t>
      </w:r>
      <w:r>
        <w:rPr>
          <w:rFonts w:hint="eastAsia" w:ascii="宋体" w:hAnsi="宋体" w:eastAsia="宋体" w:cs="宋体"/>
          <w:color w:val="auto"/>
          <w:sz w:val="24"/>
          <w:szCs w:val="24"/>
          <w:highlight w:val="none"/>
        </w:rPr>
        <w:t>2233</w:t>
      </w:r>
      <w:r>
        <w:rPr>
          <w:rFonts w:hint="eastAsia" w:ascii="宋体" w:hAnsi="宋体" w:eastAsia="宋体" w:cs="宋体"/>
          <w:bCs/>
          <w:color w:val="auto"/>
          <w:sz w:val="24"/>
          <w:szCs w:val="24"/>
          <w:highlight w:val="none"/>
        </w:rPr>
        <w:t>mm，冬季气温低寒，平均气温在</w:t>
      </w:r>
      <w:r>
        <w:rPr>
          <w:rFonts w:hint="eastAsia" w:ascii="宋体" w:hAnsi="宋体" w:cs="宋体"/>
          <w:color w:val="auto"/>
          <w:sz w:val="24"/>
          <w:szCs w:val="24"/>
          <w:highlight w:val="none"/>
          <w:lang w:val="en-US" w:eastAsia="zh-CN"/>
        </w:rPr>
        <w:t>-5</w:t>
      </w:r>
      <w:r>
        <w:rPr>
          <w:rFonts w:hint="eastAsia" w:ascii="宋体" w:hAnsi="宋体" w:eastAsia="宋体" w:cs="宋体"/>
          <w:bCs/>
          <w:color w:val="auto"/>
          <w:sz w:val="24"/>
          <w:szCs w:val="24"/>
          <w:highlight w:val="none"/>
        </w:rPr>
        <w:t>℃左右；夏季炎热，平均气温在20℃—30℃之间，最高可达</w:t>
      </w:r>
      <w:r>
        <w:rPr>
          <w:rFonts w:hint="eastAsia" w:ascii="宋体" w:hAnsi="宋体" w:eastAsia="宋体" w:cs="宋体"/>
          <w:color w:val="auto"/>
          <w:sz w:val="24"/>
          <w:szCs w:val="24"/>
          <w:highlight w:val="none"/>
        </w:rPr>
        <w:t>41.5</w:t>
      </w:r>
      <w:r>
        <w:rPr>
          <w:rFonts w:hint="eastAsia" w:ascii="宋体" w:hAnsi="宋体" w:eastAsia="宋体" w:cs="宋体"/>
          <w:bCs/>
          <w:color w:val="auto"/>
          <w:sz w:val="24"/>
          <w:szCs w:val="24"/>
          <w:highlight w:val="none"/>
        </w:rPr>
        <w:t>℃以上;年平均气温</w:t>
      </w:r>
      <w:r>
        <w:rPr>
          <w:rFonts w:hint="eastAsia" w:ascii="宋体" w:hAnsi="宋体" w:eastAsia="宋体" w:cs="宋体"/>
          <w:color w:val="auto"/>
          <w:sz w:val="24"/>
          <w:szCs w:val="24"/>
          <w:highlight w:val="none"/>
        </w:rPr>
        <w:t>12.6</w:t>
      </w:r>
      <w:r>
        <w:rPr>
          <w:rFonts w:hint="eastAsia" w:ascii="宋体" w:hAnsi="宋体" w:eastAsia="宋体" w:cs="宋体"/>
          <w:bCs/>
          <w:color w:val="auto"/>
          <w:sz w:val="24"/>
          <w:szCs w:val="24"/>
          <w:highlight w:val="none"/>
        </w:rPr>
        <w:t>℃，无霜期210天。每年3月至5月份，有沙尘天气出现，沙尘天气一般可持续3至10天。根据矿区自然、气象水文条件及复垦工程实施的可操作性，确定本项目土地复垦方向为</w:t>
      </w:r>
      <w:r>
        <w:rPr>
          <w:rFonts w:hint="eastAsia" w:ascii="宋体" w:hAnsi="宋体" w:cs="宋体"/>
          <w:bCs/>
          <w:color w:val="auto"/>
          <w:sz w:val="24"/>
          <w:szCs w:val="24"/>
          <w:highlight w:val="none"/>
          <w:lang w:val="en-US" w:eastAsia="zh-CN"/>
        </w:rPr>
        <w:t>裸土地</w:t>
      </w:r>
      <w:r>
        <w:rPr>
          <w:rFonts w:hint="eastAsia" w:ascii="宋体" w:hAnsi="宋体" w:eastAsia="宋体" w:cs="宋体"/>
          <w:bCs/>
          <w:color w:val="auto"/>
          <w:sz w:val="24"/>
          <w:szCs w:val="24"/>
          <w:highlight w:val="none"/>
        </w:rPr>
        <w:t>，复垦只需平整后与周边环境相协调，不涉及复绿，因此矿山土地复垦不涉及灌溉工程。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2、土石方资源平衡分析</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本项目土地复垦方向为裸</w:t>
      </w:r>
      <w:r>
        <w:rPr>
          <w:rFonts w:hint="eastAsia" w:ascii="宋体" w:hAnsi="宋体" w:cs="宋体"/>
          <w:bCs/>
          <w:color w:val="auto"/>
          <w:sz w:val="24"/>
          <w:szCs w:val="24"/>
          <w:highlight w:val="none"/>
          <w:lang w:val="en-US" w:eastAsia="zh-CN"/>
        </w:rPr>
        <w:t>土</w:t>
      </w:r>
      <w:r>
        <w:rPr>
          <w:rFonts w:hint="eastAsia" w:ascii="宋体" w:hAnsi="宋体" w:eastAsia="宋体" w:cs="宋体"/>
          <w:bCs/>
          <w:color w:val="auto"/>
          <w:sz w:val="24"/>
          <w:szCs w:val="24"/>
          <w:highlight w:val="none"/>
        </w:rPr>
        <w:t>地，复垦只需对治理区平整后与周边环境相协调，不涉及覆土工程。</w:t>
      </w:r>
    </w:p>
    <w:bookmarkEnd w:id="207"/>
    <w:bookmarkEnd w:id="208"/>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（三）土地复垦质量要求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1、土地复垦质量要求制定依据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（1）国家及行业的技术标准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1）《土地利用现状分类》（GB/T 21010-2017）；</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2）《土地复垦条例》（2011年）；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3）《土地复垦质量控制标准》（TD/T 1036-2013）；</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4）《土地复垦技术标准（试行）》。</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（2）评估区土地利用水平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考虑到矿区损毁土地的特点，土地复垦工作应根据矿区自身生态环境特征，遵循因地制宜的原则，确保复垦方向与原（或周边）土地利用类型尽可能保持一致。采取合适的预防控制措施和工程措施，使损毁的土地恢复到原生产利用条件，制定的复垦标准原则上不能低于原（或周边）土地利用类型的土壤质量和生产水平。</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（3）项目所在地相关权利人的调查意见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积极调查和听取相关权利人的相关意见和建议，可以提高土地复垦标准的合理性和可行性。本方案在制定复垦标准时，积极与当地自然资源主管部门进行意见交流，深入调查走访损毁土地的原土地使用权人，结合调查咨询结果，合理确定复垦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2、土地复垦质量要求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根据土地复垦适宜性评价得出，矿区土地不适宜进行复垦植绿。根据《土地复垦质量控制标准》TDT1036-2013，复垦前土地利用类型为裸土地，复垦后土地利用类型均为原土地类型。土地复垦控制标准见表</w:t>
      </w: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rPr>
        <w:t>-8。</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highlight w:val="yellow"/>
        </w:rPr>
      </w:pP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highlight w:val="none"/>
        </w:rPr>
        <w:t xml:space="preserve">  表</w:t>
      </w:r>
      <w:r>
        <w:rPr>
          <w:rFonts w:hint="eastAsia" w:ascii="宋体" w:hAnsi="宋体" w:eastAsia="宋体" w:cs="宋体"/>
          <w:b/>
          <w:color w:val="auto"/>
          <w:sz w:val="21"/>
          <w:szCs w:val="21"/>
          <w:highlight w:val="none"/>
          <w:lang w:val="en-US" w:eastAsia="zh-CN"/>
        </w:rPr>
        <w:t>5</w:t>
      </w:r>
      <w:r>
        <w:rPr>
          <w:rFonts w:hint="eastAsia" w:ascii="宋体" w:hAnsi="宋体" w:eastAsia="宋体" w:cs="宋体"/>
          <w:b/>
          <w:color w:val="auto"/>
          <w:sz w:val="21"/>
          <w:szCs w:val="21"/>
          <w:highlight w:val="none"/>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 xml:space="preserve">土地复垦质量控制标准表 </w:t>
      </w:r>
    </w:p>
    <w:p>
      <w:pPr>
        <w:spacing w:before="3" w:line="10" w:lineRule="exact"/>
        <w:ind w:firstLine="20"/>
        <w:rPr>
          <w:rFonts w:ascii="Times New Roman" w:hAnsi="Times New Roman" w:eastAsia="Times New Roman"/>
          <w:color w:val="auto"/>
          <w:sz w:val="1"/>
        </w:rPr>
      </w:pPr>
    </w:p>
    <w:tbl>
      <w:tblPr>
        <w:tblStyle w:val="53"/>
        <w:tblW w:w="81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1"/>
        <w:gridCol w:w="1065"/>
        <w:gridCol w:w="2003"/>
        <w:gridCol w:w="1331"/>
        <w:gridCol w:w="2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exact"/>
          <w:tblHeader/>
          <w:jc w:val="center"/>
        </w:trPr>
        <w:tc>
          <w:tcPr>
            <w:tcW w:w="106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复垦单元</w:t>
            </w:r>
          </w:p>
        </w:tc>
        <w:tc>
          <w:tcPr>
            <w:tcW w:w="1065"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复垦方向</w:t>
            </w: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基本指标</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损毁前原始指标</w:t>
            </w:r>
          </w:p>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值</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本次复垦质量控制标准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restart"/>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露天</w:t>
            </w:r>
            <w:r>
              <w:rPr>
                <w:rFonts w:hint="eastAsia" w:asciiTheme="minorEastAsia" w:hAnsiTheme="minorEastAsia" w:eastAsiaTheme="minorEastAsia" w:cstheme="minorEastAsia"/>
                <w:color w:val="auto"/>
                <w:sz w:val="21"/>
                <w:szCs w:val="21"/>
                <w:lang w:val="en-US" w:eastAsia="zh-CN"/>
              </w:rPr>
              <w:t>采矿场</w:t>
            </w:r>
          </w:p>
        </w:tc>
        <w:tc>
          <w:tcPr>
            <w:tcW w:w="1065" w:type="dxa"/>
            <w:vMerge w:val="restart"/>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裸土地</w:t>
            </w: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地面坡度/(°)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15</w:t>
            </w:r>
            <w:r>
              <w:rPr>
                <w:rFonts w:hint="eastAsia" w:asciiTheme="minorEastAsia" w:hAnsiTheme="minorEastAsia" w:eastAsiaTheme="minorEastAsia" w:cstheme="minorEastAsia"/>
                <w:color w:val="auto"/>
                <w:sz w:val="21"/>
                <w:szCs w:val="21"/>
              </w:rPr>
              <w:t>°</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 xml:space="preserve">场地平整坡度 </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有效土层厚度/cm</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土壤质地</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砾石含量/%</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有机质/%</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植被覆盖度/%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restart"/>
            <w:tcBorders>
              <w:tl2br w:val="nil"/>
              <w:tr2bl w:val="nil"/>
            </w:tcBorders>
            <w:vAlign w:val="center"/>
          </w:tcPr>
          <w:p>
            <w:pPr>
              <w:spacing w:before="11" w:line="240" w:lineRule="auto"/>
              <w:ind w:right="-20" w:firstLine="0" w:firstLineChars="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lang w:val="en-US" w:eastAsia="zh-CN"/>
              </w:rPr>
              <w:t>排土场</w:t>
            </w:r>
          </w:p>
        </w:tc>
        <w:tc>
          <w:tcPr>
            <w:tcW w:w="1065" w:type="dxa"/>
            <w:vMerge w:val="restart"/>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裸土地</w:t>
            </w: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地面坡度/(°)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8</w:t>
            </w:r>
            <w:r>
              <w:rPr>
                <w:rFonts w:hint="eastAsia" w:asciiTheme="minorEastAsia" w:hAnsiTheme="minorEastAsia" w:eastAsiaTheme="minorEastAsia" w:cstheme="minorEastAsia"/>
                <w:color w:val="auto"/>
                <w:sz w:val="21"/>
                <w:szCs w:val="21"/>
              </w:rPr>
              <w:t>°</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场地平整坡度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有效土层厚度/cm</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土壤质地</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砾石含量/%</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有机质/%</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植被覆盖度/%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restart"/>
            <w:tcBorders>
              <w:tl2br w:val="nil"/>
              <w:tr2bl w:val="nil"/>
            </w:tcBorders>
            <w:vAlign w:val="center"/>
          </w:tcPr>
          <w:p>
            <w:pPr>
              <w:spacing w:before="11" w:line="240" w:lineRule="auto"/>
              <w:ind w:right="-20" w:firstLine="0" w:firstLineChars="0"/>
              <w:jc w:val="center"/>
              <w:rPr>
                <w:rFonts w:hint="eastAsia" w:asciiTheme="minorEastAsia" w:hAnsiTheme="minorEastAsia" w:eastAsiaTheme="minorEastAsia" w:cstheme="minorEastAsia"/>
                <w:color w:val="auto"/>
                <w:sz w:val="21"/>
                <w:szCs w:val="21"/>
                <w:lang w:eastAsia="zh-CN"/>
              </w:rPr>
            </w:pPr>
            <w:r>
              <w:rPr>
                <w:rFonts w:hint="eastAsia" w:asciiTheme="minorEastAsia" w:hAnsiTheme="minorEastAsia" w:eastAsiaTheme="minorEastAsia" w:cstheme="minorEastAsia"/>
                <w:color w:val="auto"/>
                <w:sz w:val="21"/>
                <w:szCs w:val="21"/>
              </w:rPr>
              <w:t>生活区</w:t>
            </w:r>
          </w:p>
        </w:tc>
        <w:tc>
          <w:tcPr>
            <w:tcW w:w="1065" w:type="dxa"/>
            <w:vMerge w:val="restart"/>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裸土地</w:t>
            </w: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地面坡度/(°)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场地平整坡度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有效土层厚度/cm</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土壤质地</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砾石含量/%</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有机质/%</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植被覆盖度/%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restart"/>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矿山道路</w:t>
            </w:r>
          </w:p>
        </w:tc>
        <w:tc>
          <w:tcPr>
            <w:tcW w:w="1065" w:type="dxa"/>
            <w:vMerge w:val="restart"/>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裸土地</w:t>
            </w: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地面坡度/(°)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w:t>
            </w:r>
            <w:r>
              <w:rPr>
                <w:rFonts w:hint="eastAsia" w:asciiTheme="minorEastAsia" w:hAnsiTheme="minorEastAsia" w:eastAsiaTheme="minorEastAsia" w:cstheme="minorEastAsia"/>
                <w:color w:val="auto"/>
                <w:sz w:val="21"/>
                <w:szCs w:val="21"/>
                <w:lang w:val="en-US" w:eastAsia="zh-CN"/>
              </w:rPr>
              <w:t>5</w:t>
            </w:r>
            <w:r>
              <w:rPr>
                <w:rFonts w:hint="eastAsia" w:asciiTheme="minorEastAsia" w:hAnsiTheme="minorEastAsia" w:eastAsiaTheme="minorEastAsia" w:cstheme="minorEastAsia"/>
                <w:color w:val="auto"/>
                <w:sz w:val="21"/>
                <w:szCs w:val="21"/>
              </w:rPr>
              <w:t>°</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场地平整坡度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有效土层厚度/cm</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土壤质地</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砂砾质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砾石含量/%</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有机质/%</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 w:hRule="exact"/>
          <w:jc w:val="center"/>
        </w:trPr>
        <w:tc>
          <w:tcPr>
            <w:tcW w:w="1061"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1065" w:type="dxa"/>
            <w:vMerge w:val="continue"/>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p>
        </w:tc>
        <w:tc>
          <w:tcPr>
            <w:tcW w:w="200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植被覆盖度/%</w:t>
            </w:r>
          </w:p>
        </w:tc>
        <w:tc>
          <w:tcPr>
            <w:tcW w:w="1331"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c>
          <w:tcPr>
            <w:tcW w:w="2663" w:type="dxa"/>
            <w:tcBorders>
              <w:tl2br w:val="nil"/>
              <w:tr2bl w:val="nil"/>
            </w:tcBorders>
            <w:vAlign w:val="center"/>
          </w:tcPr>
          <w:p>
            <w:pPr>
              <w:spacing w:before="11" w:line="240" w:lineRule="auto"/>
              <w:ind w:right="-20" w:firstLine="0" w:firstLineChars="0"/>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1</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露天采矿场土地复垦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1）矿山闭坑时回填完毕后对填方进行平整，整治后满足坡度小于</w:t>
      </w:r>
      <w:r>
        <w:rPr>
          <w:rFonts w:hint="eastAsia" w:ascii="宋体" w:hAnsi="宋体" w:cs="宋体"/>
          <w:bCs/>
          <w:color w:val="auto"/>
          <w:sz w:val="24"/>
          <w:szCs w:val="24"/>
          <w:highlight w:val="none"/>
          <w:lang w:val="en-US" w:eastAsia="zh-CN"/>
        </w:rPr>
        <w:t>45</w:t>
      </w:r>
      <w:r>
        <w:rPr>
          <w:rFonts w:hint="eastAsia" w:ascii="宋体" w:hAnsi="宋体" w:eastAsia="宋体" w:cs="宋体"/>
          <w:bCs/>
          <w:color w:val="auto"/>
          <w:sz w:val="24"/>
          <w:szCs w:val="24"/>
          <w:highlight w:val="none"/>
        </w:rPr>
        <w:t>°，禁止形成局部凸起或凹陷，有效控制水土流失，以利于排水。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2）对场地内高陡边坡进行削坡处理，达到稳定坡度。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3）因地制宜，复垦后应基本与周边环境相协调，场地基本平整。露天采场复垦面积</w:t>
      </w:r>
      <w:r>
        <w:rPr>
          <w:rFonts w:hint="eastAsia" w:ascii="宋体" w:hAnsi="宋体" w:eastAsia="宋体" w:cs="宋体"/>
          <w:color w:val="auto"/>
          <w:kern w:val="2"/>
          <w:sz w:val="24"/>
          <w:szCs w:val="24"/>
        </w:rPr>
        <w:t>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kern w:val="2"/>
          <w:sz w:val="24"/>
          <w:szCs w:val="24"/>
        </w:rPr>
        <w:t>公顷</w:t>
      </w:r>
      <w:r>
        <w:rPr>
          <w:rFonts w:hint="eastAsia" w:ascii="宋体" w:hAnsi="宋体" w:eastAsia="宋体" w:cs="宋体"/>
          <w:bCs/>
          <w:color w:val="auto"/>
          <w:sz w:val="24"/>
          <w:szCs w:val="24"/>
        </w:rPr>
        <w:t>，复垦率为100%。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2</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排土场土地复垦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1）有控制污染措施，保证复垦安全。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2）因地制宜，复垦后应基本恢复至原有的土地利用状态。</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3）复垦土地类型为裸土地，复垦后基本恢复至原有土地利用状态，场地基本平整</w:t>
      </w:r>
      <w:r>
        <w:rPr>
          <w:rFonts w:hint="eastAsia" w:ascii="宋体" w:hAnsi="宋体" w:cs="宋体"/>
          <w:bCs/>
          <w:color w:val="auto"/>
          <w:sz w:val="24"/>
          <w:szCs w:val="24"/>
          <w:lang w:eastAsia="zh-CN"/>
        </w:rPr>
        <w:t>，</w:t>
      </w:r>
      <w:r>
        <w:rPr>
          <w:rFonts w:hint="eastAsia" w:ascii="宋体" w:hAnsi="宋体" w:eastAsia="宋体" w:cs="宋体"/>
          <w:bCs/>
          <w:color w:val="auto"/>
          <w:sz w:val="24"/>
          <w:szCs w:val="24"/>
        </w:rPr>
        <w:t>控制堆放坡度，禁止形成局部凸起或凹陷，整治后恢复原始地形坡度。排土场复垦面积为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公顷，复垦率为100%。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（3）</w:t>
      </w:r>
      <w:r>
        <w:rPr>
          <w:rFonts w:hint="eastAsia" w:ascii="宋体" w:hAnsi="宋体" w:eastAsia="宋体" w:cs="宋体"/>
          <w:bCs/>
          <w:color w:val="auto"/>
          <w:sz w:val="24"/>
          <w:szCs w:val="24"/>
          <w:lang w:val="en-US" w:eastAsia="zh-CN"/>
        </w:rPr>
        <w:t>生活区</w:t>
      </w:r>
      <w:r>
        <w:rPr>
          <w:rFonts w:hint="eastAsia" w:ascii="宋体" w:hAnsi="宋体" w:eastAsia="宋体" w:cs="宋体"/>
          <w:bCs/>
          <w:color w:val="auto"/>
          <w:sz w:val="24"/>
          <w:szCs w:val="24"/>
        </w:rPr>
        <w:t>土地复垦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1）有控制污染措施，保证复垦安全。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2）拆除地表设施和建筑物，可利用材料外运，废弃物委托环卫单位清运至</w:t>
      </w:r>
      <w:r>
        <w:rPr>
          <w:rFonts w:hint="eastAsia" w:ascii="宋体" w:hAnsi="宋体" w:eastAsia="宋体" w:cs="宋体"/>
          <w:bCs/>
          <w:color w:val="auto"/>
          <w:sz w:val="24"/>
          <w:szCs w:val="24"/>
          <w:lang w:val="en-US" w:eastAsia="zh-CN"/>
        </w:rPr>
        <w:t>西克尔镇</w:t>
      </w:r>
      <w:r>
        <w:rPr>
          <w:rFonts w:hint="eastAsia" w:ascii="宋体" w:hAnsi="宋体" w:eastAsia="宋体" w:cs="宋体"/>
          <w:bCs/>
          <w:color w:val="auto"/>
          <w:sz w:val="24"/>
          <w:szCs w:val="24"/>
        </w:rPr>
        <w:t>建筑垃圾填埋场填埋。</w:t>
      </w:r>
    </w:p>
    <w:p>
      <w:pPr>
        <w:pStyle w:val="21"/>
        <w:keepNext w:val="0"/>
        <w:keepLines w:val="0"/>
        <w:pageBreakBefore w:val="0"/>
        <w:widowControl w:val="0"/>
        <w:kinsoku/>
        <w:wordWrap/>
        <w:overflowPunct/>
        <w:topLinePunct w:val="0"/>
        <w:bidi w:val="0"/>
        <w:adjustRightInd/>
        <w:snapToGrid/>
        <w:spacing w:after="0"/>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3）复垦土地类型为裸土地，复垦后基本恢复至原有土地利用状态，场地基本平整。排土场复垦面积为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公顷，复垦率为100%。</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cs="宋体"/>
          <w:bCs/>
          <w:color w:val="auto"/>
          <w:sz w:val="24"/>
          <w:szCs w:val="24"/>
          <w:lang w:val="en-US" w:eastAsia="zh-CN"/>
        </w:rPr>
        <w:t>（4）</w:t>
      </w:r>
      <w:r>
        <w:rPr>
          <w:rFonts w:hint="eastAsia" w:ascii="宋体" w:hAnsi="宋体" w:eastAsia="宋体" w:cs="宋体"/>
          <w:bCs/>
          <w:color w:val="auto"/>
          <w:sz w:val="24"/>
          <w:szCs w:val="24"/>
        </w:rPr>
        <w:t>矿山道路土地复垦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1）有控制污染措施，保证复垦安全</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2）因地制宜，复垦后应基本与周边环境相协调。复垦面积为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公顷，复垦率为100%。</w:t>
      </w:r>
    </w:p>
    <w:p>
      <w:pPr>
        <w:spacing w:line="360" w:lineRule="auto"/>
        <w:ind w:firstLine="602" w:firstLineChars="200"/>
        <w:outlineLvl w:val="1"/>
        <w:rPr>
          <w:rFonts w:hint="eastAsia" w:ascii="宋体" w:hAnsi="宋体" w:eastAsia="宋体" w:cs="宋体"/>
          <w:b/>
          <w:color w:val="auto"/>
          <w:sz w:val="30"/>
          <w:szCs w:val="30"/>
        </w:rPr>
      </w:pPr>
      <w:bookmarkStart w:id="209" w:name="_Toc21495"/>
      <w:bookmarkStart w:id="210" w:name="_Toc516175902"/>
      <w:bookmarkStart w:id="211" w:name="_Toc532760458"/>
      <w:bookmarkStart w:id="212" w:name="_Toc3950"/>
      <w:bookmarkStart w:id="213" w:name="_Toc163"/>
      <w:bookmarkStart w:id="214" w:name="_Toc20133"/>
      <w:bookmarkStart w:id="215" w:name="_Toc15393"/>
      <w:r>
        <w:rPr>
          <w:rFonts w:hint="eastAsia" w:ascii="宋体" w:hAnsi="宋体" w:eastAsia="宋体" w:cs="宋体"/>
          <w:b/>
          <w:color w:val="auto"/>
          <w:sz w:val="30"/>
          <w:szCs w:val="30"/>
        </w:rPr>
        <w:t>三、</w:t>
      </w:r>
      <w:bookmarkEnd w:id="209"/>
      <w:bookmarkEnd w:id="210"/>
      <w:bookmarkEnd w:id="211"/>
      <w:bookmarkEnd w:id="212"/>
      <w:r>
        <w:rPr>
          <w:rFonts w:hint="eastAsia" w:ascii="宋体" w:hAnsi="宋体" w:eastAsia="宋体" w:cs="宋体"/>
          <w:b/>
          <w:color w:val="auto"/>
          <w:sz w:val="30"/>
          <w:szCs w:val="30"/>
        </w:rPr>
        <w:t>土地复垦工程</w:t>
      </w:r>
      <w:bookmarkEnd w:id="213"/>
    </w:p>
    <w:bookmarkEnd w:id="214"/>
    <w:bookmarkEnd w:id="215"/>
    <w:p>
      <w:pPr>
        <w:autoSpaceDE w:val="0"/>
        <w:autoSpaceDN w:val="0"/>
        <w:adjustRightInd w:val="0"/>
        <w:snapToGrid w:val="0"/>
        <w:spacing w:line="360" w:lineRule="auto"/>
        <w:ind w:firstLine="562" w:firstLineChars="200"/>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目标任务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sz w:val="24"/>
          <w:szCs w:val="24"/>
        </w:rPr>
      </w:pPr>
      <w:bookmarkStart w:id="216" w:name="_Toc9204"/>
      <w:bookmarkStart w:id="217" w:name="_Toc10261"/>
      <w:r>
        <w:rPr>
          <w:rFonts w:hint="eastAsia" w:ascii="宋体" w:hAnsi="宋体" w:eastAsia="宋体" w:cs="宋体"/>
          <w:bCs/>
          <w:color w:val="auto"/>
          <w:sz w:val="24"/>
          <w:szCs w:val="24"/>
        </w:rPr>
        <w:t>根据项目确定的复垦责任范围，确定了拟复垦土地的面积情况，并通过复垦适宜性评价，明确了各个复垦单元的复垦方向。本方案复垦责任范围面积为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公顷，复垦责任范围内的土地均进行复垦。</w:t>
      </w:r>
    </w:p>
    <w:bookmarkEnd w:id="216"/>
    <w:bookmarkEnd w:id="217"/>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（一）土地复垦预防措施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1、土地破坏预防措施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（1）水土流失防治措施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矿山的开采及建设不可避免的破坏了原有的植被。施工期间应尽量减少临时占地，以减少地表扰动面积和对植被的破坏；对水土保持影响较大的工程应尽量避免雨季施工。</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（2）降低对土地损毁的程度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规范化施工，减少不必要的人为损毁。在满足矿山开采需求的条件下，尽量采取对土地损毁程度小的采矿方法，而且要在采矿过程中不断创造新技术降低土地损毁程度。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2、水土环境污染预防措施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（1）该矿山为新建矿山，未来生产过程中可能产生的水土污染问题进行预防保护。废水则采用沉淀循环的方式继续用于工业生产之中。尽可能实现矿区水资源综合利用最大化；</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（2）矿区外排水水质必须符合国家《污水综合排放标准》(GB8978—2002)所规定的限值，以免对周围地表水和地下水环境造成污染；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掌握各类废水的排放情况，定期监测各类污染物是否达标；加强地下水动态监测工作，在矿区内设立地下水监测点，定期取样进行分析测试，一旦水质发生问题，矿山生产单位应积极采取工程措施和其他补救措施确保地下水水质不受破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3、含水层保护措施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矿山设计开采的矿体位于地下水位之上，不会对含水层造成破坏。矿山开采过程中要严格按照设计开采，不得越界，以免开挖过深，对含水层造成破坏。</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4、矿区土地复垦</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本矿山开采对土地的损毁主要为对土地的压占和挖损，矿山开采对地下水含水层结构及水资源量影响较轻、对土地无污染、对矿区所在地区地层无影响。因此确定土地复垦的目标为尽量确保土地复垦方向与土地利用总体规划保持一致、保持原有土地利用方向，与周边土地利用类型和景观相适应。</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本次方案复垦区面积为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kern w:val="2"/>
          <w:sz w:val="24"/>
          <w:szCs w:val="24"/>
        </w:rPr>
        <w:t>hm</w:t>
      </w:r>
      <w:r>
        <w:rPr>
          <w:rFonts w:hint="eastAsia" w:ascii="宋体" w:hAnsi="宋体" w:eastAsia="宋体" w:cs="宋体"/>
          <w:color w:val="auto"/>
          <w:kern w:val="2"/>
          <w:sz w:val="24"/>
          <w:szCs w:val="24"/>
          <w:vertAlign w:val="superscript"/>
        </w:rPr>
        <w:t>2</w:t>
      </w:r>
      <w:r>
        <w:rPr>
          <w:rFonts w:hint="eastAsia" w:ascii="宋体" w:hAnsi="宋体" w:eastAsia="宋体" w:cs="宋体"/>
          <w:color w:val="auto"/>
          <w:sz w:val="24"/>
          <w:szCs w:val="24"/>
        </w:rPr>
        <w:t>，拟对复垦区土地全部进行复垦，土地复垦率100%，复垦土地类型为裸土地。通过本次复垦，改善当地生态环境，使破坏的生态环境，使破坏的土地得到恢复。土地复垦前后土地利用结构调整情况见表5-8。</w:t>
      </w:r>
    </w:p>
    <w:p>
      <w:pPr>
        <w:keepNext w:val="0"/>
        <w:keepLines w:val="0"/>
        <w:pageBreakBefore w:val="0"/>
        <w:widowControl/>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表5-8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土地复垦前后土地利用结构调整变化表</w:t>
      </w:r>
    </w:p>
    <w:tbl>
      <w:tblPr>
        <w:tblStyle w:val="53"/>
        <w:tblW w:w="805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581"/>
        <w:gridCol w:w="797"/>
        <w:gridCol w:w="1348"/>
        <w:gridCol w:w="1234"/>
        <w:gridCol w:w="129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247"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一级地类</w:t>
            </w:r>
          </w:p>
        </w:tc>
        <w:tc>
          <w:tcPr>
            <w:tcW w:w="2145" w:type="dxa"/>
            <w:gridSpan w:val="2"/>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二级地类</w:t>
            </w:r>
          </w:p>
        </w:tc>
        <w:tc>
          <w:tcPr>
            <w:tcW w:w="1234"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复垦前</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（hm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29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复垦后</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（hm</w:t>
            </w:r>
            <w:r>
              <w:rPr>
                <w:rFonts w:hint="eastAsia" w:ascii="宋体" w:hAnsi="宋体" w:eastAsia="宋体" w:cs="宋体"/>
                <w:color w:val="auto"/>
                <w:sz w:val="21"/>
                <w:szCs w:val="21"/>
                <w:vertAlign w:val="superscript"/>
              </w:rPr>
              <w:t>2</w:t>
            </w:r>
            <w:r>
              <w:rPr>
                <w:rFonts w:hint="eastAsia" w:ascii="宋体" w:hAnsi="宋体" w:eastAsia="宋体" w:cs="宋体"/>
                <w:color w:val="auto"/>
                <w:sz w:val="21"/>
                <w:szCs w:val="21"/>
              </w:rPr>
              <w:t>）</w:t>
            </w:r>
          </w:p>
        </w:tc>
        <w:tc>
          <w:tcPr>
            <w:tcW w:w="114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变幅</w:t>
            </w:r>
          </w:p>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7" w:hRule="atLeast"/>
          <w:jc w:val="center"/>
        </w:trPr>
        <w:tc>
          <w:tcPr>
            <w:tcW w:w="666" w:type="dxa"/>
            <w:vAlign w:val="center"/>
          </w:tcPr>
          <w:p>
            <w:pPr>
              <w:pStyle w:val="473"/>
              <w:jc w:val="center"/>
              <w:rPr>
                <w:rFonts w:hint="eastAsia" w:ascii="宋体" w:hAnsi="宋体" w:eastAsia="宋体" w:cs="宋体"/>
                <w:color w:val="auto"/>
                <w:sz w:val="21"/>
                <w:szCs w:val="21"/>
              </w:rPr>
            </w:pPr>
            <w:r>
              <w:rPr>
                <w:rFonts w:hint="eastAsia" w:ascii="宋体" w:hAnsi="宋体" w:eastAsia="宋体" w:cs="宋体"/>
                <w:color w:val="auto"/>
                <w:sz w:val="21"/>
                <w:szCs w:val="21"/>
              </w:rPr>
              <w:t>12</w:t>
            </w:r>
          </w:p>
        </w:tc>
        <w:tc>
          <w:tcPr>
            <w:tcW w:w="1581" w:type="dxa"/>
            <w:vAlign w:val="center"/>
          </w:tcPr>
          <w:p>
            <w:pPr>
              <w:pStyle w:val="473"/>
              <w:jc w:val="center"/>
              <w:rPr>
                <w:rFonts w:hint="eastAsia" w:ascii="宋体" w:hAnsi="宋体" w:eastAsia="宋体" w:cs="宋体"/>
                <w:color w:val="auto"/>
                <w:sz w:val="21"/>
                <w:szCs w:val="21"/>
              </w:rPr>
            </w:pPr>
            <w:r>
              <w:rPr>
                <w:rFonts w:hint="eastAsia" w:ascii="宋体" w:hAnsi="宋体" w:eastAsia="宋体" w:cs="宋体"/>
                <w:color w:val="auto"/>
                <w:sz w:val="21"/>
                <w:szCs w:val="21"/>
              </w:rPr>
              <w:t>其他土地</w:t>
            </w:r>
          </w:p>
        </w:tc>
        <w:tc>
          <w:tcPr>
            <w:tcW w:w="797" w:type="dxa"/>
            <w:vAlign w:val="center"/>
          </w:tcPr>
          <w:p>
            <w:pPr>
              <w:pStyle w:val="473"/>
              <w:jc w:val="center"/>
              <w:rPr>
                <w:rFonts w:hint="eastAsia" w:ascii="宋体" w:hAnsi="宋体" w:eastAsia="宋体" w:cs="宋体"/>
                <w:color w:val="auto"/>
                <w:sz w:val="21"/>
                <w:szCs w:val="21"/>
              </w:rPr>
            </w:pPr>
            <w:r>
              <w:rPr>
                <w:rFonts w:hint="eastAsia" w:ascii="宋体" w:hAnsi="宋体" w:eastAsia="宋体" w:cs="宋体"/>
                <w:color w:val="auto"/>
                <w:sz w:val="21"/>
                <w:szCs w:val="21"/>
              </w:rPr>
              <w:t>1206</w:t>
            </w:r>
          </w:p>
        </w:tc>
        <w:tc>
          <w:tcPr>
            <w:tcW w:w="1348" w:type="dxa"/>
            <w:vAlign w:val="center"/>
          </w:tcPr>
          <w:p>
            <w:pPr>
              <w:pStyle w:val="473"/>
              <w:jc w:val="center"/>
              <w:rPr>
                <w:rFonts w:hint="eastAsia" w:ascii="宋体" w:hAnsi="宋体" w:eastAsia="宋体" w:cs="宋体"/>
                <w:color w:val="auto"/>
                <w:sz w:val="21"/>
                <w:szCs w:val="21"/>
              </w:rPr>
            </w:pPr>
            <w:r>
              <w:rPr>
                <w:rFonts w:hint="eastAsia" w:ascii="宋体" w:hAnsi="宋体" w:eastAsia="宋体" w:cs="宋体"/>
                <w:color w:val="auto"/>
                <w:sz w:val="21"/>
                <w:szCs w:val="21"/>
              </w:rPr>
              <w:t>裸土地</w:t>
            </w:r>
          </w:p>
        </w:tc>
        <w:tc>
          <w:tcPr>
            <w:tcW w:w="1234" w:type="dxa"/>
            <w:vAlign w:val="center"/>
          </w:tcPr>
          <w:p>
            <w:pPr>
              <w:pStyle w:val="473"/>
              <w:jc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w:t>
            </w:r>
          </w:p>
        </w:tc>
        <w:tc>
          <w:tcPr>
            <w:tcW w:w="1290" w:type="dxa"/>
            <w:vAlign w:val="center"/>
          </w:tcPr>
          <w:p>
            <w:pPr>
              <w:pStyle w:val="473"/>
              <w:jc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w:t>
            </w:r>
          </w:p>
        </w:tc>
        <w:tc>
          <w:tcPr>
            <w:tcW w:w="114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4392" w:type="dxa"/>
            <w:gridSpan w:val="4"/>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合  计</w:t>
            </w:r>
          </w:p>
        </w:tc>
        <w:tc>
          <w:tcPr>
            <w:tcW w:w="1234" w:type="dxa"/>
            <w:vAlign w:val="center"/>
          </w:tcPr>
          <w:p>
            <w:pPr>
              <w:pStyle w:val="473"/>
              <w:jc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w:t>
            </w:r>
          </w:p>
        </w:tc>
        <w:tc>
          <w:tcPr>
            <w:tcW w:w="1290" w:type="dxa"/>
            <w:vAlign w:val="center"/>
          </w:tcPr>
          <w:p>
            <w:pPr>
              <w:pStyle w:val="473"/>
              <w:jc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w:t>
            </w:r>
          </w:p>
        </w:tc>
        <w:tc>
          <w:tcPr>
            <w:tcW w:w="1140" w:type="dxa"/>
            <w:vAlign w:val="center"/>
          </w:tcPr>
          <w:p>
            <w:pPr>
              <w:jc w:val="center"/>
              <w:rPr>
                <w:rFonts w:hint="eastAsia" w:ascii="宋体" w:hAnsi="宋体" w:eastAsia="宋体" w:cs="宋体"/>
                <w:color w:val="auto"/>
                <w:sz w:val="21"/>
                <w:szCs w:val="21"/>
              </w:rPr>
            </w:pPr>
            <w:r>
              <w:rPr>
                <w:rFonts w:hint="eastAsia" w:ascii="宋体" w:hAnsi="宋体" w:eastAsia="宋体" w:cs="宋体"/>
                <w:color w:val="auto"/>
                <w:sz w:val="21"/>
                <w:szCs w:val="21"/>
              </w:rPr>
              <w:t>0.0</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（二）矿区土地复垦</w:t>
      </w:r>
    </w:p>
    <w:p>
      <w:pPr>
        <w:pStyle w:val="63"/>
        <w:keepNext w:val="0"/>
        <w:keepLines w:val="0"/>
        <w:pageBreakBefore w:val="0"/>
        <w:widowControl w:val="0"/>
        <w:kinsoku/>
        <w:wordWrap/>
        <w:overflowPunct/>
        <w:bidi w:val="0"/>
        <w:adjustRightInd/>
        <w:snapToGrid/>
        <w:ind w:firstLine="560"/>
        <w:textAlignment w:val="auto"/>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rPr>
        <w:t>1</w:t>
      </w:r>
      <w:r>
        <w:rPr>
          <w:rFonts w:hint="eastAsia" w:ascii="宋体" w:hAnsi="宋体" w:eastAsia="宋体" w:cs="宋体"/>
          <w:bCs/>
          <w:color w:val="auto"/>
          <w:kern w:val="0"/>
          <w:sz w:val="24"/>
          <w:szCs w:val="24"/>
          <w:highlight w:val="none"/>
          <w:lang w:eastAsia="zh-CN"/>
        </w:rPr>
        <w:t>、</w:t>
      </w:r>
      <w:r>
        <w:rPr>
          <w:rFonts w:hint="eastAsia" w:ascii="宋体" w:hAnsi="宋体" w:eastAsia="宋体" w:cs="宋体"/>
          <w:bCs/>
          <w:color w:val="auto"/>
          <w:kern w:val="0"/>
          <w:sz w:val="24"/>
          <w:szCs w:val="24"/>
          <w:highlight w:val="none"/>
        </w:rPr>
        <w:t>工程设计和技术措施</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1）露天采场复垦单元</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矿山闭坑后，露天采场需要复垦的面</w:t>
      </w:r>
      <w:r>
        <w:rPr>
          <w:rFonts w:hint="eastAsia" w:ascii="宋体" w:hAnsi="宋体" w:eastAsia="宋体" w:cs="宋体"/>
          <w:color w:val="auto"/>
          <w:kern w:val="2"/>
          <w:sz w:val="24"/>
          <w:szCs w:val="24"/>
          <w:highlight w:val="none"/>
        </w:rPr>
        <w:t>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kern w:val="2"/>
          <w:sz w:val="24"/>
          <w:szCs w:val="24"/>
          <w:highlight w:val="none"/>
        </w:rPr>
        <w:t>公顷</w:t>
      </w:r>
      <w:r>
        <w:rPr>
          <w:rFonts w:hint="eastAsia" w:ascii="宋体" w:hAnsi="宋体" w:eastAsia="宋体" w:cs="宋体"/>
          <w:color w:val="auto"/>
          <w:sz w:val="24"/>
          <w:szCs w:val="24"/>
          <w:highlight w:val="none"/>
        </w:rPr>
        <w:t>，复垦方向为裸土地，土地复垦措施包括</w:t>
      </w:r>
      <w:r>
        <w:rPr>
          <w:rFonts w:hint="eastAsia" w:ascii="宋体" w:hAnsi="宋体" w:cs="宋体"/>
          <w:color w:val="auto"/>
          <w:sz w:val="24"/>
          <w:szCs w:val="24"/>
          <w:highlight w:val="none"/>
          <w:lang w:val="en-US" w:eastAsia="zh-CN"/>
        </w:rPr>
        <w:t>回填工程和</w:t>
      </w:r>
      <w:r>
        <w:rPr>
          <w:rFonts w:hint="eastAsia" w:ascii="宋体" w:hAnsi="宋体" w:eastAsia="宋体" w:cs="宋体"/>
          <w:color w:val="auto"/>
          <w:sz w:val="24"/>
          <w:szCs w:val="24"/>
          <w:highlight w:val="none"/>
        </w:rPr>
        <w:t>平整工程。</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据矿山开采情况及矿山治理恢复工作的部署，开采过程中利用内排废石回填，开采结束后，利用</w:t>
      </w:r>
      <w:r>
        <w:rPr>
          <w:rFonts w:hint="eastAsia" w:ascii="宋体" w:hAnsi="宋体" w:eastAsia="宋体" w:cs="宋体"/>
          <w:color w:val="auto"/>
          <w:sz w:val="24"/>
          <w:szCs w:val="24"/>
          <w:lang w:val="en-US" w:eastAsia="zh-CN"/>
        </w:rPr>
        <w:t>排土场</w:t>
      </w:r>
      <w:r>
        <w:rPr>
          <w:rFonts w:hint="eastAsia" w:ascii="宋体" w:hAnsi="宋体" w:eastAsia="宋体" w:cs="宋体"/>
          <w:color w:val="auto"/>
          <w:sz w:val="24"/>
          <w:szCs w:val="24"/>
        </w:rPr>
        <w:t>所有废石回填，预计回填后采场底部升高约</w:t>
      </w:r>
      <w:r>
        <w:rPr>
          <w:rFonts w:hint="eastAsia" w:ascii="宋体" w:hAnsi="宋体" w:eastAsia="宋体" w:cs="宋体"/>
          <w:color w:val="auto"/>
          <w:sz w:val="24"/>
          <w:szCs w:val="24"/>
          <w:lang w:val="en-US" w:eastAsia="zh-CN"/>
        </w:rPr>
        <w:t>0.1</w:t>
      </w:r>
      <w:r>
        <w:rPr>
          <w:rFonts w:hint="eastAsia" w:ascii="宋体" w:hAnsi="宋体" w:eastAsia="宋体" w:cs="宋体"/>
          <w:color w:val="auto"/>
          <w:sz w:val="24"/>
          <w:szCs w:val="24"/>
        </w:rPr>
        <w:t>米，并对坑底进行削高填低平整，基本做到与周边地形地貌相协调。</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a、露天采场回填工程</w:t>
      </w:r>
    </w:p>
    <w:p>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yellow"/>
          <w:lang w:eastAsia="zh-CN"/>
        </w:rPr>
      </w:pPr>
      <w:r>
        <w:rPr>
          <w:rFonts w:hint="eastAsia" w:ascii="宋体" w:hAnsi="宋体" w:eastAsia="宋体" w:cs="宋体"/>
          <w:color w:val="auto"/>
          <w:sz w:val="24"/>
          <w:szCs w:val="24"/>
          <w:highlight w:val="none"/>
        </w:rPr>
        <w:t>根据开发利用方案矿山圈定的开采地表境界，占地总面积约</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kern w:val="2"/>
          <w:sz w:val="24"/>
          <w:szCs w:val="24"/>
          <w:highlight w:val="none"/>
        </w:rPr>
        <w:t>公顷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北部采场</w:t>
      </w:r>
      <w:r>
        <w:rPr>
          <w:rFonts w:hint="eastAsia" w:ascii="宋体" w:hAnsi="宋体" w:eastAsia="宋体" w:cs="宋体"/>
          <w:color w:val="auto"/>
          <w:sz w:val="24"/>
          <w:szCs w:val="24"/>
          <w:highlight w:val="none"/>
        </w:rPr>
        <w:t>最高开采标高</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米</w:t>
      </w:r>
      <w:r>
        <w:rPr>
          <w:rFonts w:hint="eastAsia" w:ascii="宋体" w:hAnsi="宋体" w:eastAsia="宋体" w:cs="宋体"/>
          <w:color w:val="auto"/>
          <w:sz w:val="24"/>
          <w:szCs w:val="24"/>
          <w:highlight w:val="none"/>
        </w:rPr>
        <w:t>，最低开采标高</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米</w:t>
      </w:r>
      <w:r>
        <w:rPr>
          <w:rFonts w:hint="eastAsia" w:ascii="宋体" w:hAnsi="宋体" w:eastAsia="宋体" w:cs="宋体"/>
          <w:color w:val="auto"/>
          <w:sz w:val="24"/>
          <w:szCs w:val="24"/>
          <w:highlight w:val="none"/>
        </w:rPr>
        <w:t>，最终形成地表境界</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960</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220-262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rPr>
        <w:t>米</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最终境界底部</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593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40-182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rPr>
        <w:t>米</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highlight w:val="none"/>
          <w:lang w:val="en-US" w:eastAsia="zh-CN"/>
        </w:rPr>
        <w:t>南部采场</w:t>
      </w:r>
      <w:r>
        <w:rPr>
          <w:rFonts w:hint="eastAsia" w:ascii="宋体" w:hAnsi="宋体" w:eastAsia="宋体" w:cs="宋体"/>
          <w:color w:val="auto"/>
          <w:sz w:val="24"/>
          <w:szCs w:val="24"/>
          <w:highlight w:val="none"/>
        </w:rPr>
        <w:t>最高开采标高</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米</w:t>
      </w:r>
      <w:r>
        <w:rPr>
          <w:rFonts w:hint="eastAsia" w:ascii="宋体" w:hAnsi="宋体" w:eastAsia="宋体" w:cs="宋体"/>
          <w:color w:val="auto"/>
          <w:sz w:val="24"/>
          <w:szCs w:val="24"/>
          <w:highlight w:val="none"/>
        </w:rPr>
        <w:t>，最低开采标高</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米</w:t>
      </w:r>
      <w:r>
        <w:rPr>
          <w:rFonts w:hint="eastAsia" w:ascii="宋体" w:hAnsi="宋体" w:eastAsia="宋体" w:cs="宋体"/>
          <w:color w:val="auto"/>
          <w:sz w:val="24"/>
          <w:szCs w:val="24"/>
          <w:highlight w:val="none"/>
        </w:rPr>
        <w:t>，最终形成地表境界</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830）×(190-303)</w:t>
      </w:r>
      <w:r>
        <w:rPr>
          <w:rFonts w:hint="eastAsia" w:ascii="宋体" w:hAnsi="宋体" w:eastAsia="宋体" w:cs="宋体"/>
          <w:color w:val="auto"/>
          <w:sz w:val="24"/>
          <w:szCs w:val="24"/>
        </w:rPr>
        <w:t>米</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最终境界底部</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593</w:t>
      </w:r>
      <w:r>
        <w:rPr>
          <w:rFonts w:hint="eastAsia" w:ascii="宋体" w:hAnsi="宋体" w:eastAsia="宋体" w:cs="宋体"/>
          <w:color w:val="auto"/>
          <w:sz w:val="24"/>
          <w:szCs w:val="24"/>
          <w:highlight w:val="none"/>
          <w:lang w:val="en-US" w:eastAsia="zh-CN"/>
        </w:rPr>
        <w:t>）×(170-295)</w:t>
      </w:r>
      <w:r>
        <w:rPr>
          <w:rFonts w:hint="eastAsia" w:ascii="宋体" w:hAnsi="宋体" w:eastAsia="宋体" w:cs="宋体"/>
          <w:color w:val="auto"/>
          <w:sz w:val="24"/>
          <w:szCs w:val="24"/>
        </w:rPr>
        <w:t>米</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根据矿山开采方式，矿山在开采过程中适用期5年内产生废石全部内排回填采</w:t>
      </w:r>
      <w:r>
        <w:rPr>
          <w:rFonts w:hint="eastAsia" w:ascii="宋体" w:hAnsi="宋体" w:eastAsia="宋体" w:cs="宋体"/>
          <w:color w:val="auto"/>
          <w:sz w:val="24"/>
          <w:szCs w:val="24"/>
          <w:highlight w:val="none"/>
          <w:lang w:val="en-US" w:eastAsia="zh-CN"/>
        </w:rPr>
        <w:t>矿场</w:t>
      </w:r>
      <w:r>
        <w:rPr>
          <w:rFonts w:hint="eastAsia" w:ascii="宋体" w:hAnsi="宋体" w:eastAsia="宋体" w:cs="宋体"/>
          <w:color w:val="auto"/>
          <w:sz w:val="24"/>
          <w:szCs w:val="24"/>
          <w:highlight w:val="none"/>
        </w:rPr>
        <w:t>，总内排回填废石约</w:t>
      </w:r>
      <w:r>
        <w:rPr>
          <w:rFonts w:hint="eastAsia" w:ascii="宋体" w:hAnsi="宋体" w:eastAsia="宋体" w:cs="宋体"/>
          <w:color w:val="auto"/>
          <w:sz w:val="24"/>
          <w:szCs w:val="24"/>
          <w:highlight w:val="none"/>
          <w:lang w:val="en-US" w:eastAsia="zh-CN"/>
        </w:rPr>
        <w:t>1.65</w:t>
      </w:r>
      <w:r>
        <w:rPr>
          <w:rFonts w:hint="eastAsia" w:ascii="宋体" w:hAnsi="宋体" w:eastAsia="宋体" w:cs="宋体"/>
          <w:color w:val="auto"/>
          <w:sz w:val="24"/>
          <w:szCs w:val="24"/>
          <w:highlight w:val="none"/>
        </w:rPr>
        <w:t>万m³，闭坑后利用</w:t>
      </w:r>
      <w:r>
        <w:rPr>
          <w:rFonts w:hint="eastAsia" w:ascii="宋体" w:hAnsi="宋体" w:eastAsia="宋体" w:cs="宋体"/>
          <w:color w:val="auto"/>
          <w:sz w:val="24"/>
          <w:szCs w:val="24"/>
          <w:highlight w:val="none"/>
          <w:lang w:val="en-US" w:eastAsia="zh-CN"/>
        </w:rPr>
        <w:t>排土场</w:t>
      </w:r>
      <w:r>
        <w:rPr>
          <w:rFonts w:hint="eastAsia" w:ascii="宋体" w:hAnsi="宋体" w:eastAsia="宋体" w:cs="宋体"/>
          <w:color w:val="auto"/>
          <w:sz w:val="24"/>
          <w:szCs w:val="24"/>
          <w:highlight w:val="none"/>
        </w:rPr>
        <w:t>所有废石</w:t>
      </w:r>
      <w:r>
        <w:rPr>
          <w:rFonts w:hint="eastAsia" w:ascii="宋体" w:hAnsi="宋体" w:eastAsia="宋体" w:cs="宋体"/>
          <w:color w:val="auto"/>
          <w:sz w:val="24"/>
          <w:szCs w:val="24"/>
          <w:highlight w:val="none"/>
          <w:lang w:val="en-US" w:eastAsia="zh-CN"/>
        </w:rPr>
        <w:t>8.98</w:t>
      </w:r>
      <w:r>
        <w:rPr>
          <w:rFonts w:hint="eastAsia" w:ascii="宋体" w:hAnsi="宋体" w:eastAsia="宋体" w:cs="宋体"/>
          <w:color w:val="auto"/>
          <w:sz w:val="24"/>
          <w:szCs w:val="24"/>
          <w:highlight w:val="none"/>
        </w:rPr>
        <w:t>万m³回填。回填方式为利用挖掘机装运和推土机推平，分层压实，压实系数为0.85。基本可以做到与周边地形地貌相协调，平均运距0-0.5㎞。预计回填后采</w:t>
      </w:r>
      <w:r>
        <w:rPr>
          <w:rFonts w:hint="eastAsia" w:ascii="宋体" w:hAnsi="宋体" w:eastAsia="宋体" w:cs="宋体"/>
          <w:color w:val="auto"/>
          <w:sz w:val="24"/>
          <w:szCs w:val="24"/>
          <w:highlight w:val="none"/>
          <w:lang w:val="en-US" w:eastAsia="zh-CN"/>
        </w:rPr>
        <w:t>矿</w:t>
      </w:r>
      <w:r>
        <w:rPr>
          <w:rFonts w:hint="eastAsia" w:ascii="宋体" w:hAnsi="宋体" w:eastAsia="宋体" w:cs="宋体"/>
          <w:color w:val="auto"/>
          <w:sz w:val="24"/>
          <w:szCs w:val="24"/>
          <w:highlight w:val="none"/>
        </w:rPr>
        <w:t>场底部升高约</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1米，并对坑底进行削高填低平整，基本做到与周边地形地貌相协调。</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rPr>
        <w:t>、平整工程</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确定需要平整土地的标高和坡度，平整方式主要为机械平整，借助推土机进行削高填低。根据场地内地形起伏特点，采用下式计算每公顷土地的平整工作量（摘自《土地开发整理标准》（TD/T1011～1013-2000））：V=5000tanα，式中：V：每公顷土地平整量，单位（立方米）；α：平整土地坡度。</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露天采场平整</w:t>
      </w:r>
      <w:r>
        <w:rPr>
          <w:rFonts w:hint="eastAsia" w:ascii="宋体" w:hAnsi="宋体" w:eastAsia="宋体" w:cs="宋体"/>
          <w:color w:val="auto"/>
          <w:kern w:val="2"/>
          <w:sz w:val="24"/>
          <w:szCs w:val="24"/>
          <w:highlight w:val="none"/>
        </w:rPr>
        <w:t>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kern w:val="2"/>
          <w:sz w:val="24"/>
          <w:szCs w:val="24"/>
          <w:highlight w:val="none"/>
        </w:rPr>
        <w:t>公顷</w:t>
      </w:r>
      <w:r>
        <w:rPr>
          <w:rFonts w:hint="eastAsia" w:ascii="宋体" w:hAnsi="宋体" w:eastAsia="宋体" w:cs="宋体"/>
          <w:color w:val="auto"/>
          <w:sz w:val="24"/>
          <w:szCs w:val="24"/>
          <w:highlight w:val="none"/>
        </w:rPr>
        <w:t>，平整土地坡度取5°，预计每公顷土地平整量437立方米，露天采矿场平整工程量约为</w:t>
      </w:r>
      <w:r>
        <w:rPr>
          <w:rFonts w:hint="eastAsia" w:ascii="宋体" w:hAnsi="宋体" w:eastAsia="宋体" w:cs="宋体"/>
          <w:color w:val="auto"/>
          <w:sz w:val="24"/>
          <w:szCs w:val="24"/>
          <w:highlight w:val="none"/>
          <w:lang w:val="en-US" w:eastAsia="zh-CN"/>
        </w:rPr>
        <w:t>15156</w:t>
      </w:r>
      <w:r>
        <w:rPr>
          <w:rFonts w:hint="eastAsia" w:ascii="宋体" w:hAnsi="宋体" w:eastAsia="宋体" w:cs="宋体"/>
          <w:color w:val="auto"/>
          <w:sz w:val="24"/>
          <w:szCs w:val="24"/>
          <w:highlight w:val="none"/>
        </w:rPr>
        <w:t>立方米，在开采结束后完成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表5-9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表5-</w:t>
      </w:r>
      <w:r>
        <w:rPr>
          <w:rFonts w:hint="eastAsia" w:ascii="宋体" w:hAnsi="宋体" w:eastAsia="宋体" w:cs="宋体"/>
          <w:b/>
          <w:color w:val="auto"/>
          <w:sz w:val="21"/>
          <w:szCs w:val="21"/>
          <w:lang w:val="en-US" w:eastAsia="zh-CN"/>
        </w:rPr>
        <w:t>9</w:t>
      </w:r>
      <w:r>
        <w:rPr>
          <w:rFonts w:hint="eastAsia" w:ascii="宋体" w:hAnsi="宋体" w:eastAsia="宋体" w:cs="宋体"/>
          <w:b/>
          <w:color w:val="auto"/>
          <w:sz w:val="21"/>
          <w:szCs w:val="21"/>
        </w:rPr>
        <w:t xml:space="preserve">   露天采</w:t>
      </w:r>
      <w:r>
        <w:rPr>
          <w:rFonts w:hint="eastAsia" w:ascii="宋体" w:hAnsi="宋体" w:eastAsia="宋体" w:cs="宋体"/>
          <w:b/>
          <w:color w:val="auto"/>
          <w:sz w:val="21"/>
          <w:szCs w:val="21"/>
          <w:lang w:val="en-US" w:eastAsia="zh-CN"/>
        </w:rPr>
        <w:t>矿</w:t>
      </w:r>
      <w:r>
        <w:rPr>
          <w:rFonts w:hint="eastAsia" w:ascii="宋体" w:hAnsi="宋体" w:eastAsia="宋体" w:cs="宋体"/>
          <w:b/>
          <w:color w:val="auto"/>
          <w:sz w:val="21"/>
          <w:szCs w:val="21"/>
        </w:rPr>
        <w:t>场土地复垦工程量统计表</w:t>
      </w:r>
    </w:p>
    <w:tbl>
      <w:tblPr>
        <w:tblStyle w:val="53"/>
        <w:tblW w:w="86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4059"/>
        <w:gridCol w:w="1883"/>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6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405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工程名称</w:t>
            </w:r>
          </w:p>
        </w:tc>
        <w:tc>
          <w:tcPr>
            <w:tcW w:w="1883"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1374"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6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405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土地平整工程</w:t>
            </w:r>
          </w:p>
        </w:tc>
        <w:tc>
          <w:tcPr>
            <w:tcW w:w="1883"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100m</w:t>
            </w:r>
            <w:r>
              <w:rPr>
                <w:rFonts w:hint="eastAsia" w:ascii="宋体" w:hAnsi="宋体" w:eastAsia="宋体" w:cs="宋体"/>
                <w:b w:val="0"/>
                <w:bCs/>
                <w:color w:val="auto"/>
                <w:sz w:val="21"/>
                <w:szCs w:val="21"/>
                <w:vertAlign w:val="superscript"/>
              </w:rPr>
              <w:t>3</w:t>
            </w:r>
          </w:p>
        </w:tc>
        <w:tc>
          <w:tcPr>
            <w:tcW w:w="1374"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151.56</w:t>
            </w:r>
          </w:p>
        </w:tc>
      </w:tr>
    </w:tbl>
    <w:p>
      <w:pPr>
        <w:keepNext w:val="0"/>
        <w:keepLines w:val="0"/>
        <w:pageBreakBefore w:val="0"/>
        <w:widowControl w:val="0"/>
        <w:kinsoku/>
        <w:wordWrap/>
        <w:overflowPunct/>
        <w:autoSpaceDE w:val="0"/>
        <w:autoSpaceDN w:val="0"/>
        <w:bidi w:val="0"/>
        <w:adjustRightInd/>
        <w:snapToGrid/>
        <w:spacing w:line="360" w:lineRule="auto"/>
        <w:jc w:val="both"/>
        <w:textAlignment w:val="auto"/>
        <w:rPr>
          <w:rFonts w:hint="eastAsia" w:ascii="宋体" w:hAnsi="宋体" w:eastAsia="宋体" w:cs="宋体"/>
          <w:color w:val="auto"/>
          <w:sz w:val="24"/>
          <w:szCs w:val="24"/>
          <w:highlight w:val="none"/>
          <w:lang w:eastAsia="zh-CN"/>
        </w:rPr>
      </w:pPr>
    </w:p>
    <w:p>
      <w:pPr>
        <w:keepNext w:val="0"/>
        <w:keepLines w:val="0"/>
        <w:pageBreakBefore w:val="0"/>
        <w:widowControl w:val="0"/>
        <w:kinsoku/>
        <w:wordWrap/>
        <w:overflowPunct/>
        <w:autoSpaceDE w:val="0"/>
        <w:autoSpaceDN w:val="0"/>
        <w:bidi w:val="0"/>
        <w:adjustRightInd/>
        <w:snapToGrid/>
        <w:spacing w:line="360"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drawing>
          <wp:inline distT="0" distB="0" distL="114300" distR="114300">
            <wp:extent cx="5795010" cy="1203325"/>
            <wp:effectExtent l="0" t="0" r="15240" b="15875"/>
            <wp:docPr id="21" name="图片 2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11"/>
                    <pic:cNvPicPr>
                      <a:picLocks noChangeAspect="1"/>
                    </pic:cNvPicPr>
                  </pic:nvPicPr>
                  <pic:blipFill>
                    <a:blip r:embed="rId12"/>
                    <a:stretch>
                      <a:fillRect/>
                    </a:stretch>
                  </pic:blipFill>
                  <pic:spPr>
                    <a:xfrm>
                      <a:off x="0" y="0"/>
                      <a:ext cx="5795010" cy="1203325"/>
                    </a:xfrm>
                    <a:prstGeom prst="rect">
                      <a:avLst/>
                    </a:prstGeom>
                  </pic:spPr>
                </pic:pic>
              </a:graphicData>
            </a:graphic>
          </wp:inline>
        </w:drawing>
      </w:r>
    </w:p>
    <w:p>
      <w:pPr>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图5-</w:t>
      </w:r>
      <w:r>
        <w:rPr>
          <w:rFonts w:hint="eastAsia" w:ascii="宋体" w:hAnsi="宋体" w:eastAsia="宋体" w:cs="宋体"/>
          <w:b/>
          <w:color w:val="auto"/>
          <w:sz w:val="21"/>
          <w:szCs w:val="21"/>
          <w:lang w:val="en-US" w:eastAsia="zh-CN"/>
        </w:rPr>
        <w:t>1</w:t>
      </w:r>
      <w:r>
        <w:rPr>
          <w:rFonts w:hint="eastAsia" w:ascii="宋体" w:hAnsi="宋体" w:eastAsia="宋体" w:cs="宋体"/>
          <w:b/>
          <w:color w:val="auto"/>
          <w:sz w:val="21"/>
          <w:szCs w:val="21"/>
        </w:rPr>
        <w:t xml:space="preserve">   露天采</w:t>
      </w:r>
      <w:r>
        <w:rPr>
          <w:rFonts w:hint="eastAsia" w:ascii="宋体" w:hAnsi="宋体" w:eastAsia="宋体" w:cs="宋体"/>
          <w:b/>
          <w:color w:val="auto"/>
          <w:sz w:val="21"/>
          <w:szCs w:val="21"/>
          <w:lang w:val="en-US" w:eastAsia="zh-CN"/>
        </w:rPr>
        <w:t>场</w:t>
      </w:r>
      <w:r>
        <w:rPr>
          <w:rFonts w:hint="eastAsia" w:ascii="宋体" w:hAnsi="宋体" w:eastAsia="宋体" w:cs="宋体"/>
          <w:b/>
          <w:color w:val="auto"/>
          <w:sz w:val="21"/>
          <w:szCs w:val="21"/>
        </w:rPr>
        <w:t>回填</w:t>
      </w:r>
      <w:r>
        <w:rPr>
          <w:rFonts w:hint="eastAsia" w:ascii="宋体" w:hAnsi="宋体" w:eastAsia="宋体" w:cs="宋体"/>
          <w:b/>
          <w:color w:val="auto"/>
          <w:sz w:val="21"/>
          <w:szCs w:val="21"/>
          <w:lang w:val="en-US" w:eastAsia="zh-CN"/>
        </w:rPr>
        <w:t>设计剖面图</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2）排土场复垦单元</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矿山闭坑后，需复垦面积为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公顷，复垦方向为裸土地。土地复垦措施为场地平整。</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a、平整工程</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对排土场进行平整，采取机械平整，进行削高填低。平整面积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公顷，平整土地坡度取3°，预计每公顷土地平整量262立方米，露天采矿场平整工程量约为</w:t>
      </w:r>
      <w:r>
        <w:rPr>
          <w:rFonts w:hint="eastAsia" w:ascii="宋体" w:hAnsi="宋体" w:cs="宋体"/>
          <w:color w:val="auto"/>
          <w:sz w:val="24"/>
          <w:szCs w:val="24"/>
          <w:highlight w:val="none"/>
          <w:lang w:val="en-US" w:eastAsia="zh-CN"/>
        </w:rPr>
        <w:t>165</w:t>
      </w:r>
      <w:r>
        <w:rPr>
          <w:rFonts w:hint="eastAsia" w:ascii="宋体" w:hAnsi="宋体" w:eastAsia="宋体" w:cs="宋体"/>
          <w:color w:val="auto"/>
          <w:sz w:val="24"/>
          <w:szCs w:val="24"/>
          <w:highlight w:val="none"/>
        </w:rPr>
        <w:t>立方米，在开采结束后完成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表5-10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表5-</w:t>
      </w:r>
      <w:r>
        <w:rPr>
          <w:rFonts w:hint="eastAsia" w:ascii="宋体" w:hAnsi="宋体" w:eastAsia="宋体" w:cs="宋体"/>
          <w:b/>
          <w:color w:val="auto"/>
          <w:sz w:val="21"/>
          <w:szCs w:val="21"/>
          <w:lang w:val="en-US" w:eastAsia="zh-CN"/>
        </w:rPr>
        <w:t>10</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排土场</w:t>
      </w:r>
      <w:r>
        <w:rPr>
          <w:rFonts w:hint="eastAsia" w:ascii="宋体" w:hAnsi="宋体" w:eastAsia="宋体" w:cs="宋体"/>
          <w:b/>
          <w:color w:val="auto"/>
          <w:sz w:val="21"/>
          <w:szCs w:val="21"/>
        </w:rPr>
        <w:t>土地复垦工程量统计表</w:t>
      </w:r>
    </w:p>
    <w:tbl>
      <w:tblPr>
        <w:tblStyle w:val="53"/>
        <w:tblW w:w="86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4059"/>
        <w:gridCol w:w="1883"/>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0" w:hRule="exact"/>
          <w:jc w:val="center"/>
        </w:trPr>
        <w:tc>
          <w:tcPr>
            <w:tcW w:w="136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405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工程名称</w:t>
            </w:r>
          </w:p>
        </w:tc>
        <w:tc>
          <w:tcPr>
            <w:tcW w:w="1883"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1374"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6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405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土地平整工程</w:t>
            </w:r>
          </w:p>
        </w:tc>
        <w:tc>
          <w:tcPr>
            <w:tcW w:w="1883"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100m</w:t>
            </w:r>
            <w:r>
              <w:rPr>
                <w:rFonts w:hint="eastAsia" w:ascii="宋体" w:hAnsi="宋体" w:eastAsia="宋体" w:cs="宋体"/>
                <w:b w:val="0"/>
                <w:bCs/>
                <w:color w:val="auto"/>
                <w:sz w:val="21"/>
                <w:szCs w:val="21"/>
                <w:vertAlign w:val="superscript"/>
              </w:rPr>
              <w:t>3</w:t>
            </w:r>
          </w:p>
        </w:tc>
        <w:tc>
          <w:tcPr>
            <w:tcW w:w="1374" w:type="dxa"/>
            <w:vAlign w:val="center"/>
          </w:tcPr>
          <w:p>
            <w:pPr>
              <w:pStyle w:val="478"/>
              <w:tabs>
                <w:tab w:val="left" w:pos="540"/>
                <w:tab w:val="left" w:pos="1080"/>
                <w:tab w:val="left" w:pos="1260"/>
                <w:tab w:val="left" w:pos="1440"/>
              </w:tabs>
              <w:spacing w:line="240" w:lineRule="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1.65</w:t>
            </w:r>
          </w:p>
        </w:tc>
      </w:tr>
    </w:tbl>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）生活区土地复垦区</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规划办公生活区压占损毁土地资源</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lang w:val="en-US" w:eastAsia="zh-CN"/>
        </w:rPr>
        <w:t>公顷</w:t>
      </w:r>
      <w:r>
        <w:rPr>
          <w:rFonts w:hint="eastAsia" w:ascii="宋体" w:hAnsi="宋体" w:eastAsia="宋体" w:cs="宋体"/>
          <w:color w:val="auto"/>
          <w:sz w:val="24"/>
          <w:szCs w:val="24"/>
          <w:highlight w:val="none"/>
        </w:rPr>
        <w:t>，矿山闭坑后需先拆除区内地面建筑物和设备，用自卸汽车将可利用材料和设备外运，建筑垃圾等废弃物委托环卫单位清运至</w:t>
      </w:r>
      <w:r>
        <w:rPr>
          <w:rFonts w:hint="eastAsia" w:ascii="宋体" w:hAnsi="宋体" w:eastAsia="宋体" w:cs="宋体"/>
          <w:color w:val="auto"/>
          <w:sz w:val="24"/>
          <w:szCs w:val="24"/>
          <w:highlight w:val="none"/>
          <w:lang w:val="en-US" w:eastAsia="zh-CN"/>
        </w:rPr>
        <w:t>西克尔</w:t>
      </w:r>
      <w:r>
        <w:rPr>
          <w:rFonts w:hint="eastAsia" w:ascii="宋体" w:hAnsi="宋体" w:eastAsia="宋体" w:cs="宋体"/>
          <w:color w:val="auto"/>
          <w:sz w:val="24"/>
          <w:szCs w:val="24"/>
          <w:highlight w:val="none"/>
        </w:rPr>
        <w:t>镇建筑垃圾填埋场填埋，而后用机械对生活区场地进行平整，对各场区内的较大起伏和坡度进行削高填低，使其与周边地貌相协调。</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a、</w:t>
      </w:r>
      <w:r>
        <w:rPr>
          <w:rFonts w:hint="eastAsia" w:ascii="宋体" w:hAnsi="宋体" w:eastAsia="宋体" w:cs="宋体"/>
          <w:color w:val="auto"/>
          <w:sz w:val="24"/>
          <w:szCs w:val="24"/>
          <w:highlight w:val="none"/>
        </w:rPr>
        <w:t>砌体拆除</w:t>
      </w:r>
      <w:r>
        <w:rPr>
          <w:rFonts w:hint="eastAsia" w:ascii="宋体" w:hAnsi="宋体" w:eastAsia="宋体" w:cs="宋体"/>
          <w:color w:val="auto"/>
          <w:sz w:val="24"/>
          <w:szCs w:val="24"/>
          <w:highlight w:val="none"/>
          <w:lang w:val="en-US" w:eastAsia="zh-CN"/>
        </w:rPr>
        <w:t>及清运</w:t>
      </w:r>
      <w:r>
        <w:rPr>
          <w:rFonts w:hint="eastAsia" w:ascii="宋体" w:hAnsi="宋体" w:eastAsia="宋体" w:cs="宋体"/>
          <w:color w:val="auto"/>
          <w:sz w:val="24"/>
          <w:szCs w:val="24"/>
          <w:highlight w:val="none"/>
        </w:rPr>
        <w:t>工程</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规划办公生活区建筑物采用砖混结构，使用机械拆除，可利用设施外运，废弃物委托环卫单位清运至</w:t>
      </w:r>
      <w:r>
        <w:rPr>
          <w:rFonts w:hint="eastAsia" w:ascii="宋体" w:hAnsi="宋体" w:eastAsia="宋体" w:cs="宋体"/>
          <w:color w:val="auto"/>
          <w:sz w:val="24"/>
          <w:szCs w:val="24"/>
          <w:highlight w:val="none"/>
          <w:lang w:val="en-US" w:eastAsia="zh-CN"/>
        </w:rPr>
        <w:t>西克尔</w:t>
      </w:r>
      <w:r>
        <w:rPr>
          <w:rFonts w:hint="eastAsia" w:ascii="宋体" w:hAnsi="宋体" w:eastAsia="宋体" w:cs="宋体"/>
          <w:color w:val="auto"/>
          <w:sz w:val="24"/>
          <w:szCs w:val="24"/>
          <w:highlight w:val="none"/>
        </w:rPr>
        <w:t>镇建筑垃圾填埋场填埋，总建筑面积200㎡，拆除量按建筑面积的50%计算，预计拆除总量为100m³</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清运工程量100</w:t>
      </w:r>
      <w:r>
        <w:rPr>
          <w:rFonts w:hint="eastAsia" w:ascii="宋体" w:hAnsi="宋体" w:eastAsia="宋体" w:cs="宋体"/>
          <w:color w:val="auto"/>
          <w:sz w:val="24"/>
          <w:szCs w:val="24"/>
          <w:highlight w:val="none"/>
        </w:rPr>
        <w:t>m³</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运距约9-10km。</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b、</w:t>
      </w:r>
      <w:r>
        <w:rPr>
          <w:rFonts w:hint="eastAsia" w:ascii="宋体" w:hAnsi="宋体" w:eastAsia="宋体" w:cs="宋体"/>
          <w:color w:val="auto"/>
          <w:sz w:val="24"/>
          <w:szCs w:val="24"/>
          <w:highlight w:val="none"/>
        </w:rPr>
        <w:t>土地平整工程</w:t>
      </w:r>
    </w:p>
    <w:p>
      <w:pPr>
        <w:keepNext w:val="0"/>
        <w:keepLines w:val="0"/>
        <w:pageBreakBefore w:val="0"/>
        <w:widowControl w:val="0"/>
        <w:kinsoku/>
        <w:wordWrap/>
        <w:overflowPunct/>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拆除完毕后，采取机械平整，进行削高填低。平整面积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公顷，平整土地坡度取3°，预计每公顷土地平整量262立方米，露天采矿场平整工程量约为</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立方米，在开采结束后完成（表5-1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p>
    <w:p>
      <w:pPr>
        <w:widowControl w:val="0"/>
        <w:adjustRightInd w:val="0"/>
        <w:snapToGrid w:val="0"/>
        <w:jc w:val="center"/>
        <w:rPr>
          <w:rFonts w:hint="eastAsia" w:ascii="宋体" w:hAnsi="宋体" w:eastAsia="宋体" w:cs="宋体"/>
          <w:b/>
          <w:color w:val="auto"/>
          <w:kern w:val="2"/>
          <w:sz w:val="21"/>
          <w:szCs w:val="21"/>
        </w:rPr>
      </w:pPr>
      <w:r>
        <w:rPr>
          <w:rFonts w:hint="eastAsia" w:ascii="宋体" w:hAnsi="宋体" w:eastAsia="宋体" w:cs="宋体"/>
          <w:b/>
          <w:color w:val="auto"/>
          <w:kern w:val="2"/>
          <w:sz w:val="21"/>
          <w:szCs w:val="21"/>
        </w:rPr>
        <w:t>表5-1</w:t>
      </w:r>
      <w:r>
        <w:rPr>
          <w:rFonts w:hint="eastAsia" w:ascii="宋体" w:hAnsi="宋体" w:eastAsia="宋体" w:cs="宋体"/>
          <w:b/>
          <w:color w:val="auto"/>
          <w:kern w:val="2"/>
          <w:sz w:val="21"/>
          <w:szCs w:val="21"/>
          <w:lang w:val="en-US" w:eastAsia="zh-CN"/>
        </w:rPr>
        <w:t>1</w:t>
      </w:r>
      <w:r>
        <w:rPr>
          <w:rFonts w:hint="eastAsia" w:ascii="宋体" w:hAnsi="宋体" w:eastAsia="宋体" w:cs="宋体"/>
          <w:b/>
          <w:color w:val="auto"/>
          <w:kern w:val="2"/>
          <w:sz w:val="21"/>
          <w:szCs w:val="21"/>
        </w:rPr>
        <w:t xml:space="preserve">   生活区土地复垦工程量统计表</w:t>
      </w:r>
    </w:p>
    <w:tbl>
      <w:tblPr>
        <w:tblStyle w:val="53"/>
        <w:tblW w:w="8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4658"/>
        <w:gridCol w:w="1885"/>
        <w:gridCol w:w="12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blHeader/>
          <w:jc w:val="center"/>
        </w:trPr>
        <w:tc>
          <w:tcPr>
            <w:tcW w:w="1082"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序号</w:t>
            </w:r>
          </w:p>
        </w:tc>
        <w:tc>
          <w:tcPr>
            <w:tcW w:w="4658"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工程名称</w:t>
            </w:r>
          </w:p>
        </w:tc>
        <w:tc>
          <w:tcPr>
            <w:tcW w:w="1885"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单位</w:t>
            </w:r>
          </w:p>
        </w:tc>
        <w:tc>
          <w:tcPr>
            <w:tcW w:w="1230"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082"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1</w:t>
            </w:r>
          </w:p>
        </w:tc>
        <w:tc>
          <w:tcPr>
            <w:tcW w:w="4658"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砌体拆除工程</w:t>
            </w:r>
          </w:p>
        </w:tc>
        <w:tc>
          <w:tcPr>
            <w:tcW w:w="1885" w:type="dxa"/>
            <w:vAlign w:val="center"/>
          </w:tcPr>
          <w:p>
            <w:pPr>
              <w:widowControl w:val="0"/>
              <w:adjustRightInd w:val="0"/>
              <w:snapToGrid w:val="0"/>
              <w:jc w:val="center"/>
              <w:rPr>
                <w:rFonts w:hint="eastAsia" w:ascii="宋体" w:hAnsi="宋体" w:eastAsia="宋体" w:cs="宋体"/>
                <w:bCs/>
                <w:color w:val="auto"/>
                <w:kern w:val="2"/>
                <w:sz w:val="21"/>
                <w:szCs w:val="21"/>
                <w:lang w:val="en-US" w:eastAsia="zh-CN"/>
              </w:rPr>
            </w:pPr>
            <w:r>
              <w:rPr>
                <w:rFonts w:hint="eastAsia" w:ascii="宋体" w:hAnsi="宋体" w:eastAsia="宋体" w:cs="宋体"/>
                <w:bCs/>
                <w:color w:val="auto"/>
                <w:kern w:val="2"/>
                <w:sz w:val="21"/>
                <w:szCs w:val="21"/>
              </w:rPr>
              <w:t>100m</w:t>
            </w:r>
            <w:r>
              <w:rPr>
                <w:rFonts w:hint="eastAsia" w:ascii="宋体" w:hAnsi="宋体" w:eastAsia="宋体" w:cs="宋体"/>
                <w:bCs/>
                <w:color w:val="auto"/>
                <w:kern w:val="2"/>
                <w:sz w:val="21"/>
                <w:szCs w:val="21"/>
                <w:vertAlign w:val="superscript"/>
                <w:lang w:val="en-US" w:eastAsia="zh-CN"/>
              </w:rPr>
              <w:t>3</w:t>
            </w:r>
          </w:p>
        </w:tc>
        <w:tc>
          <w:tcPr>
            <w:tcW w:w="1230"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082" w:type="dxa"/>
            <w:vAlign w:val="center"/>
          </w:tcPr>
          <w:p>
            <w:pPr>
              <w:widowControl w:val="0"/>
              <w:adjustRightInd w:val="0"/>
              <w:snapToGrid w:val="0"/>
              <w:jc w:val="center"/>
              <w:rPr>
                <w:rFonts w:hint="eastAsia" w:ascii="宋体" w:hAnsi="宋体" w:eastAsia="宋体" w:cs="宋体"/>
                <w:bCs/>
                <w:color w:val="auto"/>
                <w:kern w:val="2"/>
                <w:sz w:val="21"/>
                <w:szCs w:val="21"/>
                <w:lang w:val="en-US" w:eastAsia="zh-CN"/>
              </w:rPr>
            </w:pPr>
            <w:r>
              <w:rPr>
                <w:rFonts w:hint="eastAsia" w:ascii="宋体" w:hAnsi="宋体" w:eastAsia="宋体" w:cs="宋体"/>
                <w:bCs/>
                <w:color w:val="auto"/>
                <w:kern w:val="2"/>
                <w:sz w:val="21"/>
                <w:szCs w:val="21"/>
                <w:lang w:val="en-US" w:eastAsia="zh-CN"/>
              </w:rPr>
              <w:t>2</w:t>
            </w:r>
          </w:p>
        </w:tc>
        <w:tc>
          <w:tcPr>
            <w:tcW w:w="4658"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lang w:val="en-US" w:eastAsia="zh-CN"/>
              </w:rPr>
              <w:t>废弃物清运</w:t>
            </w:r>
            <w:r>
              <w:rPr>
                <w:rFonts w:hint="eastAsia" w:ascii="宋体" w:hAnsi="宋体" w:eastAsia="宋体" w:cs="宋体"/>
                <w:bCs/>
                <w:color w:val="auto"/>
                <w:kern w:val="2"/>
                <w:sz w:val="21"/>
                <w:szCs w:val="21"/>
              </w:rPr>
              <w:t>工程</w:t>
            </w:r>
          </w:p>
        </w:tc>
        <w:tc>
          <w:tcPr>
            <w:tcW w:w="1885"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100m</w:t>
            </w:r>
            <w:r>
              <w:rPr>
                <w:rFonts w:hint="eastAsia" w:ascii="宋体" w:hAnsi="宋体" w:eastAsia="宋体" w:cs="宋体"/>
                <w:bCs/>
                <w:color w:val="auto"/>
                <w:kern w:val="2"/>
                <w:sz w:val="21"/>
                <w:szCs w:val="21"/>
                <w:vertAlign w:val="superscript"/>
                <w:lang w:val="en-US" w:eastAsia="zh-CN"/>
              </w:rPr>
              <w:t>3</w:t>
            </w:r>
          </w:p>
        </w:tc>
        <w:tc>
          <w:tcPr>
            <w:tcW w:w="1230" w:type="dxa"/>
            <w:vAlign w:val="center"/>
          </w:tcPr>
          <w:p>
            <w:pPr>
              <w:widowControl w:val="0"/>
              <w:adjustRightInd w:val="0"/>
              <w:snapToGrid w:val="0"/>
              <w:jc w:val="center"/>
              <w:rPr>
                <w:rFonts w:hint="eastAsia" w:ascii="宋体" w:hAnsi="宋体" w:eastAsia="宋体" w:cs="宋体"/>
                <w:bCs/>
                <w:color w:val="auto"/>
                <w:kern w:val="2"/>
                <w:sz w:val="21"/>
                <w:szCs w:val="21"/>
                <w:lang w:val="en-US" w:eastAsia="zh-CN"/>
              </w:rPr>
            </w:pPr>
            <w:r>
              <w:rPr>
                <w:rFonts w:hint="eastAsia" w:ascii="宋体" w:hAnsi="宋体" w:eastAsia="宋体" w:cs="宋体"/>
                <w:bCs/>
                <w:color w:val="auto"/>
                <w:kern w:val="2"/>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jc w:val="center"/>
        </w:trPr>
        <w:tc>
          <w:tcPr>
            <w:tcW w:w="1082" w:type="dxa"/>
            <w:vAlign w:val="center"/>
          </w:tcPr>
          <w:p>
            <w:pPr>
              <w:widowControl w:val="0"/>
              <w:adjustRightInd w:val="0"/>
              <w:snapToGrid w:val="0"/>
              <w:jc w:val="center"/>
              <w:rPr>
                <w:rFonts w:hint="eastAsia" w:ascii="宋体" w:hAnsi="宋体" w:eastAsia="宋体" w:cs="宋体"/>
                <w:bCs/>
                <w:color w:val="auto"/>
                <w:kern w:val="2"/>
                <w:sz w:val="21"/>
                <w:szCs w:val="21"/>
                <w:lang w:eastAsia="zh-CN"/>
              </w:rPr>
            </w:pPr>
            <w:r>
              <w:rPr>
                <w:rFonts w:hint="eastAsia" w:ascii="宋体" w:hAnsi="宋体" w:eastAsia="宋体" w:cs="宋体"/>
                <w:bCs/>
                <w:color w:val="auto"/>
                <w:kern w:val="2"/>
                <w:sz w:val="21"/>
                <w:szCs w:val="21"/>
                <w:lang w:val="en-US" w:eastAsia="zh-CN"/>
              </w:rPr>
              <w:t>3</w:t>
            </w:r>
          </w:p>
        </w:tc>
        <w:tc>
          <w:tcPr>
            <w:tcW w:w="4658"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土地平整工程</w:t>
            </w:r>
          </w:p>
        </w:tc>
        <w:tc>
          <w:tcPr>
            <w:tcW w:w="1885" w:type="dxa"/>
            <w:vAlign w:val="center"/>
          </w:tcPr>
          <w:p>
            <w:pPr>
              <w:widowControl w:val="0"/>
              <w:adjustRightInd w:val="0"/>
              <w:snapToGrid w:val="0"/>
              <w:jc w:val="center"/>
              <w:rPr>
                <w:rFonts w:hint="eastAsia" w:ascii="宋体" w:hAnsi="宋体" w:eastAsia="宋体" w:cs="宋体"/>
                <w:bCs/>
                <w:color w:val="auto"/>
                <w:kern w:val="2"/>
                <w:sz w:val="21"/>
                <w:szCs w:val="21"/>
              </w:rPr>
            </w:pPr>
            <w:r>
              <w:rPr>
                <w:rFonts w:hint="eastAsia" w:ascii="宋体" w:hAnsi="宋体" w:eastAsia="宋体" w:cs="宋体"/>
                <w:bCs/>
                <w:color w:val="auto"/>
                <w:kern w:val="2"/>
                <w:sz w:val="21"/>
                <w:szCs w:val="21"/>
              </w:rPr>
              <w:t>100m</w:t>
            </w:r>
            <w:r>
              <w:rPr>
                <w:rFonts w:hint="eastAsia" w:ascii="宋体" w:hAnsi="宋体" w:eastAsia="宋体" w:cs="宋体"/>
                <w:bCs/>
                <w:color w:val="auto"/>
                <w:kern w:val="2"/>
                <w:sz w:val="21"/>
                <w:szCs w:val="21"/>
                <w:vertAlign w:val="superscript"/>
                <w:lang w:val="en-US" w:eastAsia="zh-CN"/>
              </w:rPr>
              <w:t>3</w:t>
            </w:r>
          </w:p>
        </w:tc>
        <w:tc>
          <w:tcPr>
            <w:tcW w:w="1230" w:type="dxa"/>
            <w:vAlign w:val="center"/>
          </w:tcPr>
          <w:p>
            <w:pPr>
              <w:widowControl w:val="0"/>
              <w:adjustRightInd w:val="0"/>
              <w:snapToGrid w:val="0"/>
              <w:jc w:val="center"/>
              <w:rPr>
                <w:rFonts w:hint="default" w:ascii="宋体" w:hAnsi="宋体" w:eastAsia="宋体" w:cs="宋体"/>
                <w:bCs/>
                <w:color w:val="auto"/>
                <w:kern w:val="2"/>
                <w:sz w:val="21"/>
                <w:szCs w:val="21"/>
                <w:lang w:val="en-US" w:eastAsia="zh-CN"/>
              </w:rPr>
            </w:pPr>
            <w:r>
              <w:rPr>
                <w:rFonts w:hint="eastAsia" w:ascii="宋体" w:hAnsi="宋体" w:eastAsia="宋体" w:cs="宋体"/>
                <w:bCs/>
                <w:color w:val="auto"/>
                <w:kern w:val="2"/>
                <w:sz w:val="21"/>
                <w:szCs w:val="21"/>
                <w:lang w:val="en-US" w:eastAsia="zh-CN"/>
              </w:rPr>
              <w:t>0.25</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）矿山道路复垦单元</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矿山闭坑后，需复垦面积为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公顷，复垦方向为裸土地。土地复垦措施为场地平整。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a、平整工程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对矿山道路进行平整，采取机械平整，进行削高填低。平整面积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公顷，平整土地坡度取3°，预计每公顷土地平整量262立方米，露天采矿场平整工程量约为</w:t>
      </w:r>
      <w:r>
        <w:rPr>
          <w:rFonts w:hint="eastAsia" w:ascii="宋体" w:hAnsi="宋体" w:cs="宋体"/>
          <w:color w:val="auto"/>
          <w:sz w:val="24"/>
          <w:szCs w:val="24"/>
          <w:lang w:val="en-US" w:eastAsia="zh-CN"/>
        </w:rPr>
        <w:t>231</w:t>
      </w:r>
      <w:r>
        <w:rPr>
          <w:rFonts w:hint="eastAsia" w:ascii="宋体" w:hAnsi="宋体" w:eastAsia="宋体" w:cs="宋体"/>
          <w:color w:val="auto"/>
          <w:sz w:val="24"/>
          <w:szCs w:val="24"/>
        </w:rPr>
        <w:t>立方米，在开采结束后完成</w:t>
      </w:r>
      <w:r>
        <w:rPr>
          <w:rFonts w:hint="eastAsia" w:ascii="宋体" w:hAnsi="宋体" w:eastAsia="宋体" w:cs="宋体"/>
          <w:color w:val="auto"/>
          <w:sz w:val="24"/>
          <w:szCs w:val="24"/>
          <w:highlight w:val="none"/>
        </w:rPr>
        <w:t>（表5-1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rPr>
        <w:t>。</w:t>
      </w:r>
    </w:p>
    <w:p>
      <w:pPr>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表5-</w:t>
      </w:r>
      <w:r>
        <w:rPr>
          <w:rFonts w:hint="eastAsia" w:ascii="宋体" w:hAnsi="宋体" w:eastAsia="宋体" w:cs="宋体"/>
          <w:b/>
          <w:color w:val="auto"/>
          <w:sz w:val="21"/>
          <w:szCs w:val="21"/>
          <w:lang w:val="en-US" w:eastAsia="zh-CN"/>
        </w:rPr>
        <w:t>12</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矿山道路</w:t>
      </w:r>
      <w:r>
        <w:rPr>
          <w:rFonts w:hint="eastAsia" w:ascii="宋体" w:hAnsi="宋体" w:eastAsia="宋体" w:cs="宋体"/>
          <w:b/>
          <w:color w:val="auto"/>
          <w:sz w:val="21"/>
          <w:szCs w:val="21"/>
        </w:rPr>
        <w:t>土地复垦工程量统计表</w:t>
      </w:r>
    </w:p>
    <w:tbl>
      <w:tblPr>
        <w:tblStyle w:val="53"/>
        <w:tblW w:w="868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4059"/>
        <w:gridCol w:w="1883"/>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6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405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工程名称</w:t>
            </w:r>
          </w:p>
        </w:tc>
        <w:tc>
          <w:tcPr>
            <w:tcW w:w="1883"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1374"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36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4059"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土地平整工程</w:t>
            </w:r>
          </w:p>
        </w:tc>
        <w:tc>
          <w:tcPr>
            <w:tcW w:w="1883" w:type="dxa"/>
            <w:vAlign w:val="center"/>
          </w:tcPr>
          <w:p>
            <w:pPr>
              <w:pStyle w:val="478"/>
              <w:tabs>
                <w:tab w:val="left" w:pos="540"/>
                <w:tab w:val="left" w:pos="1080"/>
                <w:tab w:val="left" w:pos="1260"/>
                <w:tab w:val="left" w:pos="1440"/>
              </w:tabs>
              <w:spacing w:line="240" w:lineRule="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100m</w:t>
            </w:r>
            <w:r>
              <w:rPr>
                <w:rFonts w:hint="eastAsia" w:ascii="宋体" w:hAnsi="宋体" w:eastAsia="宋体" w:cs="宋体"/>
                <w:b w:val="0"/>
                <w:bCs/>
                <w:color w:val="auto"/>
                <w:sz w:val="21"/>
                <w:szCs w:val="21"/>
                <w:vertAlign w:val="superscript"/>
              </w:rPr>
              <w:t>3</w:t>
            </w:r>
          </w:p>
        </w:tc>
        <w:tc>
          <w:tcPr>
            <w:tcW w:w="1374" w:type="dxa"/>
            <w:vAlign w:val="center"/>
          </w:tcPr>
          <w:p>
            <w:pPr>
              <w:pStyle w:val="478"/>
              <w:tabs>
                <w:tab w:val="left" w:pos="540"/>
                <w:tab w:val="left" w:pos="1080"/>
                <w:tab w:val="left" w:pos="1260"/>
                <w:tab w:val="left" w:pos="1440"/>
              </w:tabs>
              <w:spacing w:line="240" w:lineRule="auto"/>
              <w:rPr>
                <w:rFonts w:hint="default"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2.31</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2、技术措施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矿山土地损毁形式主要有压占和挖损，应根据土地损毁具体形式安排土地复垦措施。对于露天采</w:t>
      </w:r>
      <w:r>
        <w:rPr>
          <w:rFonts w:hint="eastAsia" w:ascii="宋体" w:hAnsi="宋体" w:eastAsia="宋体" w:cs="宋体"/>
          <w:color w:val="auto"/>
          <w:sz w:val="24"/>
          <w:szCs w:val="24"/>
          <w:lang w:val="en-US" w:eastAsia="zh-CN"/>
        </w:rPr>
        <w:t>矿</w:t>
      </w:r>
      <w:r>
        <w:rPr>
          <w:rFonts w:hint="eastAsia" w:ascii="宋体" w:hAnsi="宋体" w:eastAsia="宋体" w:cs="宋体"/>
          <w:color w:val="auto"/>
          <w:sz w:val="24"/>
          <w:szCs w:val="24"/>
        </w:rPr>
        <w:t>场范围，可以采用机械平整措施，再进行监测及管护工程；压占区域建筑物拆除的清理工程，平整措施，再进行监测及管护工程。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参照周边类似复垦项目生态重建技术的工作原理、复垦工艺、适用条件等，采取适用于本项目的复垦工程技术措施，主要有以下几种：</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（1）土地平整工程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表层进行平整，其目的是通过机械平整，便于生物措施的实施，满足复垦植被生长条件的需要。土地平整是土地复垦工程建设的重要组成部分，是后期进行生物化学技术措施的基础，是把损毁土地变为可利用地的重要的前期工程。土地平整之前要确定好平整后的标高及坡度等，平整方式主要为机械平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（2）砌体拆除工程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矿山闭坑后，生活区设施需要拆除清理。各类设施拆除采用机械拆除为主，人工辅助拆除，各类设施拆除后可利用材料外运，废弃物委托环卫单位清运至</w:t>
      </w:r>
      <w:r>
        <w:rPr>
          <w:rFonts w:hint="eastAsia" w:ascii="宋体" w:hAnsi="宋体" w:cs="宋体"/>
          <w:color w:val="auto"/>
          <w:sz w:val="24"/>
          <w:szCs w:val="24"/>
          <w:lang w:val="en-US" w:eastAsia="zh-CN"/>
        </w:rPr>
        <w:t>西克尔</w:t>
      </w:r>
      <w:r>
        <w:rPr>
          <w:rFonts w:hint="eastAsia" w:ascii="宋体" w:hAnsi="宋体" w:eastAsia="宋体" w:cs="宋体"/>
          <w:color w:val="auto"/>
          <w:sz w:val="24"/>
          <w:szCs w:val="24"/>
        </w:rPr>
        <w:t>镇建筑垃圾填埋场填埋。</w:t>
      </w:r>
    </w:p>
    <w:p>
      <w:pPr>
        <w:autoSpaceDE w:val="0"/>
        <w:autoSpaceDN w:val="0"/>
        <w:adjustRightInd w:val="0"/>
        <w:snapToGrid w:val="0"/>
        <w:spacing w:line="360" w:lineRule="auto"/>
        <w:ind w:firstLine="562" w:firstLineChars="200"/>
        <w:jc w:val="both"/>
        <w:rPr>
          <w:rFonts w:hint="eastAsia" w:ascii="宋体" w:hAnsi="宋体" w:eastAsia="宋体" w:cs="宋体"/>
          <w:b/>
          <w:bCs/>
          <w:color w:val="auto"/>
          <w:sz w:val="28"/>
          <w:szCs w:val="28"/>
        </w:rPr>
      </w:pPr>
      <w:r>
        <w:rPr>
          <w:rFonts w:hint="eastAsia" w:ascii="宋体" w:hAnsi="宋体" w:eastAsia="宋体" w:cs="宋体"/>
          <w:b/>
          <w:bCs/>
          <w:color w:val="auto"/>
          <w:sz w:val="28"/>
          <w:szCs w:val="28"/>
        </w:rPr>
        <w:t>主要工程量</w:t>
      </w:r>
    </w:p>
    <w:p>
      <w:pPr>
        <w:widowControl w:val="0"/>
        <w:autoSpaceDE w:val="0"/>
        <w:autoSpaceDN w:val="0"/>
        <w:adjustRightInd w:val="0"/>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本矿山土地复垦工程主要包括平整工程等，复垦总工程量详见表5-</w:t>
      </w:r>
      <w:r>
        <w:rPr>
          <w:rFonts w:hint="eastAsia" w:ascii="宋体" w:hAnsi="宋体" w:cs="宋体"/>
          <w:color w:val="auto"/>
          <w:sz w:val="24"/>
          <w:szCs w:val="24"/>
          <w:lang w:val="en-US" w:eastAsia="zh-CN"/>
        </w:rPr>
        <w:t>13</w:t>
      </w:r>
      <w:r>
        <w:rPr>
          <w:rFonts w:hint="eastAsia" w:ascii="宋体" w:hAnsi="宋体" w:eastAsia="宋体" w:cs="宋体"/>
          <w:color w:val="auto"/>
          <w:sz w:val="24"/>
          <w:szCs w:val="24"/>
        </w:rPr>
        <w:t>。</w:t>
      </w:r>
    </w:p>
    <w:p>
      <w:pPr>
        <w:keepNext w:val="0"/>
        <w:keepLines w:val="0"/>
        <w:pageBreakBefore w:val="0"/>
        <w:widowControl w:val="0"/>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表5-</w:t>
      </w:r>
      <w:r>
        <w:rPr>
          <w:rFonts w:hint="eastAsia" w:ascii="宋体" w:hAnsi="宋体" w:cs="宋体"/>
          <w:b/>
          <w:color w:val="auto"/>
          <w:sz w:val="21"/>
          <w:szCs w:val="21"/>
          <w:lang w:val="en-US" w:eastAsia="zh-CN"/>
        </w:rPr>
        <w:t>13</w:t>
      </w:r>
      <w:r>
        <w:rPr>
          <w:rFonts w:hint="eastAsia" w:ascii="宋体" w:hAnsi="宋体" w:eastAsia="宋体" w:cs="宋体"/>
          <w:b/>
          <w:color w:val="auto"/>
          <w:sz w:val="21"/>
          <w:szCs w:val="21"/>
        </w:rPr>
        <w:t xml:space="preserve"> </w:t>
      </w:r>
      <w:r>
        <w:rPr>
          <w:rFonts w:hint="eastAsia" w:ascii="宋体" w:hAnsi="宋体" w:cs="宋体"/>
          <w:b/>
          <w:color w:val="auto"/>
          <w:sz w:val="21"/>
          <w:szCs w:val="21"/>
          <w:lang w:val="en-US" w:eastAsia="zh-CN"/>
        </w:rPr>
        <w:t xml:space="preserve">   </w:t>
      </w:r>
      <w:r>
        <w:rPr>
          <w:rFonts w:hint="eastAsia" w:ascii="宋体" w:hAnsi="宋体" w:eastAsia="宋体" w:cs="宋体"/>
          <w:b/>
          <w:color w:val="auto"/>
          <w:sz w:val="21"/>
          <w:szCs w:val="21"/>
        </w:rPr>
        <w:t>土地复垦工程量统计表</w:t>
      </w:r>
    </w:p>
    <w:tbl>
      <w:tblPr>
        <w:tblStyle w:val="53"/>
        <w:tblW w:w="864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3123"/>
        <w:gridCol w:w="2132"/>
        <w:gridCol w:w="2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909"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序号</w:t>
            </w:r>
          </w:p>
        </w:tc>
        <w:tc>
          <w:tcPr>
            <w:tcW w:w="3123"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工程内容</w:t>
            </w:r>
          </w:p>
        </w:tc>
        <w:tc>
          <w:tcPr>
            <w:tcW w:w="2132"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单位</w:t>
            </w:r>
          </w:p>
        </w:tc>
        <w:tc>
          <w:tcPr>
            <w:tcW w:w="2480"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服务年限工程量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一</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露天采矿场土地复垦单元</w:t>
            </w:r>
          </w:p>
        </w:tc>
        <w:tc>
          <w:tcPr>
            <w:tcW w:w="213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p>
        </w:tc>
        <w:tc>
          <w:tcPr>
            <w:tcW w:w="248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平整工程</w:t>
            </w:r>
          </w:p>
        </w:tc>
        <w:tc>
          <w:tcPr>
            <w:tcW w:w="213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b w:val="0"/>
                <w:bCs/>
                <w:i w:val="0"/>
                <w:iCs w:val="0"/>
                <w:color w:val="auto"/>
                <w:sz w:val="21"/>
                <w:szCs w:val="21"/>
                <w:lang w:val="en-US" w:eastAsia="zh-CN"/>
              </w:rPr>
              <w:t>151.56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二</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排土场土地复垦单元</w:t>
            </w:r>
          </w:p>
        </w:tc>
        <w:tc>
          <w:tcPr>
            <w:tcW w:w="2132"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c>
          <w:tcPr>
            <w:tcW w:w="2480"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平整工程</w:t>
            </w:r>
          </w:p>
        </w:tc>
        <w:tc>
          <w:tcPr>
            <w:tcW w:w="213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b w:val="0"/>
                <w:bCs/>
                <w:i w:val="0"/>
                <w:iCs w:val="0"/>
                <w:color w:val="auto"/>
                <w:sz w:val="21"/>
                <w:szCs w:val="21"/>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b/>
                <w:bCs/>
                <w:i w:val="0"/>
                <w:iCs w:val="0"/>
                <w:color w:val="auto"/>
                <w:sz w:val="21"/>
                <w:szCs w:val="21"/>
              </w:rPr>
              <w:t>三</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rPr>
            </w:pPr>
            <w:r>
              <w:rPr>
                <w:rFonts w:hint="eastAsia" w:ascii="宋体" w:hAnsi="宋体" w:cs="宋体"/>
                <w:b/>
                <w:bCs/>
                <w:i w:val="0"/>
                <w:iCs w:val="0"/>
                <w:color w:val="auto"/>
                <w:sz w:val="21"/>
                <w:szCs w:val="21"/>
                <w:lang w:val="en-US" w:eastAsia="zh-CN"/>
              </w:rPr>
              <w:t>生活区</w:t>
            </w:r>
            <w:r>
              <w:rPr>
                <w:rFonts w:hint="eastAsia" w:ascii="宋体" w:hAnsi="宋体" w:eastAsia="宋体" w:cs="宋体"/>
                <w:b/>
                <w:bCs/>
                <w:i w:val="0"/>
                <w:iCs w:val="0"/>
                <w:color w:val="auto"/>
                <w:sz w:val="21"/>
                <w:szCs w:val="21"/>
              </w:rPr>
              <w:t>土地复垦单元</w:t>
            </w:r>
          </w:p>
        </w:tc>
        <w:tc>
          <w:tcPr>
            <w:tcW w:w="213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c>
          <w:tcPr>
            <w:tcW w:w="248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val="0"/>
                <w:bCs/>
                <w:i w:val="0"/>
                <w:i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w:t>
            </w:r>
          </w:p>
        </w:tc>
        <w:tc>
          <w:tcPr>
            <w:tcW w:w="3123"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val="0"/>
                <w:i w:val="0"/>
                <w:iCs w:val="0"/>
                <w:color w:val="auto"/>
                <w:sz w:val="21"/>
                <w:szCs w:val="21"/>
                <w:lang w:val="en-US" w:eastAsia="zh-CN" w:bidi="ar-SA"/>
              </w:rPr>
            </w:pPr>
            <w:r>
              <w:rPr>
                <w:rFonts w:hint="eastAsia" w:ascii="宋体" w:hAnsi="宋体" w:eastAsia="宋体" w:cs="宋体"/>
                <w:b w:val="0"/>
                <w:bCs w:val="0"/>
                <w:i w:val="0"/>
                <w:iCs w:val="0"/>
                <w:color w:val="auto"/>
                <w:sz w:val="21"/>
                <w:szCs w:val="21"/>
                <w:lang w:val="en-US" w:eastAsia="zh-CN" w:bidi="ar-SA"/>
              </w:rPr>
              <w:t>砌体拆除工程</w:t>
            </w:r>
          </w:p>
        </w:tc>
        <w:tc>
          <w:tcPr>
            <w:tcW w:w="2132"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100m</w:t>
            </w:r>
            <w:r>
              <w:rPr>
                <w:rFonts w:hint="eastAsia" w:ascii="宋体" w:hAnsi="宋体" w:eastAsia="宋体" w:cs="宋体"/>
                <w:b w:val="0"/>
                <w:bCs/>
                <w:i w:val="0"/>
                <w:iCs w:val="0"/>
                <w:color w:val="auto"/>
                <w:sz w:val="21"/>
                <w:szCs w:val="21"/>
                <w:vertAlign w:val="superscript"/>
              </w:rPr>
              <w:t>3</w:t>
            </w:r>
          </w:p>
        </w:tc>
        <w:tc>
          <w:tcPr>
            <w:tcW w:w="2480"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val="0"/>
                <w:bCs/>
                <w:i w:val="0"/>
                <w:iCs w:val="0"/>
                <w:color w:val="auto"/>
                <w:sz w:val="21"/>
                <w:szCs w:val="21"/>
                <w:lang w:val="en-US" w:eastAsia="zh-CN"/>
              </w:rPr>
            </w:pPr>
            <w:r>
              <w:rPr>
                <w:rFonts w:hint="eastAsia" w:ascii="宋体" w:hAnsi="宋体" w:eastAsia="宋体" w:cs="宋体"/>
                <w:b w:val="0"/>
                <w:bCs/>
                <w:i w:val="0"/>
                <w:i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w:t>
            </w:r>
          </w:p>
        </w:tc>
        <w:tc>
          <w:tcPr>
            <w:tcW w:w="3123"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val="0"/>
                <w:i w:val="0"/>
                <w:iCs w:val="0"/>
                <w:color w:val="auto"/>
                <w:sz w:val="21"/>
                <w:szCs w:val="21"/>
                <w:lang w:val="en-US" w:eastAsia="zh-CN" w:bidi="ar-SA"/>
              </w:rPr>
            </w:pPr>
            <w:r>
              <w:rPr>
                <w:rFonts w:hint="eastAsia" w:ascii="宋体" w:hAnsi="宋体" w:eastAsia="宋体" w:cs="宋体"/>
                <w:b w:val="0"/>
                <w:bCs w:val="0"/>
                <w:i w:val="0"/>
                <w:iCs w:val="0"/>
                <w:color w:val="auto"/>
                <w:sz w:val="21"/>
                <w:szCs w:val="21"/>
                <w:lang w:val="en-US" w:eastAsia="zh-CN" w:bidi="ar-SA"/>
              </w:rPr>
              <w:t>废石清运工程</w:t>
            </w:r>
          </w:p>
        </w:tc>
        <w:tc>
          <w:tcPr>
            <w:tcW w:w="2132"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100m</w:t>
            </w:r>
            <w:r>
              <w:rPr>
                <w:rFonts w:hint="eastAsia" w:ascii="宋体" w:hAnsi="宋体" w:eastAsia="宋体" w:cs="宋体"/>
                <w:b w:val="0"/>
                <w:bCs/>
                <w:i w:val="0"/>
                <w:iCs w:val="0"/>
                <w:color w:val="auto"/>
                <w:sz w:val="21"/>
                <w:szCs w:val="21"/>
                <w:vertAlign w:val="superscript"/>
              </w:rPr>
              <w:t>3</w:t>
            </w:r>
          </w:p>
        </w:tc>
        <w:tc>
          <w:tcPr>
            <w:tcW w:w="2480"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val="0"/>
                <w:bCs/>
                <w:i w:val="0"/>
                <w:iCs w:val="0"/>
                <w:color w:val="auto"/>
                <w:sz w:val="21"/>
                <w:szCs w:val="21"/>
                <w:lang w:val="en-US" w:eastAsia="zh-CN"/>
              </w:rPr>
            </w:pPr>
            <w:r>
              <w:rPr>
                <w:rFonts w:hint="eastAsia" w:ascii="宋体" w:hAnsi="宋体" w:eastAsia="宋体" w:cs="宋体"/>
                <w:b w:val="0"/>
                <w:bCs/>
                <w:i w:val="0"/>
                <w:i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bidi="ar-SA"/>
              </w:rPr>
            </w:pPr>
            <w:r>
              <w:rPr>
                <w:rFonts w:hint="eastAsia" w:ascii="宋体" w:hAnsi="宋体" w:eastAsia="宋体" w:cs="宋体"/>
                <w:i w:val="0"/>
                <w:iCs w:val="0"/>
                <w:color w:val="auto"/>
                <w:sz w:val="21"/>
                <w:szCs w:val="21"/>
                <w:lang w:val="en-US" w:eastAsia="zh-CN"/>
              </w:rPr>
              <w:t>3</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bidi="ar-SA"/>
              </w:rPr>
            </w:pPr>
            <w:r>
              <w:rPr>
                <w:rFonts w:hint="eastAsia" w:ascii="宋体" w:hAnsi="宋体" w:eastAsia="宋体" w:cs="宋体"/>
                <w:i w:val="0"/>
                <w:iCs w:val="0"/>
                <w:color w:val="auto"/>
                <w:sz w:val="21"/>
                <w:szCs w:val="21"/>
              </w:rPr>
              <w:t>平整工程</w:t>
            </w:r>
          </w:p>
        </w:tc>
        <w:tc>
          <w:tcPr>
            <w:tcW w:w="213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0"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val="0"/>
                <w:bCs/>
                <w:i w:val="0"/>
                <w:iCs w:val="0"/>
                <w:color w:val="auto"/>
                <w:sz w:val="21"/>
                <w:szCs w:val="21"/>
                <w:lang w:val="en-US" w:eastAsia="zh-CN"/>
              </w:rPr>
            </w:pPr>
            <w:r>
              <w:rPr>
                <w:rFonts w:hint="eastAsia" w:ascii="宋体" w:hAnsi="宋体" w:eastAsia="宋体" w:cs="宋体"/>
                <w:b w:val="0"/>
                <w:bCs/>
                <w:i w:val="0"/>
                <w:iCs w:val="0"/>
                <w:color w:val="auto"/>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bCs/>
                <w:i w:val="0"/>
                <w:iCs w:val="0"/>
                <w:color w:val="auto"/>
                <w:sz w:val="21"/>
                <w:szCs w:val="21"/>
                <w:lang w:val="en-US" w:eastAsia="zh-CN"/>
              </w:rPr>
            </w:pPr>
            <w:r>
              <w:rPr>
                <w:rFonts w:hint="eastAsia" w:ascii="宋体" w:hAnsi="宋体" w:cs="宋体"/>
                <w:b/>
                <w:bCs/>
                <w:i w:val="0"/>
                <w:iCs w:val="0"/>
                <w:color w:val="auto"/>
                <w:sz w:val="21"/>
                <w:szCs w:val="21"/>
                <w:lang w:val="en-US" w:eastAsia="zh-CN"/>
              </w:rPr>
              <w:t>四</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矿山道路土地复垦单元</w:t>
            </w:r>
          </w:p>
        </w:tc>
        <w:tc>
          <w:tcPr>
            <w:tcW w:w="2132"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c>
          <w:tcPr>
            <w:tcW w:w="2480"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9"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w:t>
            </w:r>
          </w:p>
        </w:tc>
        <w:tc>
          <w:tcPr>
            <w:tcW w:w="3123"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平整工程</w:t>
            </w:r>
          </w:p>
        </w:tc>
        <w:tc>
          <w:tcPr>
            <w:tcW w:w="213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0" w:type="dxa"/>
            <w:shd w:val="clear" w:color="auto" w:fill="auto"/>
            <w:vAlign w:val="center"/>
          </w:tcPr>
          <w:p>
            <w:pPr>
              <w:adjustRightInd w:val="0"/>
              <w:snapToGrid w:val="0"/>
              <w:spacing w:line="240" w:lineRule="auto"/>
              <w:ind w:firstLine="0" w:firstLineChars="0"/>
              <w:jc w:val="center"/>
              <w:rPr>
                <w:rFonts w:hint="default" w:ascii="宋体" w:hAnsi="宋体" w:eastAsia="宋体" w:cs="宋体"/>
                <w:i w:val="0"/>
                <w:iCs w:val="0"/>
                <w:color w:val="auto"/>
                <w:sz w:val="21"/>
                <w:szCs w:val="21"/>
                <w:lang w:val="en-US" w:eastAsia="zh-CN"/>
              </w:rPr>
            </w:pPr>
            <w:r>
              <w:rPr>
                <w:rFonts w:hint="eastAsia" w:ascii="宋体" w:hAnsi="宋体" w:cs="宋体"/>
                <w:i w:val="0"/>
                <w:iCs w:val="0"/>
                <w:color w:val="auto"/>
                <w:sz w:val="21"/>
                <w:szCs w:val="21"/>
                <w:lang w:val="en-US" w:eastAsia="zh-CN"/>
              </w:rPr>
              <w:t>2.31</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（三）矿区土地复垦监测和管护</w:t>
      </w:r>
    </w:p>
    <w:p>
      <w:pPr>
        <w:pStyle w:val="63"/>
        <w:keepNext w:val="0"/>
        <w:keepLines w:val="0"/>
        <w:pageBreakBefore w:val="0"/>
        <w:widowControl w:val="0"/>
        <w:kinsoku/>
        <w:wordWrap/>
        <w:overflowPunct/>
        <w:autoSpaceDE/>
        <w:autoSpaceDN/>
        <w:bidi w:val="0"/>
        <w:adjustRightInd/>
        <w:snapToGrid/>
        <w:ind w:firstLine="562"/>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r>
        <w:rPr>
          <w:rFonts w:hint="eastAsia" w:cs="宋体"/>
          <w:b w:val="0"/>
          <w:bCs w:val="0"/>
          <w:color w:val="auto"/>
          <w:sz w:val="24"/>
          <w:szCs w:val="24"/>
          <w:lang w:eastAsia="zh-CN"/>
        </w:rPr>
        <w:t>、</w:t>
      </w:r>
      <w:r>
        <w:rPr>
          <w:rFonts w:hint="eastAsia" w:ascii="宋体" w:hAnsi="宋体" w:eastAsia="宋体" w:cs="宋体"/>
          <w:b w:val="0"/>
          <w:bCs w:val="0"/>
          <w:color w:val="auto"/>
          <w:sz w:val="24"/>
          <w:szCs w:val="24"/>
        </w:rPr>
        <w:t>措施和内容</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对复垦责任范围内损毁的所有对象进行监测，及时跟踪土地损毁情况，摸清损毁土地面积、地类和损毁程度，同时对土壤质量状况进行监测，在土壤质量下降前采取预防措施，以保证为复垦提供优质土源。</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（1）土地损毁监测</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监测土地损毁的程度变化、面积变化等，该工作与矿山地质环境监测内容相同，工作量计入矿山地质环境监测工作量。</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（2）复垦效果监测</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在复垦期间监测复垦工作进度是否按设计进行、监测各复垦工作是否按设计规范要求进行、监测复垦工作是否达到了一定效</w:t>
      </w:r>
      <w:r>
        <w:rPr>
          <w:rFonts w:hint="eastAsia" w:ascii="宋体" w:hAnsi="宋体" w:cs="宋体"/>
          <w:color w:val="auto"/>
          <w:kern w:val="2"/>
          <w:sz w:val="24"/>
          <w:szCs w:val="24"/>
          <w:lang w:val="en-US" w:eastAsia="zh-CN"/>
        </w:rPr>
        <w:t>果</w:t>
      </w:r>
      <w:r>
        <w:rPr>
          <w:rFonts w:hint="eastAsia" w:ascii="宋体" w:hAnsi="宋体" w:eastAsia="宋体" w:cs="宋体"/>
          <w:color w:val="auto"/>
          <w:kern w:val="2"/>
          <w:sz w:val="24"/>
          <w:szCs w:val="24"/>
        </w:rPr>
        <w:t>。</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 xml:space="preserve">（3）监测方法 </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本方案采用定人定期巡视兼测量监测方法，矿山企业安排1人每</w:t>
      </w:r>
      <w:r>
        <w:rPr>
          <w:rFonts w:hint="eastAsia" w:ascii="宋体" w:hAnsi="宋体" w:cs="宋体"/>
          <w:color w:val="auto"/>
          <w:kern w:val="2"/>
          <w:sz w:val="24"/>
          <w:szCs w:val="24"/>
          <w:lang w:val="en-US" w:eastAsia="zh-CN"/>
        </w:rPr>
        <w:t>年</w:t>
      </w:r>
      <w:r>
        <w:rPr>
          <w:rFonts w:hint="eastAsia" w:ascii="宋体" w:hAnsi="宋体" w:eastAsia="宋体" w:cs="宋体"/>
          <w:color w:val="auto"/>
          <w:kern w:val="2"/>
          <w:sz w:val="24"/>
          <w:szCs w:val="24"/>
        </w:rPr>
        <w:t>监测</w:t>
      </w:r>
      <w:r>
        <w:rPr>
          <w:rFonts w:hint="eastAsia" w:ascii="宋体" w:hAnsi="宋体" w:cs="宋体"/>
          <w:color w:val="auto"/>
          <w:kern w:val="2"/>
          <w:sz w:val="24"/>
          <w:szCs w:val="24"/>
          <w:lang w:val="en-US" w:eastAsia="zh-CN"/>
        </w:rPr>
        <w:t>2</w:t>
      </w:r>
      <w:r>
        <w:rPr>
          <w:rFonts w:hint="eastAsia" w:ascii="宋体" w:hAnsi="宋体" w:eastAsia="宋体" w:cs="宋体"/>
          <w:color w:val="auto"/>
          <w:kern w:val="2"/>
          <w:sz w:val="24"/>
          <w:szCs w:val="24"/>
        </w:rPr>
        <w:t>次。定期监测结合复垦进度和措施，定时定点实地查看复垦情况，发现问题及时整改。</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（4）复垦监测成果管理</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kern w:val="2"/>
          <w:sz w:val="24"/>
          <w:szCs w:val="24"/>
        </w:rPr>
        <w:t>土地复垦监测需要对监测工作行成监测工作成果报告，土地复垦监测工作完成后需要将监测工作报告装订成册，存于档案室专门管理，便于今后查阅。</w:t>
      </w:r>
    </w:p>
    <w:p>
      <w:pPr>
        <w:pStyle w:val="63"/>
        <w:keepNext w:val="0"/>
        <w:keepLines w:val="0"/>
        <w:pageBreakBefore w:val="0"/>
        <w:widowControl w:val="0"/>
        <w:kinsoku/>
        <w:wordWrap/>
        <w:overflowPunct/>
        <w:autoSpaceDE/>
        <w:autoSpaceDN/>
        <w:bidi w:val="0"/>
        <w:adjustRightInd/>
        <w:snapToGrid/>
        <w:ind w:firstLine="562"/>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cs="宋体"/>
          <w:b w:val="0"/>
          <w:bCs w:val="0"/>
          <w:color w:val="auto"/>
          <w:sz w:val="24"/>
          <w:szCs w:val="24"/>
          <w:lang w:eastAsia="zh-CN"/>
        </w:rPr>
        <w:t>、</w:t>
      </w:r>
      <w:r>
        <w:rPr>
          <w:rFonts w:hint="eastAsia" w:ascii="宋体" w:hAnsi="宋体" w:eastAsia="宋体" w:cs="宋体"/>
          <w:b w:val="0"/>
          <w:bCs w:val="0"/>
          <w:color w:val="auto"/>
          <w:sz w:val="24"/>
          <w:szCs w:val="24"/>
        </w:rPr>
        <w:t>主要工作量</w:t>
      </w:r>
    </w:p>
    <w:p>
      <w:pPr>
        <w:keepNext w:val="0"/>
        <w:keepLines w:val="0"/>
        <w:pageBreakBefore w:val="0"/>
        <w:widowControl w:val="0"/>
        <w:tabs>
          <w:tab w:val="left" w:pos="740"/>
        </w:tabs>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bookmarkStart w:id="218" w:name="_Toc4593"/>
      <w:bookmarkStart w:id="219" w:name="_Toc1921"/>
      <w:r>
        <w:rPr>
          <w:rFonts w:hint="eastAsia" w:ascii="宋体" w:hAnsi="宋体" w:eastAsia="宋体" w:cs="宋体"/>
          <w:color w:val="auto"/>
          <w:kern w:val="2"/>
          <w:sz w:val="24"/>
          <w:szCs w:val="24"/>
        </w:rPr>
        <w:t>土地监测工程量见表5-1</w:t>
      </w:r>
      <w:r>
        <w:rPr>
          <w:rFonts w:hint="eastAsia" w:ascii="宋体" w:hAnsi="宋体" w:cs="宋体"/>
          <w:color w:val="auto"/>
          <w:kern w:val="2"/>
          <w:sz w:val="24"/>
          <w:szCs w:val="24"/>
          <w:lang w:val="en-US" w:eastAsia="zh-CN"/>
        </w:rPr>
        <w:t>4</w:t>
      </w:r>
      <w:r>
        <w:rPr>
          <w:rFonts w:hint="eastAsia" w:ascii="宋体" w:hAnsi="宋体" w:eastAsia="宋体" w:cs="宋体"/>
          <w:color w:val="auto"/>
          <w:kern w:val="2"/>
          <w:sz w:val="24"/>
          <w:szCs w:val="24"/>
        </w:rPr>
        <w:t>。</w:t>
      </w:r>
    </w:p>
    <w:p>
      <w:pPr>
        <w:keepNext w:val="0"/>
        <w:keepLines w:val="0"/>
        <w:pageBreakBefore w:val="0"/>
        <w:widowControl w:val="0"/>
        <w:tabs>
          <w:tab w:val="left" w:pos="4063"/>
        </w:tabs>
        <w:kinsoku/>
        <w:wordWrap/>
        <w:overflowPunct/>
        <w:topLinePunct w:val="0"/>
        <w:autoSpaceDE/>
        <w:autoSpaceDN/>
        <w:bidi w:val="0"/>
        <w:adjustRightInd/>
        <w:snapToGrid/>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表5-1</w:t>
      </w:r>
      <w:r>
        <w:rPr>
          <w:rFonts w:hint="eastAsia" w:ascii="宋体" w:hAnsi="宋体" w:eastAsia="宋体" w:cs="宋体"/>
          <w:b/>
          <w:color w:val="auto"/>
          <w:sz w:val="21"/>
          <w:szCs w:val="21"/>
          <w:highlight w:val="none"/>
          <w:lang w:val="en-US" w:eastAsia="zh-CN"/>
        </w:rPr>
        <w:t>4</w:t>
      </w:r>
      <w:r>
        <w:rPr>
          <w:rFonts w:hint="eastAsia" w:ascii="宋体" w:hAnsi="宋体" w:eastAsia="宋体" w:cs="宋体"/>
          <w:b/>
          <w:color w:val="auto"/>
          <w:sz w:val="21"/>
          <w:szCs w:val="21"/>
          <w:highlight w:val="none"/>
        </w:rPr>
        <w:t xml:space="preserve"> </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土地损毁监测及土地复垦监测工程量表</w:t>
      </w:r>
    </w:p>
    <w:tbl>
      <w:tblPr>
        <w:tblStyle w:val="53"/>
        <w:tblW w:w="85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2046"/>
        <w:gridCol w:w="1485"/>
        <w:gridCol w:w="1200"/>
        <w:gridCol w:w="1125"/>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监测内容</w:t>
            </w:r>
          </w:p>
        </w:tc>
        <w:tc>
          <w:tcPr>
            <w:tcW w:w="20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监测频率（点次/年）</w:t>
            </w:r>
          </w:p>
        </w:tc>
        <w:tc>
          <w:tcPr>
            <w:tcW w:w="148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监测年限</w:t>
            </w:r>
          </w:p>
        </w:tc>
        <w:tc>
          <w:tcPr>
            <w:tcW w:w="120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5年</w:t>
            </w:r>
          </w:p>
        </w:tc>
        <w:tc>
          <w:tcPr>
            <w:tcW w:w="112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10年</w:t>
            </w:r>
          </w:p>
        </w:tc>
        <w:tc>
          <w:tcPr>
            <w:tcW w:w="114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土地损毁监测</w:t>
            </w:r>
          </w:p>
        </w:tc>
        <w:tc>
          <w:tcPr>
            <w:tcW w:w="20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485"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27.2</w:t>
            </w:r>
          </w:p>
        </w:tc>
        <w:tc>
          <w:tcPr>
            <w:tcW w:w="120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20</w:t>
            </w:r>
          </w:p>
        </w:tc>
        <w:tc>
          <w:tcPr>
            <w:tcW w:w="1125"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40</w:t>
            </w:r>
          </w:p>
        </w:tc>
        <w:tc>
          <w:tcPr>
            <w:tcW w:w="114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复垦效果监测</w:t>
            </w:r>
          </w:p>
        </w:tc>
        <w:tc>
          <w:tcPr>
            <w:tcW w:w="20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1</w:t>
            </w:r>
          </w:p>
        </w:tc>
        <w:tc>
          <w:tcPr>
            <w:tcW w:w="1485"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c>
          <w:tcPr>
            <w:tcW w:w="120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125"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14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w:t>
            </w:r>
          </w:p>
        </w:tc>
      </w:tr>
    </w:tbl>
    <w:p>
      <w:pPr>
        <w:rPr>
          <w:rFonts w:hint="eastAsia"/>
          <w:color w:val="auto"/>
        </w:rPr>
      </w:pPr>
    </w:p>
    <w:p>
      <w:pPr>
        <w:spacing w:line="360" w:lineRule="auto"/>
        <w:ind w:firstLine="602" w:firstLineChars="200"/>
        <w:outlineLvl w:val="1"/>
        <w:rPr>
          <w:rFonts w:hint="eastAsia" w:ascii="宋体" w:hAnsi="宋体" w:eastAsia="宋体" w:cs="宋体"/>
          <w:b/>
          <w:color w:val="auto"/>
          <w:sz w:val="30"/>
          <w:szCs w:val="30"/>
        </w:rPr>
      </w:pPr>
      <w:bookmarkStart w:id="220" w:name="_Toc32483"/>
      <w:r>
        <w:rPr>
          <w:rFonts w:hint="eastAsia" w:ascii="宋体" w:hAnsi="宋体" w:eastAsia="宋体" w:cs="宋体"/>
          <w:b/>
          <w:color w:val="auto"/>
          <w:sz w:val="30"/>
          <w:szCs w:val="30"/>
        </w:rPr>
        <w:t>四、</w:t>
      </w:r>
      <w:bookmarkEnd w:id="218"/>
      <w:bookmarkEnd w:id="219"/>
      <w:r>
        <w:rPr>
          <w:rFonts w:hint="eastAsia" w:ascii="宋体" w:hAnsi="宋体" w:eastAsia="宋体" w:cs="宋体"/>
          <w:b/>
          <w:color w:val="auto"/>
          <w:sz w:val="30"/>
          <w:szCs w:val="30"/>
        </w:rPr>
        <w:t>土地复垦工作部署</w:t>
      </w:r>
      <w:bookmarkEnd w:id="220"/>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default"/>
          <w:color w:val="auto"/>
          <w:sz w:val="28"/>
          <w:szCs w:val="28"/>
          <w:lang w:val="en-US" w:eastAsia="zh-CN"/>
        </w:rPr>
      </w:pPr>
      <w:r>
        <w:rPr>
          <w:rFonts w:hint="eastAsia"/>
          <w:color w:val="auto"/>
          <w:sz w:val="28"/>
          <w:szCs w:val="28"/>
          <w:lang w:eastAsia="zh-CN"/>
        </w:rPr>
        <w:t>（</w:t>
      </w:r>
      <w:r>
        <w:rPr>
          <w:rFonts w:hint="eastAsia"/>
          <w:color w:val="auto"/>
          <w:sz w:val="28"/>
          <w:szCs w:val="28"/>
          <w:lang w:val="en-US" w:eastAsia="zh-CN"/>
        </w:rPr>
        <w:t>一</w:t>
      </w:r>
      <w:r>
        <w:rPr>
          <w:rFonts w:hint="eastAsia"/>
          <w:color w:val="auto"/>
          <w:sz w:val="28"/>
          <w:szCs w:val="28"/>
          <w:lang w:eastAsia="zh-CN"/>
        </w:rPr>
        <w:t>）</w:t>
      </w:r>
      <w:r>
        <w:rPr>
          <w:rFonts w:hint="eastAsia"/>
          <w:color w:val="auto"/>
          <w:sz w:val="28"/>
          <w:szCs w:val="28"/>
          <w:lang w:val="en-US" w:eastAsia="zh-CN"/>
        </w:rPr>
        <w:t>总体工作部署</w:t>
      </w:r>
    </w:p>
    <w:p>
      <w:pPr>
        <w:pageBreakBefore w:val="0"/>
        <w:widowControl w:val="0"/>
        <w:tabs>
          <w:tab w:val="left" w:pos="74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本矿山为</w:t>
      </w:r>
      <w:r>
        <w:rPr>
          <w:rFonts w:hint="eastAsia" w:ascii="宋体" w:hAnsi="宋体" w:cs="宋体"/>
          <w:color w:val="auto"/>
          <w:sz w:val="24"/>
          <w:szCs w:val="24"/>
          <w:lang w:val="en-US" w:eastAsia="zh-CN"/>
        </w:rPr>
        <w:t>新建</w:t>
      </w:r>
      <w:r>
        <w:rPr>
          <w:rFonts w:hint="eastAsia" w:ascii="宋体" w:hAnsi="宋体" w:eastAsia="宋体" w:cs="宋体"/>
          <w:color w:val="auto"/>
          <w:sz w:val="24"/>
          <w:szCs w:val="24"/>
        </w:rPr>
        <w:t>矿山，矿山采用山坡露天开采，工作制度为</w:t>
      </w:r>
      <w:r>
        <w:rPr>
          <w:rFonts w:hint="eastAsia" w:ascii="宋体" w:hAnsi="宋体" w:cs="宋体"/>
          <w:color w:val="auto"/>
          <w:sz w:val="24"/>
          <w:szCs w:val="24"/>
          <w:lang w:val="en-US" w:eastAsia="zh-CN"/>
        </w:rPr>
        <w:t>27</w:t>
      </w:r>
      <w:r>
        <w:rPr>
          <w:rFonts w:hint="eastAsia" w:ascii="宋体" w:hAnsi="宋体" w:eastAsia="宋体" w:cs="宋体"/>
          <w:color w:val="auto"/>
          <w:sz w:val="24"/>
          <w:szCs w:val="24"/>
        </w:rPr>
        <w:t>0天/年，矿山总服务年限</w:t>
      </w:r>
      <w:r>
        <w:rPr>
          <w:rFonts w:hint="eastAsia" w:ascii="宋体" w:hAnsi="宋体" w:cs="宋体"/>
          <w:color w:val="auto"/>
          <w:sz w:val="24"/>
          <w:szCs w:val="24"/>
          <w:lang w:val="en-US" w:eastAsia="zh-CN"/>
        </w:rPr>
        <w:t>27.2</w:t>
      </w:r>
      <w:r>
        <w:rPr>
          <w:rFonts w:hint="eastAsia" w:ascii="宋体" w:hAnsi="宋体" w:eastAsia="宋体" w:cs="宋体"/>
          <w:color w:val="auto"/>
          <w:sz w:val="24"/>
          <w:szCs w:val="24"/>
        </w:rPr>
        <w:t>年。其中，计划开采时间为202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w:t>
      </w:r>
      <w:r>
        <w:rPr>
          <w:rFonts w:hint="eastAsia" w:ascii="宋体" w:hAnsi="宋体" w:cs="宋体"/>
          <w:color w:val="auto"/>
          <w:sz w:val="24"/>
          <w:szCs w:val="24"/>
          <w:lang w:val="en-US" w:eastAsia="zh-CN"/>
        </w:rPr>
        <w:t>52</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月。</w:t>
      </w:r>
    </w:p>
    <w:p>
      <w:pPr>
        <w:pageBreakBefore w:val="0"/>
        <w:widowControl w:val="0"/>
        <w:tabs>
          <w:tab w:val="left" w:pos="74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方案工作计划根据开发利用方案等相关资料结合矿山实际情况及矿山自身复垦计划、项目特征和生产建设方式等实际情况，划分土地复垦工作阶段，确定每一阶段或每一区段的恢复目标、任务、计划及资金安排等。按照轻重缓急、分阶段实施的原则，将矿山土地复垦工作划分为近期5年（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w:t>
      </w:r>
      <w:r>
        <w:rPr>
          <w:rFonts w:hint="eastAsia" w:ascii="宋体" w:hAnsi="宋体" w:cs="宋体"/>
          <w:color w:val="auto"/>
          <w:sz w:val="24"/>
          <w:szCs w:val="24"/>
          <w:lang w:val="en-US" w:eastAsia="zh-CN"/>
        </w:rPr>
        <w:t>30</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月）、中期5年（20</w:t>
      </w:r>
      <w:r>
        <w:rPr>
          <w:rFonts w:hint="eastAsia" w:ascii="宋体" w:hAnsi="宋体" w:cs="宋体"/>
          <w:color w:val="auto"/>
          <w:sz w:val="24"/>
          <w:szCs w:val="24"/>
          <w:lang w:val="en-US" w:eastAsia="zh-CN"/>
        </w:rPr>
        <w:t>30</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月-203</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月）、复垦期</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年（</w:t>
      </w:r>
      <w:r>
        <w:rPr>
          <w:rFonts w:hint="eastAsia" w:ascii="宋体" w:hAnsi="宋体" w:eastAsia="宋体" w:cs="宋体"/>
          <w:color w:val="auto"/>
          <w:sz w:val="24"/>
          <w:szCs w:val="24"/>
          <w:highlight w:val="none"/>
          <w:lang w:val="en-US" w:eastAsia="zh-CN"/>
        </w:rPr>
        <w:t>20</w:t>
      </w:r>
      <w:r>
        <w:rPr>
          <w:rFonts w:hint="eastAsia" w:ascii="宋体" w:hAnsi="宋体" w:cs="宋体"/>
          <w:color w:val="auto"/>
          <w:sz w:val="24"/>
          <w:szCs w:val="24"/>
          <w:highlight w:val="none"/>
          <w:lang w:val="en-US" w:eastAsia="zh-CN"/>
        </w:rPr>
        <w:t>52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lang w:val="en-US" w:eastAsia="zh-CN"/>
        </w:rPr>
        <w:t>月-20</w:t>
      </w:r>
      <w:r>
        <w:rPr>
          <w:rFonts w:hint="eastAsia" w:ascii="宋体" w:hAnsi="宋体" w:cs="宋体"/>
          <w:color w:val="auto"/>
          <w:sz w:val="24"/>
          <w:szCs w:val="24"/>
          <w:highlight w:val="none"/>
          <w:lang w:val="en-US" w:eastAsia="zh-CN"/>
        </w:rPr>
        <w:t>52</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月</w:t>
      </w:r>
      <w:r>
        <w:rPr>
          <w:rFonts w:hint="eastAsia" w:ascii="宋体" w:hAnsi="宋体" w:eastAsia="宋体" w:cs="宋体"/>
          <w:color w:val="auto"/>
          <w:sz w:val="24"/>
          <w:szCs w:val="24"/>
        </w:rPr>
        <w:t>）。实施计划具体如下：</w:t>
      </w:r>
    </w:p>
    <w:p>
      <w:pPr>
        <w:pageBreakBefore w:val="0"/>
        <w:widowControl w:val="0"/>
        <w:tabs>
          <w:tab w:val="left" w:pos="740"/>
        </w:tabs>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1、近期5年工作部署（202</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rPr>
        <w:t>年</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rPr>
        <w:t>月-20</w:t>
      </w:r>
      <w:r>
        <w:rPr>
          <w:rFonts w:hint="eastAsia" w:ascii="宋体" w:hAnsi="宋体" w:cs="宋体"/>
          <w:b/>
          <w:bCs/>
          <w:color w:val="auto"/>
          <w:sz w:val="24"/>
          <w:szCs w:val="24"/>
          <w:lang w:val="en-US" w:eastAsia="zh-CN"/>
        </w:rPr>
        <w:t>30</w:t>
      </w:r>
      <w:r>
        <w:rPr>
          <w:rFonts w:hint="eastAsia" w:ascii="宋体" w:hAnsi="宋体" w:eastAsia="宋体" w:cs="宋体"/>
          <w:b/>
          <w:bCs/>
          <w:color w:val="auto"/>
          <w:sz w:val="24"/>
          <w:szCs w:val="24"/>
        </w:rPr>
        <w:t>年</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rPr>
        <w:t>月）</w:t>
      </w:r>
    </w:p>
    <w:p>
      <w:pPr>
        <w:keepNext w:val="0"/>
        <w:keepLines w:val="0"/>
        <w:pageBreakBefore w:val="0"/>
        <w:widowControl w:val="0"/>
        <w:tabs>
          <w:tab w:val="left" w:pos="740"/>
        </w:tabs>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rPr>
      </w:pPr>
      <w:r>
        <w:rPr>
          <w:rFonts w:hint="eastAsia" w:ascii="宋体" w:hAnsi="宋体" w:eastAsia="宋体" w:cs="宋体"/>
          <w:color w:val="auto"/>
          <w:sz w:val="24"/>
          <w:szCs w:val="24"/>
        </w:rPr>
        <w:t>近期5年为矿山生产期，土地复垦工作主要是对土地损毁监测，土地损毁每年监测</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次，近期5年工作量见表5-</w:t>
      </w:r>
      <w:r>
        <w:rPr>
          <w:rFonts w:hint="eastAsia" w:ascii="宋体" w:hAnsi="宋体" w:cs="宋体"/>
          <w:color w:val="auto"/>
          <w:sz w:val="24"/>
          <w:szCs w:val="24"/>
          <w:lang w:val="en-US" w:eastAsia="zh-CN"/>
        </w:rPr>
        <w:t>15</w:t>
      </w:r>
      <w:r>
        <w:rPr>
          <w:rFonts w:hint="eastAsia" w:ascii="宋体" w:hAnsi="宋体" w:eastAsia="宋体" w:cs="宋体"/>
          <w:color w:val="auto"/>
          <w:sz w:val="24"/>
          <w:szCs w:val="24"/>
        </w:rPr>
        <w:t>。</w:t>
      </w:r>
    </w:p>
    <w:p>
      <w:pPr>
        <w:pStyle w:val="15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表5-</w:t>
      </w:r>
      <w:r>
        <w:rPr>
          <w:rFonts w:hint="eastAsia" w:ascii="宋体" w:hAnsi="宋体" w:eastAsia="宋体" w:cs="宋体"/>
          <w:b/>
          <w:bCs w:val="0"/>
          <w:color w:val="auto"/>
          <w:sz w:val="21"/>
          <w:szCs w:val="21"/>
          <w:lang w:val="en-US" w:eastAsia="zh-CN"/>
        </w:rPr>
        <w:t>15</w:t>
      </w:r>
      <w:r>
        <w:rPr>
          <w:rFonts w:hint="eastAsia" w:ascii="宋体" w:hAnsi="宋体" w:eastAsia="宋体" w:cs="宋体"/>
          <w:b/>
          <w:bCs w:val="0"/>
          <w:color w:val="auto"/>
          <w:sz w:val="21"/>
          <w:szCs w:val="21"/>
        </w:rPr>
        <w:t xml:space="preserve"> </w:t>
      </w:r>
      <w:r>
        <w:rPr>
          <w:rFonts w:hint="eastAsia" w:ascii="宋体" w:hAnsi="宋体" w:eastAsia="宋体" w:cs="宋体"/>
          <w:b/>
          <w:bCs w:val="0"/>
          <w:color w:val="auto"/>
          <w:sz w:val="21"/>
          <w:szCs w:val="21"/>
          <w:lang w:val="en-US" w:eastAsia="zh-CN"/>
        </w:rPr>
        <w:t xml:space="preserve">     </w:t>
      </w:r>
      <w:r>
        <w:rPr>
          <w:rFonts w:hint="eastAsia" w:ascii="宋体" w:hAnsi="宋体" w:eastAsia="宋体" w:cs="宋体"/>
          <w:b/>
          <w:bCs/>
          <w:color w:val="auto"/>
          <w:sz w:val="21"/>
          <w:szCs w:val="21"/>
        </w:rPr>
        <w:t>近期5年</w:t>
      </w:r>
      <w:r>
        <w:rPr>
          <w:rFonts w:hint="eastAsia" w:ascii="宋体" w:hAnsi="宋体" w:eastAsia="宋体" w:cs="宋体"/>
          <w:b/>
          <w:bCs w:val="0"/>
          <w:color w:val="auto"/>
          <w:sz w:val="21"/>
          <w:szCs w:val="21"/>
        </w:rPr>
        <w:t>土地复垦监测工程量表</w:t>
      </w:r>
    </w:p>
    <w:tbl>
      <w:tblPr>
        <w:tblStyle w:val="53"/>
        <w:tblW w:w="865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3"/>
        <w:gridCol w:w="3705"/>
        <w:gridCol w:w="2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63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监测内容</w:t>
            </w:r>
          </w:p>
        </w:tc>
        <w:tc>
          <w:tcPr>
            <w:tcW w:w="37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监测频率（点次/年）</w:t>
            </w:r>
          </w:p>
        </w:tc>
        <w:tc>
          <w:tcPr>
            <w:tcW w:w="231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63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土地损毁监测</w:t>
            </w:r>
          </w:p>
        </w:tc>
        <w:tc>
          <w:tcPr>
            <w:tcW w:w="37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2312"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r>
    </w:tbl>
    <w:p>
      <w:pPr>
        <w:pageBreakBefore w:val="0"/>
        <w:widowControl w:val="0"/>
        <w:tabs>
          <w:tab w:val="left" w:pos="740"/>
        </w:tabs>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2、中期5年工作部署（20</w:t>
      </w:r>
      <w:r>
        <w:rPr>
          <w:rFonts w:hint="eastAsia" w:ascii="宋体" w:hAnsi="宋体" w:cs="宋体"/>
          <w:b/>
          <w:bCs/>
          <w:color w:val="auto"/>
          <w:sz w:val="24"/>
          <w:szCs w:val="24"/>
          <w:lang w:val="en-US" w:eastAsia="zh-CN"/>
        </w:rPr>
        <w:t>30</w:t>
      </w:r>
      <w:r>
        <w:rPr>
          <w:rFonts w:hint="eastAsia" w:ascii="宋体" w:hAnsi="宋体" w:eastAsia="宋体" w:cs="宋体"/>
          <w:b/>
          <w:bCs/>
          <w:color w:val="auto"/>
          <w:sz w:val="24"/>
          <w:szCs w:val="24"/>
        </w:rPr>
        <w:t>年</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rPr>
        <w:t>月-203</w:t>
      </w:r>
      <w:r>
        <w:rPr>
          <w:rFonts w:hint="eastAsia" w:ascii="宋体" w:hAnsi="宋体" w:cs="宋体"/>
          <w:b/>
          <w:bCs/>
          <w:color w:val="auto"/>
          <w:sz w:val="24"/>
          <w:szCs w:val="24"/>
          <w:lang w:val="en-US" w:eastAsia="zh-CN"/>
        </w:rPr>
        <w:t>5</w:t>
      </w:r>
      <w:r>
        <w:rPr>
          <w:rFonts w:hint="eastAsia" w:ascii="宋体" w:hAnsi="宋体" w:eastAsia="宋体" w:cs="宋体"/>
          <w:b/>
          <w:bCs/>
          <w:color w:val="auto"/>
          <w:sz w:val="24"/>
          <w:szCs w:val="24"/>
        </w:rPr>
        <w:t>年</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rPr>
        <w:t>月）</w:t>
      </w:r>
    </w:p>
    <w:p>
      <w:pPr>
        <w:pageBreakBefore w:val="0"/>
        <w:widowControl w:val="0"/>
        <w:tabs>
          <w:tab w:val="left" w:pos="74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中期5年为矿山生产期，土地复垦工作主要是对土地损毁监测，土地损毁每年监测</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次，中期5年工作量见表5-</w:t>
      </w:r>
      <w:r>
        <w:rPr>
          <w:rFonts w:hint="eastAsia" w:ascii="宋体" w:hAnsi="宋体" w:cs="宋体"/>
          <w:color w:val="auto"/>
          <w:sz w:val="24"/>
          <w:szCs w:val="24"/>
          <w:lang w:val="en-US" w:eastAsia="zh-CN"/>
        </w:rPr>
        <w:t>16</w:t>
      </w:r>
      <w:r>
        <w:rPr>
          <w:rFonts w:hint="eastAsia" w:ascii="宋体" w:hAnsi="宋体" w:eastAsia="宋体" w:cs="宋体"/>
          <w:color w:val="auto"/>
          <w:sz w:val="24"/>
          <w:szCs w:val="24"/>
        </w:rPr>
        <w:t>。</w:t>
      </w:r>
    </w:p>
    <w:p>
      <w:pPr>
        <w:pStyle w:val="15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表5-</w:t>
      </w:r>
      <w:r>
        <w:rPr>
          <w:rFonts w:hint="eastAsia" w:ascii="宋体" w:hAnsi="宋体" w:eastAsia="宋体" w:cs="宋体"/>
          <w:b/>
          <w:bCs w:val="0"/>
          <w:color w:val="auto"/>
          <w:sz w:val="21"/>
          <w:szCs w:val="21"/>
          <w:lang w:val="en-US" w:eastAsia="zh-CN"/>
        </w:rPr>
        <w:t>16</w:t>
      </w:r>
      <w:r>
        <w:rPr>
          <w:rFonts w:hint="eastAsia" w:ascii="宋体" w:hAnsi="宋体" w:eastAsia="宋体" w:cs="宋体"/>
          <w:b/>
          <w:bCs w:val="0"/>
          <w:color w:val="auto"/>
          <w:sz w:val="21"/>
          <w:szCs w:val="21"/>
        </w:rPr>
        <w:t xml:space="preserve"> </w:t>
      </w:r>
      <w:r>
        <w:rPr>
          <w:rFonts w:hint="eastAsia" w:ascii="宋体" w:hAnsi="宋体" w:eastAsia="宋体" w:cs="宋体"/>
          <w:b/>
          <w:bCs w:val="0"/>
          <w:color w:val="auto"/>
          <w:sz w:val="21"/>
          <w:szCs w:val="21"/>
          <w:lang w:val="en-US" w:eastAsia="zh-CN"/>
        </w:rPr>
        <w:t xml:space="preserve">     </w:t>
      </w:r>
      <w:r>
        <w:rPr>
          <w:rFonts w:hint="eastAsia" w:ascii="宋体" w:hAnsi="宋体" w:eastAsia="宋体" w:cs="宋体"/>
          <w:b/>
          <w:bCs w:val="0"/>
          <w:color w:val="auto"/>
          <w:sz w:val="21"/>
          <w:szCs w:val="21"/>
        </w:rPr>
        <w:t>中期5年土地复垦监测工程量表</w:t>
      </w:r>
    </w:p>
    <w:tbl>
      <w:tblPr>
        <w:tblStyle w:val="53"/>
        <w:tblW w:w="871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3"/>
        <w:gridCol w:w="3842"/>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54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监测内容</w:t>
            </w:r>
          </w:p>
        </w:tc>
        <w:tc>
          <w:tcPr>
            <w:tcW w:w="384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监测频率（点次/年）</w:t>
            </w:r>
          </w:p>
        </w:tc>
        <w:tc>
          <w:tcPr>
            <w:tcW w:w="2327"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254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土地损毁监测</w:t>
            </w:r>
          </w:p>
        </w:tc>
        <w:tc>
          <w:tcPr>
            <w:tcW w:w="384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cs="宋体"/>
                <w:color w:val="auto"/>
                <w:sz w:val="21"/>
                <w:szCs w:val="21"/>
                <w:lang w:val="en-US" w:eastAsia="zh-CN"/>
              </w:rPr>
              <w:t>4</w:t>
            </w:r>
          </w:p>
        </w:tc>
        <w:tc>
          <w:tcPr>
            <w:tcW w:w="2327"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20</w:t>
            </w:r>
          </w:p>
        </w:tc>
      </w:tr>
    </w:tbl>
    <w:p>
      <w:pPr>
        <w:pageBreakBefore w:val="0"/>
        <w:widowControl w:val="0"/>
        <w:tabs>
          <w:tab w:val="left" w:pos="740"/>
        </w:tabs>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3、复垦期工作部署（</w:t>
      </w:r>
      <w:r>
        <w:rPr>
          <w:rFonts w:hint="eastAsia" w:ascii="宋体" w:hAnsi="宋体" w:eastAsia="宋体" w:cs="宋体"/>
          <w:b/>
          <w:bCs/>
          <w:color w:val="auto"/>
          <w:sz w:val="24"/>
          <w:szCs w:val="24"/>
          <w:lang w:val="en-US" w:eastAsia="zh-CN"/>
        </w:rPr>
        <w:t>204</w:t>
      </w:r>
      <w:r>
        <w:rPr>
          <w:rFonts w:hint="eastAsia" w:ascii="宋体" w:hAnsi="宋体" w:cs="宋体"/>
          <w:b/>
          <w:bCs/>
          <w:color w:val="auto"/>
          <w:sz w:val="24"/>
          <w:szCs w:val="24"/>
          <w:lang w:val="en-US" w:eastAsia="zh-CN"/>
        </w:rPr>
        <w:t>9</w:t>
      </w:r>
      <w:r>
        <w:rPr>
          <w:rFonts w:hint="eastAsia" w:ascii="宋体" w:hAnsi="宋体" w:eastAsia="宋体" w:cs="宋体"/>
          <w:b/>
          <w:bCs/>
          <w:color w:val="auto"/>
          <w:sz w:val="24"/>
          <w:szCs w:val="24"/>
          <w:lang w:val="en-US" w:eastAsia="zh-CN"/>
        </w:rPr>
        <w:t>年</w:t>
      </w:r>
      <w:r>
        <w:rPr>
          <w:rFonts w:hint="eastAsia" w:ascii="宋体" w:hAnsi="宋体" w:cs="宋体"/>
          <w:b/>
          <w:bCs/>
          <w:color w:val="auto"/>
          <w:sz w:val="24"/>
          <w:szCs w:val="24"/>
          <w:lang w:val="en-US" w:eastAsia="zh-CN"/>
        </w:rPr>
        <w:t>3</w:t>
      </w:r>
      <w:r>
        <w:rPr>
          <w:rFonts w:hint="eastAsia" w:ascii="宋体" w:hAnsi="宋体" w:eastAsia="宋体" w:cs="宋体"/>
          <w:b/>
          <w:bCs/>
          <w:color w:val="auto"/>
          <w:sz w:val="24"/>
          <w:szCs w:val="24"/>
          <w:lang w:val="en-US" w:eastAsia="zh-CN"/>
        </w:rPr>
        <w:t>月-20</w:t>
      </w:r>
      <w:r>
        <w:rPr>
          <w:rFonts w:hint="eastAsia" w:ascii="宋体" w:hAnsi="宋体" w:cs="宋体"/>
          <w:b/>
          <w:bCs/>
          <w:color w:val="auto"/>
          <w:sz w:val="24"/>
          <w:szCs w:val="24"/>
          <w:lang w:val="en-US" w:eastAsia="zh-CN"/>
        </w:rPr>
        <w:t>50</w:t>
      </w:r>
      <w:r>
        <w:rPr>
          <w:rFonts w:hint="eastAsia" w:ascii="宋体" w:hAnsi="宋体" w:eastAsia="宋体" w:cs="宋体"/>
          <w:b/>
          <w:bCs/>
          <w:color w:val="auto"/>
          <w:sz w:val="24"/>
          <w:szCs w:val="24"/>
          <w:lang w:val="en-US" w:eastAsia="zh-CN"/>
        </w:rPr>
        <w:t>年</w:t>
      </w:r>
      <w:r>
        <w:rPr>
          <w:rFonts w:hint="eastAsia" w:ascii="宋体" w:hAnsi="宋体" w:cs="宋体"/>
          <w:b/>
          <w:bCs/>
          <w:color w:val="auto"/>
          <w:sz w:val="24"/>
          <w:szCs w:val="24"/>
          <w:lang w:val="en-US" w:eastAsia="zh-CN"/>
        </w:rPr>
        <w:t>2</w:t>
      </w:r>
      <w:r>
        <w:rPr>
          <w:rFonts w:hint="eastAsia" w:ascii="宋体" w:hAnsi="宋体" w:eastAsia="宋体" w:cs="宋体"/>
          <w:b/>
          <w:bCs/>
          <w:color w:val="auto"/>
          <w:sz w:val="24"/>
          <w:szCs w:val="24"/>
          <w:lang w:val="en-US" w:eastAsia="zh-CN"/>
        </w:rPr>
        <w:t>月</w:t>
      </w:r>
      <w:r>
        <w:rPr>
          <w:rFonts w:hint="eastAsia" w:ascii="宋体" w:hAnsi="宋体" w:eastAsia="宋体" w:cs="宋体"/>
          <w:b/>
          <w:bCs/>
          <w:color w:val="auto"/>
          <w:sz w:val="24"/>
          <w:szCs w:val="24"/>
        </w:rPr>
        <w:t>）</w:t>
      </w:r>
    </w:p>
    <w:p>
      <w:pPr>
        <w:pageBreakBefore w:val="0"/>
        <w:widowControl w:val="0"/>
        <w:tabs>
          <w:tab w:val="left" w:pos="74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矿山生产期为202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月至20</w:t>
      </w:r>
      <w:r>
        <w:rPr>
          <w:rFonts w:hint="eastAsia" w:ascii="宋体" w:hAnsi="宋体" w:cs="宋体"/>
          <w:color w:val="auto"/>
          <w:sz w:val="24"/>
          <w:szCs w:val="24"/>
          <w:lang w:val="en-US" w:eastAsia="zh-CN"/>
        </w:rPr>
        <w:t>52</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6</w:t>
      </w:r>
      <w:r>
        <w:rPr>
          <w:rFonts w:hint="eastAsia" w:ascii="宋体" w:hAnsi="宋体" w:eastAsia="宋体" w:cs="宋体"/>
          <w:color w:val="auto"/>
          <w:sz w:val="24"/>
          <w:szCs w:val="24"/>
        </w:rPr>
        <w:t>月，复垦工作为矿山闭坑后开始，复垦期</w:t>
      </w:r>
      <w:r>
        <w:rPr>
          <w:rFonts w:hint="eastAsia" w:ascii="宋体" w:hAnsi="宋体" w:cs="宋体"/>
          <w:color w:val="auto"/>
          <w:sz w:val="24"/>
          <w:szCs w:val="24"/>
          <w:lang w:val="en-US" w:eastAsia="zh-CN"/>
        </w:rPr>
        <w:t>0.5</w:t>
      </w:r>
      <w:r>
        <w:rPr>
          <w:rFonts w:hint="eastAsia" w:ascii="宋体" w:hAnsi="宋体" w:eastAsia="宋体" w:cs="宋体"/>
          <w:color w:val="auto"/>
          <w:sz w:val="24"/>
          <w:szCs w:val="24"/>
        </w:rPr>
        <w:t>年，即复垦工作期为</w:t>
      </w:r>
      <w:r>
        <w:rPr>
          <w:rFonts w:hint="eastAsia" w:ascii="宋体" w:hAnsi="宋体" w:eastAsia="宋体" w:cs="宋体"/>
          <w:color w:val="auto"/>
          <w:sz w:val="24"/>
          <w:szCs w:val="24"/>
          <w:lang w:val="en-US" w:eastAsia="zh-CN"/>
        </w:rPr>
        <w:t>20</w:t>
      </w:r>
      <w:r>
        <w:rPr>
          <w:rFonts w:hint="eastAsia" w:ascii="宋体" w:hAnsi="宋体" w:cs="宋体"/>
          <w:color w:val="auto"/>
          <w:sz w:val="24"/>
          <w:szCs w:val="24"/>
          <w:lang w:val="en-US" w:eastAsia="zh-CN"/>
        </w:rPr>
        <w:t>52</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月-20</w:t>
      </w:r>
      <w:r>
        <w:rPr>
          <w:rFonts w:hint="eastAsia" w:ascii="宋体" w:hAnsi="宋体" w:cs="宋体"/>
          <w:color w:val="auto"/>
          <w:sz w:val="24"/>
          <w:szCs w:val="24"/>
          <w:lang w:val="en-US" w:eastAsia="zh-CN"/>
        </w:rPr>
        <w:t>52</w:t>
      </w:r>
      <w:r>
        <w:rPr>
          <w:rFonts w:hint="eastAsia" w:ascii="宋体" w:hAnsi="宋体" w:eastAsia="宋体" w:cs="宋体"/>
          <w:color w:val="auto"/>
          <w:sz w:val="24"/>
          <w:szCs w:val="24"/>
          <w:lang w:val="en-US" w:eastAsia="zh-CN"/>
        </w:rPr>
        <w:t>年</w:t>
      </w:r>
      <w:r>
        <w:rPr>
          <w:rFonts w:hint="eastAsia" w:ascii="宋体" w:hAnsi="宋体" w:cs="宋体"/>
          <w:color w:val="auto"/>
          <w:sz w:val="24"/>
          <w:szCs w:val="24"/>
          <w:lang w:val="en-US" w:eastAsia="zh-CN"/>
        </w:rPr>
        <w:t>12</w:t>
      </w:r>
      <w:r>
        <w:rPr>
          <w:rFonts w:hint="eastAsia" w:ascii="宋体" w:hAnsi="宋体" w:eastAsia="宋体" w:cs="宋体"/>
          <w:color w:val="auto"/>
          <w:sz w:val="24"/>
          <w:szCs w:val="24"/>
          <w:lang w:val="en-US" w:eastAsia="zh-CN"/>
        </w:rPr>
        <w:t>月</w:t>
      </w:r>
      <w:r>
        <w:rPr>
          <w:rFonts w:hint="eastAsia" w:ascii="宋体" w:hAnsi="宋体" w:eastAsia="宋体" w:cs="宋体"/>
          <w:color w:val="auto"/>
          <w:sz w:val="24"/>
          <w:szCs w:val="24"/>
        </w:rPr>
        <w:t>。总体工作部署如下：</w:t>
      </w:r>
    </w:p>
    <w:p>
      <w:pPr>
        <w:pageBreakBefore w:val="0"/>
        <w:widowControl w:val="0"/>
        <w:tabs>
          <w:tab w:val="left" w:pos="74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矿山闭坑后，拆除各场地建筑物，可利用材料外运，平整场地，使复垦责任区基本恢复到原生地貌状况。复垦期工作安排详见表5-</w:t>
      </w:r>
      <w:r>
        <w:rPr>
          <w:rFonts w:hint="eastAsia" w:ascii="宋体" w:hAnsi="宋体" w:cs="宋体"/>
          <w:color w:val="auto"/>
          <w:sz w:val="24"/>
          <w:szCs w:val="24"/>
          <w:lang w:val="en-US" w:eastAsia="zh-CN"/>
        </w:rPr>
        <w:t>17</w:t>
      </w:r>
      <w:r>
        <w:rPr>
          <w:rFonts w:hint="eastAsia" w:ascii="宋体" w:hAnsi="宋体" w:eastAsia="宋体" w:cs="宋体"/>
          <w:color w:val="auto"/>
          <w:sz w:val="24"/>
          <w:szCs w:val="24"/>
        </w:rPr>
        <w:t>。</w:t>
      </w:r>
    </w:p>
    <w:p>
      <w:pPr>
        <w:pStyle w:val="159"/>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表5-</w:t>
      </w:r>
      <w:r>
        <w:rPr>
          <w:rFonts w:hint="eastAsia" w:ascii="宋体" w:hAnsi="宋体" w:eastAsia="宋体" w:cs="宋体"/>
          <w:b/>
          <w:bCs w:val="0"/>
          <w:color w:val="auto"/>
          <w:sz w:val="21"/>
          <w:szCs w:val="21"/>
          <w:lang w:val="en-US" w:eastAsia="zh-CN"/>
        </w:rPr>
        <w:t>17</w:t>
      </w:r>
      <w:r>
        <w:rPr>
          <w:rFonts w:hint="eastAsia" w:ascii="宋体" w:hAnsi="宋体" w:eastAsia="宋体" w:cs="宋体"/>
          <w:b/>
          <w:bCs w:val="0"/>
          <w:color w:val="auto"/>
          <w:sz w:val="21"/>
          <w:szCs w:val="21"/>
        </w:rPr>
        <w:t xml:space="preserve"> </w:t>
      </w:r>
      <w:r>
        <w:rPr>
          <w:rFonts w:hint="eastAsia" w:ascii="宋体" w:hAnsi="宋体" w:eastAsia="宋体" w:cs="宋体"/>
          <w:b/>
          <w:bCs w:val="0"/>
          <w:color w:val="auto"/>
          <w:sz w:val="21"/>
          <w:szCs w:val="21"/>
          <w:lang w:val="en-US" w:eastAsia="zh-CN"/>
        </w:rPr>
        <w:t xml:space="preserve">      </w:t>
      </w:r>
      <w:r>
        <w:rPr>
          <w:rFonts w:hint="eastAsia" w:ascii="宋体" w:hAnsi="宋体" w:eastAsia="宋体" w:cs="宋体"/>
          <w:b/>
          <w:bCs w:val="0"/>
          <w:color w:val="auto"/>
          <w:sz w:val="21"/>
          <w:szCs w:val="21"/>
        </w:rPr>
        <w:t>土地复垦工作计划表</w:t>
      </w:r>
    </w:p>
    <w:tbl>
      <w:tblPr>
        <w:tblStyle w:val="53"/>
        <w:tblW w:w="88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83"/>
        <w:gridCol w:w="604"/>
        <w:gridCol w:w="2243"/>
        <w:gridCol w:w="1470"/>
        <w:gridCol w:w="1305"/>
        <w:gridCol w:w="1365"/>
        <w:gridCol w:w="1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46" w:hRule="exact"/>
          <w:tblHeader/>
          <w:jc w:val="center"/>
        </w:trPr>
        <w:tc>
          <w:tcPr>
            <w:tcW w:w="333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分布</w:t>
            </w:r>
          </w:p>
        </w:tc>
        <w:tc>
          <w:tcPr>
            <w:tcW w:w="147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规划</w:t>
            </w:r>
            <w:r>
              <w:rPr>
                <w:rFonts w:hint="eastAsia" w:ascii="宋体" w:hAnsi="宋体" w:eastAsia="宋体" w:cs="宋体"/>
                <w:bCs/>
                <w:color w:val="auto"/>
                <w:sz w:val="21"/>
                <w:szCs w:val="21"/>
              </w:rPr>
              <w:t>露天采场</w:t>
            </w:r>
          </w:p>
        </w:tc>
        <w:tc>
          <w:tcPr>
            <w:tcW w:w="130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拟建</w:t>
            </w:r>
            <w:r>
              <w:rPr>
                <w:rFonts w:hint="eastAsia" w:ascii="宋体" w:hAnsi="宋体" w:cs="宋体"/>
                <w:bCs/>
                <w:color w:val="auto"/>
                <w:sz w:val="21"/>
                <w:szCs w:val="21"/>
                <w:lang w:val="en-US" w:eastAsia="zh-CN"/>
              </w:rPr>
              <w:t>排土场</w:t>
            </w:r>
          </w:p>
        </w:tc>
        <w:tc>
          <w:tcPr>
            <w:tcW w:w="136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拟建</w:t>
            </w:r>
            <w:r>
              <w:rPr>
                <w:rFonts w:hint="eastAsia" w:ascii="宋体" w:hAnsi="宋体" w:eastAsia="宋体" w:cs="宋体"/>
                <w:bCs/>
                <w:color w:val="auto"/>
                <w:sz w:val="21"/>
                <w:szCs w:val="21"/>
              </w:rPr>
              <w:t>生活区</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拟建矿山道路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23" w:hRule="atLeast"/>
          <w:jc w:val="center"/>
        </w:trPr>
        <w:tc>
          <w:tcPr>
            <w:tcW w:w="333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面积（公顷）</w:t>
            </w:r>
          </w:p>
        </w:tc>
        <w:tc>
          <w:tcPr>
            <w:tcW w:w="147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305"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36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7" w:hRule="atLeast"/>
          <w:jc w:val="center"/>
        </w:trPr>
        <w:tc>
          <w:tcPr>
            <w:tcW w:w="333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损毁类型</w:t>
            </w:r>
          </w:p>
        </w:tc>
        <w:tc>
          <w:tcPr>
            <w:tcW w:w="147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挖损</w:t>
            </w:r>
          </w:p>
        </w:tc>
        <w:tc>
          <w:tcPr>
            <w:tcW w:w="130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136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压占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11" w:hRule="exact"/>
          <w:jc w:val="center"/>
        </w:trPr>
        <w:tc>
          <w:tcPr>
            <w:tcW w:w="483" w:type="dxa"/>
            <w:vMerge w:val="restart"/>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土</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地</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复</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垦</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程</w:t>
            </w:r>
          </w:p>
        </w:tc>
        <w:tc>
          <w:tcPr>
            <w:tcW w:w="2847" w:type="dxa"/>
            <w:gridSpan w:val="2"/>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复垦方向</w:t>
            </w:r>
          </w:p>
        </w:tc>
        <w:tc>
          <w:tcPr>
            <w:tcW w:w="147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val="en-US" w:eastAsia="zh-CN"/>
              </w:rPr>
              <w:t>裸土地</w:t>
            </w:r>
          </w:p>
        </w:tc>
        <w:tc>
          <w:tcPr>
            <w:tcW w:w="130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裸土地</w:t>
            </w:r>
          </w:p>
        </w:tc>
        <w:tc>
          <w:tcPr>
            <w:tcW w:w="136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裸土地</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eastAsia="zh-CN"/>
              </w:rPr>
            </w:pPr>
            <w:r>
              <w:rPr>
                <w:rFonts w:hint="eastAsia" w:ascii="宋体" w:hAnsi="宋体" w:eastAsia="宋体" w:cs="宋体"/>
                <w:bCs/>
                <w:color w:val="auto"/>
                <w:sz w:val="21"/>
                <w:szCs w:val="21"/>
                <w:lang w:val="en-US" w:eastAsia="zh-CN"/>
              </w:rPr>
              <w:t>裸土地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 w:hRule="atLeast"/>
          <w:jc w:val="center"/>
        </w:trPr>
        <w:tc>
          <w:tcPr>
            <w:tcW w:w="48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604" w:type="dxa"/>
            <w:vMerge w:val="restart"/>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复</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垦</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措</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施</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及</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工</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程</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量</w:t>
            </w:r>
          </w:p>
        </w:tc>
        <w:tc>
          <w:tcPr>
            <w:tcW w:w="224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i w:val="0"/>
                <w:iCs w:val="0"/>
                <w:color w:val="auto"/>
                <w:sz w:val="21"/>
                <w:szCs w:val="21"/>
              </w:rPr>
              <w:t>平整工程</w:t>
            </w:r>
            <w:r>
              <w:rPr>
                <w:rFonts w:hint="eastAsia" w:ascii="宋体" w:hAnsi="宋体" w:eastAsia="宋体" w:cs="宋体"/>
                <w:bCs/>
                <w:color w:val="auto"/>
                <w:sz w:val="21"/>
                <w:szCs w:val="21"/>
              </w:rPr>
              <w:t>(</w:t>
            </w: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r>
              <w:rPr>
                <w:rFonts w:hint="eastAsia" w:ascii="宋体" w:hAnsi="宋体" w:eastAsia="宋体" w:cs="宋体"/>
                <w:bCs/>
                <w:color w:val="auto"/>
                <w:sz w:val="21"/>
                <w:szCs w:val="21"/>
              </w:rPr>
              <w:t>)</w:t>
            </w:r>
          </w:p>
        </w:tc>
        <w:tc>
          <w:tcPr>
            <w:tcW w:w="1470"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rPr>
            </w:pPr>
            <w:r>
              <w:rPr>
                <w:rFonts w:hint="eastAsia" w:ascii="宋体" w:hAnsi="宋体" w:eastAsia="宋体" w:cs="宋体"/>
                <w:b w:val="0"/>
                <w:bCs/>
                <w:i w:val="0"/>
                <w:iCs w:val="0"/>
                <w:color w:val="auto"/>
                <w:sz w:val="21"/>
                <w:szCs w:val="21"/>
                <w:lang w:val="en-US" w:eastAsia="zh-CN"/>
              </w:rPr>
              <w:t>151.56</w:t>
            </w:r>
          </w:p>
        </w:tc>
        <w:tc>
          <w:tcPr>
            <w:tcW w:w="130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 w:val="0"/>
                <w:bCs/>
                <w:i w:val="0"/>
                <w:iCs w:val="0"/>
                <w:color w:val="auto"/>
                <w:sz w:val="21"/>
                <w:szCs w:val="21"/>
                <w:lang w:val="en-US" w:eastAsia="zh-CN"/>
              </w:rPr>
              <w:t>1.65</w:t>
            </w:r>
          </w:p>
        </w:tc>
        <w:tc>
          <w:tcPr>
            <w:tcW w:w="136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 w:val="0"/>
                <w:bCs/>
                <w:i w:val="0"/>
                <w:iCs w:val="0"/>
                <w:color w:val="auto"/>
                <w:sz w:val="21"/>
                <w:szCs w:val="21"/>
                <w:lang w:val="en-US" w:eastAsia="zh-CN"/>
              </w:rPr>
              <w:t>0.25</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cs="宋体"/>
                <w:i w:val="0"/>
                <w:iCs w:val="0"/>
                <w:color w:val="auto"/>
                <w:sz w:val="21"/>
                <w:szCs w:val="21"/>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09" w:hRule="atLeast"/>
          <w:jc w:val="center"/>
        </w:trPr>
        <w:tc>
          <w:tcPr>
            <w:tcW w:w="48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604"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224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 w:val="0"/>
                <w:bCs w:val="0"/>
                <w:i w:val="0"/>
                <w:iCs w:val="0"/>
                <w:color w:val="auto"/>
                <w:sz w:val="21"/>
                <w:szCs w:val="21"/>
                <w:lang w:val="en-US" w:eastAsia="zh-CN" w:bidi="ar-SA"/>
              </w:rPr>
              <w:t>砌体拆除工程</w:t>
            </w:r>
            <w:r>
              <w:rPr>
                <w:rFonts w:hint="eastAsia" w:ascii="宋体" w:hAnsi="宋体" w:eastAsia="宋体" w:cs="宋体"/>
                <w:bCs/>
                <w:color w:val="auto"/>
                <w:sz w:val="21"/>
                <w:szCs w:val="21"/>
              </w:rPr>
              <w:t>(</w:t>
            </w: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r>
              <w:rPr>
                <w:rFonts w:hint="eastAsia" w:ascii="宋体" w:hAnsi="宋体" w:eastAsia="宋体" w:cs="宋体"/>
                <w:bCs/>
                <w:color w:val="auto"/>
                <w:sz w:val="21"/>
                <w:szCs w:val="21"/>
              </w:rPr>
              <w:t>)</w:t>
            </w:r>
          </w:p>
        </w:tc>
        <w:tc>
          <w:tcPr>
            <w:tcW w:w="147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val="en-US"/>
              </w:rPr>
            </w:pPr>
            <w:r>
              <w:rPr>
                <w:rFonts w:hint="eastAsia" w:ascii="宋体" w:hAnsi="宋体" w:eastAsia="宋体" w:cs="宋体"/>
                <w:bCs/>
                <w:color w:val="auto"/>
                <w:sz w:val="21"/>
                <w:szCs w:val="21"/>
              </w:rPr>
              <w:t>-</w:t>
            </w:r>
          </w:p>
        </w:tc>
        <w:tc>
          <w:tcPr>
            <w:tcW w:w="130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c>
          <w:tcPr>
            <w:tcW w:w="1365"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1.0</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21" w:hRule="exact"/>
          <w:jc w:val="center"/>
        </w:trPr>
        <w:tc>
          <w:tcPr>
            <w:tcW w:w="48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604"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224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 w:val="0"/>
                <w:bCs w:val="0"/>
                <w:i w:val="0"/>
                <w:iCs w:val="0"/>
                <w:color w:val="auto"/>
                <w:sz w:val="21"/>
                <w:szCs w:val="21"/>
                <w:lang w:val="en-US" w:eastAsia="zh-CN" w:bidi="ar-SA"/>
              </w:rPr>
              <w:t>废石清运工程</w:t>
            </w:r>
            <w:r>
              <w:rPr>
                <w:rFonts w:hint="eastAsia" w:ascii="宋体" w:hAnsi="宋体" w:eastAsia="宋体" w:cs="宋体"/>
                <w:bCs/>
                <w:color w:val="auto"/>
                <w:sz w:val="21"/>
                <w:szCs w:val="21"/>
              </w:rPr>
              <w:t>(</w:t>
            </w: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r>
              <w:rPr>
                <w:rFonts w:hint="eastAsia" w:ascii="宋体" w:hAnsi="宋体" w:eastAsia="宋体" w:cs="宋体"/>
                <w:bCs/>
                <w:color w:val="auto"/>
                <w:sz w:val="21"/>
                <w:szCs w:val="21"/>
              </w:rPr>
              <w:t>)</w:t>
            </w:r>
          </w:p>
        </w:tc>
        <w:tc>
          <w:tcPr>
            <w:tcW w:w="1470"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c>
          <w:tcPr>
            <w:tcW w:w="1305"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p>
        </w:tc>
        <w:tc>
          <w:tcPr>
            <w:tcW w:w="1365"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rPr>
            </w:pPr>
            <w:r>
              <w:rPr>
                <w:rFonts w:hint="eastAsia" w:ascii="宋体" w:hAnsi="宋体" w:cs="宋体"/>
                <w:color w:val="auto"/>
                <w:sz w:val="21"/>
                <w:szCs w:val="21"/>
                <w:lang w:val="en-US" w:eastAsia="zh-CN"/>
              </w:rPr>
              <w:t>1.0</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29" w:hRule="atLeast"/>
          <w:jc w:val="center"/>
        </w:trPr>
        <w:tc>
          <w:tcPr>
            <w:tcW w:w="48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604"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224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监测和管护</w:t>
            </w:r>
          </w:p>
        </w:tc>
        <w:tc>
          <w:tcPr>
            <w:tcW w:w="414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highlight w:val="none"/>
              </w:rPr>
              <w:t>土地损毁监测</w:t>
            </w:r>
            <w:r>
              <w:rPr>
                <w:rFonts w:hint="eastAsia" w:ascii="宋体" w:hAnsi="宋体" w:cs="宋体"/>
                <w:color w:val="auto"/>
                <w:sz w:val="21"/>
                <w:szCs w:val="21"/>
                <w:highlight w:val="none"/>
                <w:lang w:val="en-US" w:eastAsia="zh-CN"/>
              </w:rPr>
              <w:t>109</w:t>
            </w:r>
            <w:r>
              <w:rPr>
                <w:rFonts w:hint="eastAsia" w:ascii="宋体" w:hAnsi="宋体" w:eastAsia="宋体" w:cs="宋体"/>
                <w:color w:val="auto"/>
                <w:sz w:val="21"/>
                <w:szCs w:val="21"/>
                <w:highlight w:val="none"/>
              </w:rPr>
              <w:t>次</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复垦效果监测</w:t>
            </w:r>
            <w:r>
              <w:rPr>
                <w:rFonts w:hint="eastAsia" w:ascii="宋体" w:hAnsi="宋体" w:cs="宋体"/>
                <w:color w:val="auto"/>
                <w:sz w:val="21"/>
                <w:szCs w:val="21"/>
                <w:highlight w:val="none"/>
                <w:lang w:val="en-US" w:eastAsia="zh-CN"/>
              </w:rPr>
              <w:t>1次</w:t>
            </w:r>
            <w:r>
              <w:rPr>
                <w:rFonts w:hint="eastAsia" w:ascii="宋体" w:hAnsi="宋体" w:eastAsia="宋体" w:cs="宋体"/>
                <w:color w:val="auto"/>
                <w:sz w:val="21"/>
                <w:szCs w:val="21"/>
                <w:highlight w:val="none"/>
              </w:rPr>
              <w:t>。</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58" w:hRule="atLeast"/>
          <w:jc w:val="center"/>
        </w:trPr>
        <w:tc>
          <w:tcPr>
            <w:tcW w:w="48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2847" w:type="dxa"/>
            <w:gridSpan w:val="2"/>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进度安排</w:t>
            </w:r>
          </w:p>
        </w:tc>
        <w:tc>
          <w:tcPr>
            <w:tcW w:w="414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202</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5</w:t>
            </w:r>
            <w:r>
              <w:rPr>
                <w:rFonts w:hint="eastAsia" w:ascii="宋体" w:hAnsi="宋体" w:eastAsia="宋体" w:cs="宋体"/>
                <w:bCs/>
                <w:color w:val="auto"/>
                <w:sz w:val="21"/>
                <w:szCs w:val="21"/>
              </w:rPr>
              <w:t>月－20</w:t>
            </w:r>
            <w:r>
              <w:rPr>
                <w:rFonts w:hint="eastAsia" w:ascii="宋体" w:hAnsi="宋体" w:cs="宋体"/>
                <w:bCs/>
                <w:color w:val="auto"/>
                <w:sz w:val="21"/>
                <w:szCs w:val="21"/>
                <w:lang w:val="en-US" w:eastAsia="zh-CN"/>
              </w:rPr>
              <w:t>52</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6</w:t>
            </w:r>
            <w:r>
              <w:rPr>
                <w:rFonts w:hint="eastAsia" w:ascii="宋体" w:hAnsi="宋体" w:eastAsia="宋体" w:cs="宋体"/>
                <w:bCs/>
                <w:color w:val="auto"/>
                <w:sz w:val="21"/>
                <w:szCs w:val="21"/>
              </w:rPr>
              <w:t>月以监测为主</w:t>
            </w:r>
            <w:r>
              <w:rPr>
                <w:rFonts w:hint="eastAsia" w:ascii="宋体" w:hAnsi="宋体" w:eastAsia="宋体" w:cs="宋体"/>
                <w:bCs/>
                <w:color w:val="auto"/>
                <w:sz w:val="21"/>
                <w:szCs w:val="21"/>
                <w:lang w:eastAsia="zh-CN"/>
              </w:rPr>
              <w:t>，</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20</w:t>
            </w:r>
            <w:r>
              <w:rPr>
                <w:rFonts w:hint="eastAsia" w:ascii="宋体" w:hAnsi="宋体" w:cs="宋体"/>
                <w:bCs/>
                <w:color w:val="auto"/>
                <w:sz w:val="21"/>
                <w:szCs w:val="21"/>
                <w:lang w:val="en-US" w:eastAsia="zh-CN"/>
              </w:rPr>
              <w:t>52</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7</w:t>
            </w:r>
            <w:r>
              <w:rPr>
                <w:rFonts w:hint="eastAsia" w:ascii="宋体" w:hAnsi="宋体" w:eastAsia="宋体" w:cs="宋体"/>
                <w:bCs/>
                <w:color w:val="auto"/>
                <w:sz w:val="21"/>
                <w:szCs w:val="21"/>
              </w:rPr>
              <w:t>月－20</w:t>
            </w:r>
            <w:r>
              <w:rPr>
                <w:rFonts w:hint="eastAsia" w:ascii="宋体" w:hAnsi="宋体" w:cs="宋体"/>
                <w:bCs/>
                <w:color w:val="auto"/>
                <w:sz w:val="21"/>
                <w:szCs w:val="21"/>
                <w:lang w:val="en-US" w:eastAsia="zh-CN"/>
              </w:rPr>
              <w:t>52</w:t>
            </w:r>
            <w:r>
              <w:rPr>
                <w:rFonts w:hint="eastAsia" w:ascii="宋体" w:hAnsi="宋体" w:eastAsia="宋体" w:cs="宋体"/>
                <w:bCs/>
                <w:color w:val="auto"/>
                <w:sz w:val="21"/>
                <w:szCs w:val="21"/>
              </w:rPr>
              <w:t>年</w:t>
            </w:r>
            <w:r>
              <w:rPr>
                <w:rFonts w:hint="eastAsia" w:ascii="宋体" w:hAnsi="宋体" w:cs="宋体"/>
                <w:bCs/>
                <w:color w:val="auto"/>
                <w:sz w:val="21"/>
                <w:szCs w:val="21"/>
                <w:lang w:val="en-US" w:eastAsia="zh-CN"/>
              </w:rPr>
              <w:t>12</w:t>
            </w:r>
            <w:r>
              <w:rPr>
                <w:rFonts w:hint="eastAsia" w:ascii="宋体" w:hAnsi="宋体" w:eastAsia="宋体" w:cs="宋体"/>
                <w:bCs/>
                <w:color w:val="auto"/>
                <w:sz w:val="21"/>
                <w:szCs w:val="21"/>
              </w:rPr>
              <w:t>月进行土地复垦</w:t>
            </w:r>
            <w:r>
              <w:rPr>
                <w:rFonts w:hint="eastAsia" w:ascii="宋体" w:hAnsi="宋体" w:eastAsia="宋体" w:cs="宋体"/>
                <w:bCs/>
                <w:color w:val="auto"/>
                <w:sz w:val="21"/>
                <w:szCs w:val="21"/>
                <w:lang w:eastAsia="zh-CN"/>
              </w:rPr>
              <w:t>。</w:t>
            </w: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24" w:hRule="exact"/>
          <w:jc w:val="center"/>
        </w:trPr>
        <w:tc>
          <w:tcPr>
            <w:tcW w:w="48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2847" w:type="dxa"/>
            <w:gridSpan w:val="2"/>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备   注</w:t>
            </w:r>
          </w:p>
        </w:tc>
        <w:tc>
          <w:tcPr>
            <w:tcW w:w="4140" w:type="dxa"/>
            <w:gridSpan w:val="3"/>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140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（二）年度工作安排</w:t>
      </w:r>
    </w:p>
    <w:p>
      <w:pPr>
        <w:widowControl w:val="0"/>
        <w:tabs>
          <w:tab w:val="left" w:pos="740"/>
        </w:tabs>
        <w:adjustRightInd w:val="0"/>
        <w:snapToGrid w:val="0"/>
        <w:spacing w:line="360" w:lineRule="auto"/>
        <w:ind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sz w:val="24"/>
          <w:szCs w:val="24"/>
        </w:rPr>
        <w:t>矿山土地复垦工作近期5年（202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w:t>
      </w:r>
      <w:r>
        <w:rPr>
          <w:rFonts w:hint="eastAsia" w:ascii="宋体" w:hAnsi="宋体" w:cs="宋体"/>
          <w:color w:val="auto"/>
          <w:sz w:val="24"/>
          <w:szCs w:val="24"/>
          <w:lang w:val="en-US" w:eastAsia="zh-CN"/>
        </w:rPr>
        <w:t>30</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月）实施计划具体如下：此阶段为矿山生产期，根据矿山土地复垦安排，该阶段的工作重点是对土地损毁情况进行监测。近期土地复垦工作主要工程量及费用安排见表5-</w:t>
      </w:r>
      <w:r>
        <w:rPr>
          <w:rFonts w:hint="eastAsia" w:ascii="宋体" w:hAnsi="宋体" w:cs="宋体"/>
          <w:color w:val="auto"/>
          <w:sz w:val="24"/>
          <w:szCs w:val="24"/>
          <w:lang w:val="en-US" w:eastAsia="zh-CN"/>
        </w:rPr>
        <w:t>18</w:t>
      </w:r>
      <w:r>
        <w:rPr>
          <w:rFonts w:hint="eastAsia" w:ascii="宋体" w:hAnsi="宋体" w:eastAsia="宋体" w:cs="宋体"/>
          <w:color w:val="auto"/>
          <w:sz w:val="24"/>
          <w:szCs w:val="24"/>
        </w:rPr>
        <w:t>。</w:t>
      </w:r>
    </w:p>
    <w:p>
      <w:pPr>
        <w:pStyle w:val="21"/>
        <w:spacing w:after="0"/>
        <w:ind w:firstLine="562"/>
        <w:rPr>
          <w:rFonts w:hint="eastAsia" w:ascii="宋体" w:hAnsi="宋体" w:eastAsia="宋体" w:cs="宋体"/>
          <w:b/>
          <w:bCs/>
          <w:color w:val="auto"/>
          <w:sz w:val="28"/>
          <w:szCs w:val="28"/>
        </w:rPr>
        <w:sectPr>
          <w:pgSz w:w="11910" w:h="16840"/>
          <w:pgMar w:top="1440" w:right="1400" w:bottom="1440" w:left="1559" w:header="0" w:footer="1117" w:gutter="0"/>
          <w:pgBorders>
            <w:top w:val="none" w:sz="0" w:space="0"/>
            <w:left w:val="none" w:sz="0" w:space="0"/>
            <w:bottom w:val="none" w:sz="0" w:space="0"/>
            <w:right w:val="none" w:sz="0" w:space="0"/>
          </w:pgBorders>
          <w:cols w:space="0" w:num="1"/>
        </w:sectPr>
      </w:pPr>
    </w:p>
    <w:p>
      <w:pPr>
        <w:tabs>
          <w:tab w:val="left" w:pos="4063"/>
        </w:tabs>
        <w:spacing w:before="26"/>
        <w:jc w:val="center"/>
        <w:rPr>
          <w:rFonts w:hint="eastAsia" w:ascii="宋体" w:hAnsi="宋体" w:eastAsia="宋体" w:cs="宋体"/>
          <w:b/>
          <w:color w:val="auto"/>
          <w:sz w:val="24"/>
        </w:rPr>
      </w:pPr>
      <w:bookmarkStart w:id="221" w:name="_Hlk118722821"/>
      <w:r>
        <w:rPr>
          <w:rFonts w:hint="eastAsia" w:ascii="宋体" w:hAnsi="宋体" w:eastAsia="宋体" w:cs="宋体"/>
          <w:b/>
          <w:color w:val="auto"/>
          <w:sz w:val="21"/>
          <w:szCs w:val="21"/>
        </w:rPr>
        <w:t>表5-1</w:t>
      </w:r>
      <w:r>
        <w:rPr>
          <w:rFonts w:hint="eastAsia" w:ascii="宋体" w:hAnsi="宋体" w:cs="宋体"/>
          <w:b/>
          <w:color w:val="auto"/>
          <w:sz w:val="21"/>
          <w:szCs w:val="21"/>
          <w:lang w:val="en-US" w:eastAsia="zh-CN"/>
        </w:rPr>
        <w:t>8</w:t>
      </w:r>
      <w:r>
        <w:rPr>
          <w:rFonts w:hint="eastAsia" w:ascii="宋体" w:hAnsi="宋体" w:eastAsia="宋体" w:cs="宋体"/>
          <w:b/>
          <w:color w:val="auto"/>
          <w:sz w:val="21"/>
          <w:szCs w:val="21"/>
        </w:rPr>
        <w:t xml:space="preserve">    土地复垦工程近5 年工程量及投资估算年度分解表</w:t>
      </w:r>
    </w:p>
    <w:tbl>
      <w:tblPr>
        <w:tblStyle w:val="53"/>
        <w:tblW w:w="14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11"/>
        <w:gridCol w:w="811"/>
        <w:gridCol w:w="396"/>
        <w:gridCol w:w="443"/>
        <w:gridCol w:w="846"/>
        <w:gridCol w:w="738"/>
        <w:gridCol w:w="443"/>
        <w:gridCol w:w="846"/>
        <w:gridCol w:w="735"/>
        <w:gridCol w:w="443"/>
        <w:gridCol w:w="846"/>
        <w:gridCol w:w="735"/>
        <w:gridCol w:w="443"/>
        <w:gridCol w:w="846"/>
        <w:gridCol w:w="735"/>
        <w:gridCol w:w="443"/>
        <w:gridCol w:w="846"/>
        <w:gridCol w:w="737"/>
        <w:gridCol w:w="443"/>
        <w:gridCol w:w="847"/>
        <w:gridCol w:w="7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trPr>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81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费用名称</w:t>
            </w:r>
          </w:p>
        </w:tc>
        <w:tc>
          <w:tcPr>
            <w:tcW w:w="24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近期5年土地复垦</w:t>
            </w:r>
          </w:p>
        </w:tc>
        <w:tc>
          <w:tcPr>
            <w:tcW w:w="2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第一年</w:t>
            </w:r>
          </w:p>
        </w:tc>
        <w:tc>
          <w:tcPr>
            <w:tcW w:w="2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第二年</w:t>
            </w:r>
          </w:p>
        </w:tc>
        <w:tc>
          <w:tcPr>
            <w:tcW w:w="2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第三年</w:t>
            </w:r>
          </w:p>
        </w:tc>
        <w:tc>
          <w:tcPr>
            <w:tcW w:w="202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第四年</w:t>
            </w:r>
          </w:p>
        </w:tc>
        <w:tc>
          <w:tcPr>
            <w:tcW w:w="2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242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工程投资</w:t>
            </w:r>
          </w:p>
        </w:tc>
        <w:tc>
          <w:tcPr>
            <w:tcW w:w="2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（2025.5—2026.4）</w:t>
            </w:r>
          </w:p>
        </w:tc>
        <w:tc>
          <w:tcPr>
            <w:tcW w:w="2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（2026.5—2027.4）</w:t>
            </w:r>
          </w:p>
        </w:tc>
        <w:tc>
          <w:tcPr>
            <w:tcW w:w="202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（2027.5—2028.4）</w:t>
            </w:r>
          </w:p>
        </w:tc>
        <w:tc>
          <w:tcPr>
            <w:tcW w:w="202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（2028.5—2029.4）</w:t>
            </w:r>
          </w:p>
        </w:tc>
        <w:tc>
          <w:tcPr>
            <w:tcW w:w="202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（2029.5—2030.4）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81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4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62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二、土地复垦监测</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12.21</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8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土地损毁监测</w:t>
            </w:r>
          </w:p>
        </w:tc>
        <w:tc>
          <w:tcPr>
            <w:tcW w:w="3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0</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6106.37</w:t>
            </w:r>
          </w:p>
        </w:tc>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12.21</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6106.37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6106.37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6106.37</w:t>
            </w:r>
          </w:p>
        </w:tc>
        <w:tc>
          <w:tcPr>
            <w:tcW w:w="7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4</w:t>
            </w:r>
          </w:p>
        </w:tc>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6106.37</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c>
          <w:tcPr>
            <w:tcW w:w="44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4</w:t>
            </w:r>
          </w:p>
        </w:tc>
        <w:tc>
          <w:tcPr>
            <w:tcW w:w="8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6106.37</w:t>
            </w:r>
          </w:p>
        </w:tc>
        <w:tc>
          <w:tcPr>
            <w:tcW w:w="7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18"/>
                <w:szCs w:val="18"/>
                <w:u w:val="none"/>
                <w:lang w:val="en-US" w:eastAsia="zh-CN" w:bidi="ar"/>
              </w:rPr>
              <w:t>2.44</w:t>
            </w:r>
            <w:r>
              <w:rPr>
                <w:rFonts w:hint="eastAsia" w:ascii="宋体" w:hAnsi="宋体" w:eastAsia="宋体" w:cs="宋体"/>
                <w:i w:val="0"/>
                <w:iCs w:val="0"/>
                <w:color w:val="auto"/>
                <w:kern w:val="0"/>
                <w:sz w:val="18"/>
                <w:szCs w:val="18"/>
                <w:u w:val="none"/>
                <w:lang w:val="en-US" w:eastAsia="zh-CN" w:bidi="ar"/>
              </w:rPr>
              <w:t xml:space="preserve"> </w:t>
            </w:r>
          </w:p>
        </w:tc>
      </w:tr>
    </w:tbl>
    <w:p>
      <w:pPr>
        <w:jc w:val="both"/>
        <w:rPr>
          <w:rFonts w:hint="eastAsia" w:ascii="宋体" w:hAnsi="宋体" w:eastAsia="宋体" w:cs="宋体"/>
          <w:color w:val="auto"/>
        </w:rPr>
      </w:pPr>
    </w:p>
    <w:p>
      <w:pPr>
        <w:pStyle w:val="473"/>
        <w:spacing w:line="360" w:lineRule="auto"/>
        <w:ind w:firstLine="480" w:firstLineChars="200"/>
        <w:rPr>
          <w:rFonts w:hint="eastAsia" w:ascii="宋体" w:hAnsi="宋体" w:eastAsia="宋体" w:cs="宋体"/>
          <w:color w:val="auto"/>
          <w:sz w:val="24"/>
        </w:rPr>
      </w:pPr>
    </w:p>
    <w:bookmarkEnd w:id="221"/>
    <w:p>
      <w:pPr>
        <w:pStyle w:val="21"/>
        <w:spacing w:after="0"/>
        <w:ind w:firstLine="562"/>
        <w:rPr>
          <w:rFonts w:hint="eastAsia" w:ascii="宋体" w:hAnsi="宋体" w:eastAsia="宋体" w:cs="宋体"/>
          <w:b/>
          <w:bCs/>
          <w:color w:val="auto"/>
          <w:sz w:val="28"/>
          <w:szCs w:val="28"/>
        </w:rPr>
      </w:pPr>
    </w:p>
    <w:p>
      <w:pPr>
        <w:pStyle w:val="21"/>
        <w:spacing w:after="0"/>
        <w:ind w:firstLine="562"/>
        <w:rPr>
          <w:rFonts w:hint="eastAsia" w:ascii="宋体" w:hAnsi="宋体" w:eastAsia="宋体" w:cs="宋体"/>
          <w:b/>
          <w:bCs/>
          <w:color w:val="auto"/>
          <w:sz w:val="28"/>
          <w:szCs w:val="28"/>
        </w:rPr>
        <w:sectPr>
          <w:pgSz w:w="16840" w:h="11910" w:orient="landscape"/>
          <w:pgMar w:top="1400" w:right="1440" w:bottom="1559" w:left="1440" w:header="0" w:footer="1117" w:gutter="0"/>
          <w:pgBorders>
            <w:top w:val="none" w:sz="0" w:space="0"/>
            <w:left w:val="none" w:sz="0" w:space="0"/>
            <w:bottom w:val="none" w:sz="0" w:space="0"/>
            <w:right w:val="none" w:sz="0" w:space="0"/>
          </w:pgBorders>
          <w:cols w:space="0" w:num="1"/>
        </w:sectPr>
      </w:pPr>
    </w:p>
    <w:p>
      <w:pPr>
        <w:pStyle w:val="2"/>
        <w:spacing w:before="360" w:beforeLines="150" w:after="240" w:afterLines="100" w:afterAutospacing="0" w:line="360" w:lineRule="auto"/>
        <w:jc w:val="center"/>
        <w:rPr>
          <w:rFonts w:hint="eastAsia" w:ascii="宋体" w:hAnsi="宋体" w:eastAsia="宋体" w:cs="宋体"/>
          <w:b/>
          <w:bCs w:val="0"/>
          <w:color w:val="auto"/>
        </w:rPr>
      </w:pPr>
      <w:bookmarkStart w:id="222" w:name="_TOC_250019"/>
      <w:bookmarkStart w:id="223" w:name="_Toc17207"/>
      <w:bookmarkStart w:id="224" w:name="_Toc5507"/>
      <w:bookmarkStart w:id="225" w:name="_Toc28650"/>
      <w:bookmarkStart w:id="226" w:name="_Toc20612"/>
      <w:bookmarkStart w:id="227" w:name="_Toc20392"/>
      <w:r>
        <w:rPr>
          <w:rFonts w:hint="eastAsia" w:ascii="宋体" w:hAnsi="宋体" w:eastAsia="宋体" w:cs="宋体"/>
          <w:b/>
          <w:bCs w:val="0"/>
          <w:color w:val="auto"/>
        </w:rPr>
        <w:t>第六章</w:t>
      </w:r>
      <w:bookmarkEnd w:id="222"/>
      <w:r>
        <w:rPr>
          <w:rFonts w:hint="eastAsia" w:ascii="宋体" w:hAnsi="宋体" w:eastAsia="宋体" w:cs="宋体"/>
          <w:b/>
          <w:bCs w:val="0"/>
          <w:color w:val="auto"/>
        </w:rPr>
        <w:t xml:space="preserve">  </w:t>
      </w:r>
      <w:bookmarkEnd w:id="223"/>
      <w:bookmarkEnd w:id="224"/>
      <w:bookmarkEnd w:id="225"/>
      <w:bookmarkEnd w:id="226"/>
      <w:r>
        <w:rPr>
          <w:rFonts w:hint="eastAsia" w:ascii="宋体" w:hAnsi="宋体" w:eastAsia="宋体" w:cs="宋体"/>
          <w:b/>
          <w:bCs w:val="0"/>
          <w:color w:val="auto"/>
        </w:rPr>
        <w:t>投资估算</w:t>
      </w:r>
      <w:bookmarkEnd w:id="227"/>
    </w:p>
    <w:p>
      <w:pPr>
        <w:spacing w:line="360" w:lineRule="auto"/>
        <w:ind w:firstLine="602" w:firstLineChars="200"/>
        <w:outlineLvl w:val="1"/>
        <w:rPr>
          <w:rFonts w:hint="eastAsia" w:ascii="宋体" w:hAnsi="宋体" w:eastAsia="宋体" w:cs="宋体"/>
          <w:b/>
          <w:color w:val="auto"/>
          <w:sz w:val="30"/>
          <w:szCs w:val="30"/>
        </w:rPr>
      </w:pPr>
      <w:bookmarkStart w:id="228" w:name="_Toc30064"/>
      <w:bookmarkStart w:id="229" w:name="_Toc532760464"/>
      <w:bookmarkStart w:id="230" w:name="_Toc9819"/>
      <w:bookmarkStart w:id="231" w:name="_Toc4812"/>
      <w:bookmarkStart w:id="232" w:name="_Toc32369"/>
      <w:bookmarkStart w:id="233" w:name="_Toc26171"/>
      <w:bookmarkStart w:id="234" w:name="_Toc12847"/>
      <w:bookmarkStart w:id="235" w:name="_Toc2397"/>
      <w:bookmarkStart w:id="236" w:name="_Toc13711"/>
      <w:bookmarkStart w:id="237" w:name="_Toc490044159"/>
      <w:bookmarkStart w:id="238" w:name="_Toc532760466"/>
      <w:r>
        <w:rPr>
          <w:rFonts w:hint="eastAsia" w:ascii="宋体" w:hAnsi="宋体" w:eastAsia="宋体" w:cs="宋体"/>
          <w:b/>
          <w:color w:val="auto"/>
          <w:sz w:val="30"/>
          <w:szCs w:val="30"/>
        </w:rPr>
        <w:t>一、</w:t>
      </w:r>
      <w:bookmarkEnd w:id="228"/>
      <w:bookmarkEnd w:id="229"/>
      <w:bookmarkEnd w:id="230"/>
      <w:bookmarkEnd w:id="231"/>
      <w:bookmarkEnd w:id="232"/>
      <w:r>
        <w:rPr>
          <w:rFonts w:hint="eastAsia" w:ascii="宋体" w:hAnsi="宋体" w:eastAsia="宋体" w:cs="宋体"/>
          <w:b/>
          <w:color w:val="auto"/>
          <w:sz w:val="30"/>
          <w:szCs w:val="30"/>
        </w:rPr>
        <w:t>矿山开发利用投资估算</w:t>
      </w:r>
      <w:bookmarkEnd w:id="233"/>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（一）投资估算依据和方法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1、工程概述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①工程位置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napToGrid w:val="0"/>
          <w:color w:val="auto"/>
          <w:kern w:val="0"/>
          <w:sz w:val="24"/>
          <w:szCs w:val="32"/>
        </w:rPr>
      </w:pPr>
      <w:r>
        <w:rPr>
          <w:rFonts w:hint="eastAsia" w:ascii="宋体" w:hAnsi="宋体" w:eastAsia="宋体" w:cs="宋体"/>
          <w:snapToGrid w:val="0"/>
          <w:color w:val="auto"/>
          <w:kern w:val="0"/>
          <w:sz w:val="24"/>
          <w:szCs w:val="24"/>
          <w:lang w:eastAsia="zh-CN" w:bidi="ar"/>
        </w:rPr>
        <w:t>新疆伽师县西克尔镇4号砖瓦用页岩矿位于伽师县</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snapToGrid w:val="0"/>
          <w:color w:val="auto"/>
          <w:kern w:val="0"/>
          <w:sz w:val="24"/>
          <w:szCs w:val="24"/>
          <w:lang w:eastAsia="zh-CN" w:bidi="ar"/>
        </w:rPr>
        <w:t>方位约</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snapToGrid w:val="0"/>
          <w:color w:val="auto"/>
          <w:kern w:val="0"/>
          <w:sz w:val="24"/>
          <w:szCs w:val="24"/>
          <w:lang w:eastAsia="zh-CN" w:bidi="ar"/>
        </w:rPr>
        <w:t>处，矿区周边有314国道，交通便利，通行方便。行政区划属伽师县西克尔镇管辖。</w:t>
      </w:r>
      <w:r>
        <w:rPr>
          <w:rFonts w:hint="eastAsia" w:ascii="宋体" w:hAnsi="宋体" w:eastAsia="宋体" w:cs="宋体"/>
          <w:snapToGrid w:val="0"/>
          <w:color w:val="auto"/>
          <w:kern w:val="0"/>
          <w:sz w:val="24"/>
          <w:szCs w:val="24"/>
          <w:lang w:val="en-US" w:eastAsia="zh-CN" w:bidi="ar"/>
        </w:rPr>
        <w:t>矿区</w:t>
      </w:r>
      <w:r>
        <w:rPr>
          <w:rFonts w:hint="eastAsia" w:ascii="宋体" w:hAnsi="宋体" w:eastAsia="宋体" w:cs="宋体"/>
          <w:snapToGrid w:val="0"/>
          <w:color w:val="auto"/>
          <w:kern w:val="0"/>
          <w:sz w:val="24"/>
          <w:szCs w:val="24"/>
          <w:lang w:eastAsia="zh-CN" w:bidi="ar"/>
        </w:rPr>
        <w:t>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snapToGrid w:val="0"/>
          <w:color w:val="auto"/>
          <w:kern w:val="0"/>
          <w:sz w:val="24"/>
          <w:szCs w:val="24"/>
          <w:lang w:eastAsia="zh-CN" w:bidi="ar"/>
        </w:rPr>
        <w:t>平方千米，</w:t>
      </w:r>
      <w:r>
        <w:rPr>
          <w:rFonts w:hint="eastAsia" w:ascii="宋体" w:hAnsi="宋体" w:eastAsia="宋体" w:cs="宋体"/>
          <w:snapToGrid w:val="0"/>
          <w:color w:val="auto"/>
          <w:kern w:val="0"/>
          <w:sz w:val="24"/>
          <w:szCs w:val="24"/>
          <w:lang w:val="en-US" w:eastAsia="zh-CN" w:bidi="ar"/>
        </w:rPr>
        <w:t>矿</w:t>
      </w:r>
      <w:r>
        <w:rPr>
          <w:rFonts w:hint="eastAsia" w:ascii="宋体" w:hAnsi="宋体" w:eastAsia="宋体" w:cs="宋体"/>
          <w:snapToGrid w:val="0"/>
          <w:color w:val="auto"/>
          <w:kern w:val="0"/>
          <w:sz w:val="24"/>
          <w:szCs w:val="24"/>
          <w:lang w:eastAsia="zh-CN" w:bidi="ar"/>
        </w:rPr>
        <w:t>区范围内有移动通信信号，通讯方便</w:t>
      </w:r>
      <w:r>
        <w:rPr>
          <w:rFonts w:hint="eastAsia" w:ascii="宋体" w:hAnsi="宋体" w:eastAsia="宋体" w:cs="宋体"/>
          <w:snapToGrid w:val="0"/>
          <w:color w:val="auto"/>
          <w:kern w:val="0"/>
          <w:sz w:val="24"/>
          <w:szCs w:val="24"/>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②矿山建设规模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矿山建设规模为年</w:t>
      </w:r>
      <w:r>
        <w:rPr>
          <w:rFonts w:hint="eastAsia" w:ascii="宋体" w:hAnsi="宋体" w:eastAsia="宋体" w:cs="宋体"/>
          <w:color w:val="auto"/>
          <w:sz w:val="24"/>
          <w:szCs w:val="24"/>
          <w:lang w:val="en-US" w:eastAsia="zh-CN"/>
        </w:rPr>
        <w:t>开采砖瓦用页岩矿20.00万m³/年</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2、建设投资范围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该矿为新建矿山，投资范围：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主要生产工程：上山公路、基建剥离、采矿设备等；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辅助生产工程：机修间、材料库房等；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公用系统工程：</w:t>
      </w:r>
      <w:r>
        <w:rPr>
          <w:rFonts w:hint="eastAsia" w:ascii="宋体" w:hAnsi="宋体" w:eastAsia="宋体" w:cs="宋体"/>
          <w:color w:val="auto"/>
          <w:sz w:val="24"/>
          <w:szCs w:val="24"/>
          <w:lang w:val="en-US" w:eastAsia="zh-CN"/>
        </w:rPr>
        <w:t>排土</w:t>
      </w:r>
      <w:r>
        <w:rPr>
          <w:rFonts w:hint="eastAsia" w:ascii="宋体" w:hAnsi="宋体" w:eastAsia="宋体" w:cs="宋体"/>
          <w:color w:val="auto"/>
          <w:sz w:val="24"/>
          <w:szCs w:val="24"/>
        </w:rPr>
        <w:t>场等；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行政福利设施工程：办公室、宿舍、活动室等；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工程建设其他费用；预备费。</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 xml:space="preserve">表6-1-1 </w:t>
      </w:r>
      <w:r>
        <w:rPr>
          <w:rFonts w:hint="default" w:ascii="宋体" w:hAnsi="宋体" w:eastAsia="宋体" w:cs="宋体"/>
          <w:b/>
          <w:color w:val="auto"/>
          <w:sz w:val="21"/>
          <w:szCs w:val="21"/>
        </w:rPr>
        <w:t xml:space="preserve">  </w:t>
      </w:r>
      <w:r>
        <w:rPr>
          <w:rFonts w:hint="eastAsia" w:ascii="宋体" w:hAnsi="宋体" w:eastAsia="宋体" w:cs="宋体"/>
          <w:b/>
          <w:color w:val="auto"/>
          <w:sz w:val="21"/>
          <w:szCs w:val="21"/>
        </w:rPr>
        <w:t>矿山地面建筑及构筑物表</w:t>
      </w:r>
    </w:p>
    <w:tbl>
      <w:tblPr>
        <w:tblStyle w:val="53"/>
        <w:tblW w:w="9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05"/>
        <w:gridCol w:w="1825"/>
        <w:gridCol w:w="918"/>
        <w:gridCol w:w="1523"/>
        <w:gridCol w:w="1831"/>
        <w:gridCol w:w="2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16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建筑工程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建筑物名称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建筑面积</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结构类型</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宿舍</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办公室</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81</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食堂</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锅炉房</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浴室</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材料库房</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活动室</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厕所</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维修间</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警卫室</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民用建筑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维修车间</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w:t>
            </w:r>
            <w:r>
              <w:rPr>
                <w:rFonts w:hint="eastAsia" w:ascii="宋体" w:hAnsi="宋体" w:eastAsia="宋体" w:cs="宋体"/>
                <w:b w:val="0"/>
                <w:bCs w:val="0"/>
                <w:color w:val="auto"/>
                <w:sz w:val="21"/>
                <w:szCs w:val="21"/>
                <w:vertAlign w:val="superscript"/>
                <w:lang w:val="en-US" w:eastAsia="zh-CN"/>
              </w:rPr>
              <w:t>2</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工业建筑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合计</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389</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16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附属设施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名称</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工程量</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生活水池</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钢混</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生产水池</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钢混</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场地硬化</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混凝土</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附属工程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4</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绿化工程</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m²</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混凝土</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覆土植树植草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5</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围墙</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砖混结构</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16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开拓工程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cs="宋体"/>
                <w:b w:val="0"/>
                <w:bCs w:val="0"/>
                <w:color w:val="auto"/>
                <w:sz w:val="21"/>
                <w:szCs w:val="21"/>
                <w:lang w:val="en-US" w:eastAsia="zh-CN"/>
              </w:rPr>
              <w:t>1</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矿山道路</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m</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1100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岩石风化层</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95" w:hRule="exact"/>
        </w:trPr>
        <w:tc>
          <w:tcPr>
            <w:tcW w:w="9163"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采准工程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95" w:hRule="exact"/>
        </w:trPr>
        <w:tc>
          <w:tcPr>
            <w:tcW w:w="9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cs="宋体"/>
                <w:b w:val="0"/>
                <w:bCs w:val="0"/>
                <w:color w:val="auto"/>
                <w:sz w:val="21"/>
                <w:szCs w:val="21"/>
                <w:lang w:val="en-US" w:eastAsia="zh-CN"/>
              </w:rPr>
              <w:t>2</w:t>
            </w:r>
          </w:p>
        </w:tc>
        <w:tc>
          <w:tcPr>
            <w:tcW w:w="1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采准工程</w:t>
            </w:r>
          </w:p>
        </w:tc>
        <w:tc>
          <w:tcPr>
            <w:tcW w:w="9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m³</w:t>
            </w:r>
          </w:p>
        </w:tc>
        <w:tc>
          <w:tcPr>
            <w:tcW w:w="15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3000</w:t>
            </w:r>
          </w:p>
        </w:tc>
        <w:tc>
          <w:tcPr>
            <w:tcW w:w="18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rPr>
              <w:t>矿岩</w:t>
            </w:r>
          </w:p>
        </w:tc>
        <w:tc>
          <w:tcPr>
            <w:tcW w:w="21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bidi="ar-SA"/>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3、编制依据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①设计资料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各专业提供的工程设计图纸、工程量清单、设备表。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②人工工资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按</w:t>
      </w:r>
      <w:r>
        <w:rPr>
          <w:rFonts w:hint="eastAsia" w:ascii="宋体" w:hAnsi="宋体" w:eastAsia="宋体" w:cs="宋体"/>
          <w:color w:val="auto"/>
          <w:sz w:val="24"/>
          <w:szCs w:val="24"/>
          <w:lang w:val="en-US" w:eastAsia="zh-CN"/>
        </w:rPr>
        <w:t>伽师县</w:t>
      </w:r>
      <w:r>
        <w:rPr>
          <w:rFonts w:hint="eastAsia" w:ascii="宋体" w:hAnsi="宋体" w:eastAsia="宋体" w:cs="宋体"/>
          <w:color w:val="auto"/>
          <w:sz w:val="24"/>
          <w:szCs w:val="24"/>
        </w:rPr>
        <w:t>企业现行人工工资单价执行，并参考非金属行业现行有关规定进行调整。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③材料价格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材料估算价格依据《新疆工程造价信息网》发布的</w:t>
      </w:r>
      <w:r>
        <w:rPr>
          <w:rFonts w:hint="eastAsia" w:ascii="宋体" w:hAnsi="宋体" w:eastAsia="宋体" w:cs="宋体"/>
          <w:color w:val="auto"/>
          <w:sz w:val="24"/>
          <w:szCs w:val="24"/>
          <w:lang w:val="en-US" w:eastAsia="zh-CN"/>
        </w:rPr>
        <w:t>喀什</w:t>
      </w:r>
      <w:r>
        <w:rPr>
          <w:rFonts w:hint="eastAsia" w:ascii="宋体" w:hAnsi="宋体" w:eastAsia="宋体" w:cs="宋体"/>
          <w:color w:val="auto"/>
          <w:sz w:val="24"/>
          <w:szCs w:val="24"/>
        </w:rPr>
        <w:t>地区2024年</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月份建设工程价格信息。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④设备价格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标准设备采用2020版《机电产品报价手册-工业专用设备分册》，非标准设备参考《非标准设备订价办法》。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⑤采用定额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剥离工程：参考《冶金工业工程预算定额》2016版。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土建工程：参考地方现行定额标准，并参考现行矿山实际造价指标进行适当调整。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安装工程：参考同类矿山实际造价指标，并结合本矿实际特点进行适当调整。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矿山基建剥离采准工程：</w:t>
      </w:r>
      <w:r>
        <w:rPr>
          <w:rFonts w:hint="eastAsia" w:ascii="宋体" w:hAnsi="宋体" w:eastAsia="宋体" w:cs="宋体"/>
          <w:color w:val="auto"/>
          <w:sz w:val="24"/>
          <w:szCs w:val="24"/>
          <w:lang w:val="en-US" w:eastAsia="zh-CN"/>
        </w:rPr>
        <w:t>委托具有资质的</w:t>
      </w:r>
      <w:r>
        <w:rPr>
          <w:rFonts w:hint="eastAsia" w:ascii="宋体" w:hAnsi="宋体" w:eastAsia="宋体" w:cs="宋体"/>
          <w:color w:val="auto"/>
          <w:sz w:val="24"/>
          <w:szCs w:val="24"/>
        </w:rPr>
        <w:t>企业</w:t>
      </w:r>
      <w:r>
        <w:rPr>
          <w:rFonts w:hint="eastAsia" w:ascii="宋体" w:hAnsi="宋体" w:eastAsia="宋体" w:cs="宋体"/>
          <w:color w:val="auto"/>
          <w:sz w:val="24"/>
          <w:szCs w:val="24"/>
          <w:lang w:val="en-US" w:eastAsia="zh-CN"/>
        </w:rPr>
        <w:t>进行</w:t>
      </w:r>
      <w:r>
        <w:rPr>
          <w:rFonts w:hint="eastAsia" w:ascii="宋体" w:hAnsi="宋体" w:eastAsia="宋体" w:cs="宋体"/>
          <w:color w:val="auto"/>
          <w:sz w:val="24"/>
          <w:szCs w:val="24"/>
        </w:rPr>
        <w:t>施工。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4、工程总量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①矿山开拓、剥离采准工程量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基建剥离工程量为剥离废石：</w:t>
      </w:r>
      <w:r>
        <w:rPr>
          <w:rFonts w:hint="eastAsia" w:ascii="宋体" w:hAnsi="宋体" w:eastAsia="宋体" w:cs="宋体"/>
          <w:color w:val="auto"/>
          <w:sz w:val="24"/>
          <w:szCs w:val="24"/>
          <w:lang w:val="en-US" w:eastAsia="zh-CN"/>
        </w:rPr>
        <w:t>0.30万m³</w:t>
      </w:r>
      <w:r>
        <w:rPr>
          <w:rFonts w:hint="eastAsia" w:ascii="宋体" w:hAnsi="宋体" w:eastAsia="宋体" w:cs="宋体"/>
          <w:color w:val="auto"/>
          <w:sz w:val="24"/>
          <w:szCs w:val="24"/>
        </w:rPr>
        <w:t xml:space="preserve"> 。修筑道路</w:t>
      </w:r>
      <w:r>
        <w:rPr>
          <w:rFonts w:hint="eastAsia" w:ascii="宋体" w:hAnsi="宋体" w:eastAsia="宋体" w:cs="宋体"/>
          <w:color w:val="auto"/>
          <w:sz w:val="24"/>
          <w:szCs w:val="24"/>
          <w:lang w:val="en-US" w:eastAsia="zh-CN"/>
        </w:rPr>
        <w:t>1100</w:t>
      </w:r>
      <w:r>
        <w:rPr>
          <w:rFonts w:hint="eastAsia" w:ascii="宋体" w:hAnsi="宋体" w:eastAsia="宋体" w:cs="宋体"/>
          <w:color w:val="auto"/>
          <w:sz w:val="24"/>
          <w:szCs w:val="24"/>
        </w:rPr>
        <w:t>m。</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②矿山设备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矿山拟新增</w:t>
      </w:r>
      <w:r>
        <w:rPr>
          <w:rFonts w:hint="eastAsia" w:ascii="宋体" w:hAnsi="宋体" w:eastAsia="宋体" w:cs="宋体"/>
          <w:color w:val="auto"/>
          <w:sz w:val="24"/>
          <w:szCs w:val="24"/>
          <w:lang w:val="en-US" w:eastAsia="zh-CN"/>
        </w:rPr>
        <w:t>采矿</w:t>
      </w:r>
      <w:r>
        <w:rPr>
          <w:rFonts w:hint="eastAsia" w:ascii="宋体" w:hAnsi="宋体" w:eastAsia="宋体" w:cs="宋体"/>
          <w:color w:val="auto"/>
          <w:sz w:val="24"/>
          <w:szCs w:val="24"/>
        </w:rPr>
        <w:t>设备型号、规格及数量见表6-1-2。</w:t>
      </w:r>
    </w:p>
    <w:p>
      <w:pPr>
        <w:tabs>
          <w:tab w:val="left" w:pos="4063"/>
        </w:tabs>
        <w:spacing w:before="26"/>
        <w:jc w:val="center"/>
        <w:rPr>
          <w:rFonts w:hint="eastAsia" w:ascii="宋体" w:hAnsi="宋体" w:eastAsia="宋体" w:cs="宋体"/>
          <w:b/>
          <w:color w:val="auto"/>
          <w:sz w:val="21"/>
          <w:szCs w:val="21"/>
        </w:rPr>
      </w:pPr>
    </w:p>
    <w:p>
      <w:pPr>
        <w:tabs>
          <w:tab w:val="left" w:pos="4063"/>
        </w:tabs>
        <w:spacing w:before="26"/>
        <w:jc w:val="center"/>
        <w:rPr>
          <w:rFonts w:hint="eastAsia" w:ascii="宋体" w:hAnsi="宋体" w:eastAsia="宋体" w:cs="宋体"/>
          <w:b/>
          <w:color w:val="auto"/>
          <w:sz w:val="21"/>
          <w:szCs w:val="21"/>
        </w:rPr>
      </w:pP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表6-1-2</w:t>
      </w:r>
      <w:r>
        <w:rPr>
          <w:rFonts w:hint="default" w:ascii="宋体" w:hAnsi="宋体" w:eastAsia="宋体" w:cs="宋体"/>
          <w:b/>
          <w:color w:val="auto"/>
          <w:sz w:val="21"/>
          <w:szCs w:val="21"/>
        </w:rPr>
        <w:t xml:space="preserve">      </w:t>
      </w:r>
      <w:r>
        <w:rPr>
          <w:rFonts w:hint="eastAsia" w:ascii="宋体" w:hAnsi="宋体" w:eastAsia="宋体" w:cs="宋体"/>
          <w:b/>
          <w:color w:val="auto"/>
          <w:sz w:val="21"/>
          <w:szCs w:val="21"/>
        </w:rPr>
        <w:t>矿山</w:t>
      </w:r>
      <w:r>
        <w:rPr>
          <w:rFonts w:hint="eastAsia" w:ascii="宋体" w:hAnsi="宋体" w:eastAsia="宋体" w:cs="宋体"/>
          <w:b/>
          <w:color w:val="auto"/>
          <w:sz w:val="21"/>
          <w:szCs w:val="21"/>
          <w:lang w:val="en-US" w:eastAsia="zh-CN"/>
        </w:rPr>
        <w:t>采矿</w:t>
      </w:r>
      <w:r>
        <w:rPr>
          <w:rFonts w:hint="eastAsia" w:ascii="宋体" w:hAnsi="宋体" w:eastAsia="宋体" w:cs="宋体"/>
          <w:b/>
          <w:color w:val="auto"/>
          <w:sz w:val="21"/>
          <w:szCs w:val="21"/>
        </w:rPr>
        <w:t>设备一览表</w:t>
      </w:r>
    </w:p>
    <w:tbl>
      <w:tblPr>
        <w:tblStyle w:val="53"/>
        <w:tblW w:w="9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8"/>
        <w:gridCol w:w="1519"/>
        <w:gridCol w:w="5206"/>
        <w:gridCol w:w="1094"/>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49" w:hRule="atLeast"/>
          <w:tblHeader/>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名　称</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规格型号</w:t>
            </w:r>
          </w:p>
        </w:tc>
        <w:tc>
          <w:tcPr>
            <w:tcW w:w="109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数量(台)</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液压破碎锤</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JM1500S液压破碎锤，直径150毫米</w:t>
            </w:r>
          </w:p>
        </w:tc>
        <w:tc>
          <w:tcPr>
            <w:tcW w:w="109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柴油挖掘机</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小松PC-200型液压挖掘机，与液压破碎锤配套</w:t>
            </w:r>
          </w:p>
        </w:tc>
        <w:tc>
          <w:tcPr>
            <w:tcW w:w="109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柴油挖掘机</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小松PC-460-11M0大型液压挖掘机斗容2.6m³,功率270Kw，最大挖掘高度10.78米</w:t>
            </w:r>
          </w:p>
        </w:tc>
        <w:tc>
          <w:tcPr>
            <w:tcW w:w="109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矿用自卸汽车</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30吨</w:t>
            </w:r>
          </w:p>
        </w:tc>
        <w:tc>
          <w:tcPr>
            <w:tcW w:w="109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9163" w:type="dxa"/>
            <w:gridSpan w:val="5"/>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采矿辅助生产设备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8"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名　称</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规格型号</w:t>
            </w:r>
          </w:p>
        </w:tc>
        <w:tc>
          <w:tcPr>
            <w:tcW w:w="109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数量(台)</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潜水排污泵</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KWQ200-500-30-40，流量500m³/h，扬程30m</w:t>
            </w:r>
          </w:p>
        </w:tc>
        <w:tc>
          <w:tcPr>
            <w:tcW w:w="109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直流电焊机</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ZX7400K，电压380V，功率2kW</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交流电焊机</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BX1-630，电压380V，功率2kW</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车床</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CA6140，功率9kW</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刨床</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B665，功率6kW</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钻床</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Z3050，功率5kW</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砂轮机</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Φ300×400×Φ75，电压380V，功率1kW</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洒水车</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8m³</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锅炉</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5立方米</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交通车</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19座</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公务车</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5座</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51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生活服务车</w:t>
            </w:r>
          </w:p>
        </w:tc>
        <w:tc>
          <w:tcPr>
            <w:tcW w:w="520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1吨</w:t>
            </w:r>
          </w:p>
        </w:tc>
        <w:tc>
          <w:tcPr>
            <w:tcW w:w="109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6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新增</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（二）投资估算及分析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1、矿山建设投资估算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矿山建设投资估算见表6-1</w:t>
      </w:r>
      <w:r>
        <w:rPr>
          <w:rFonts w:hint="eastAsia" w:ascii="宋体" w:hAnsi="宋体" w:eastAsia="宋体" w:cs="宋体"/>
          <w:color w:val="auto"/>
          <w:sz w:val="24"/>
          <w:szCs w:val="24"/>
          <w:lang w:val="en-US" w:eastAsia="zh-CN"/>
        </w:rPr>
        <w:t>-3，建设投资额</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2、流动资金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采用分项详细估算法对项目生产所需流动资金进行估算，项目正常年份需要流动资金为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3、总投资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项目建设投资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万元，正常运行需要流动资金</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万元，项目总投资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4、投资分析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项目建设投资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万元，其中建筑工程投资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万元，占比12.03</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；设备工程投资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万元，占比45.76%；安装费用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万元，占比2.40%；其他费用投资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元，占比39.81</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。根据项目情况，项目整体各个投资及占比较合理适宜，项目投资估算比较可靠。</w:t>
      </w:r>
    </w:p>
    <w:p>
      <w:pPr>
        <w:adjustRightInd w:val="0"/>
        <w:snapToGrid w:val="0"/>
        <w:spacing w:line="360" w:lineRule="auto"/>
        <w:rPr>
          <w:rFonts w:hint="default" w:ascii="宋体" w:hAnsi="宋体" w:cs="宋体"/>
          <w:color w:val="auto"/>
          <w:sz w:val="24"/>
          <w:szCs w:val="24"/>
          <w:lang w:val="en-US" w:eastAsia="zh-CN"/>
        </w:rPr>
      </w:pPr>
    </w:p>
    <w:p>
      <w:pPr>
        <w:adjustRightInd w:val="0"/>
        <w:snapToGrid w:val="0"/>
        <w:spacing w:line="360" w:lineRule="auto"/>
        <w:ind w:firstLine="480" w:firstLineChars="200"/>
        <w:rPr>
          <w:rFonts w:hint="eastAsia" w:ascii="宋体" w:hAnsi="宋体" w:cs="宋体"/>
          <w:color w:val="auto"/>
          <w:sz w:val="24"/>
          <w:szCs w:val="24"/>
          <w:lang w:val="en-US" w:eastAsia="zh-CN"/>
        </w:rPr>
        <w:sectPr>
          <w:footerReference r:id="rId6" w:type="default"/>
          <w:pgSz w:w="11906" w:h="16838"/>
          <w:pgMar w:top="1440" w:right="1400" w:bottom="1440" w:left="1559" w:header="851" w:footer="992" w:gutter="0"/>
          <w:pgBorders>
            <w:top w:val="none" w:sz="0" w:space="0"/>
            <w:left w:val="none" w:sz="0" w:space="0"/>
            <w:bottom w:val="none" w:sz="0" w:space="0"/>
            <w:right w:val="none" w:sz="0" w:space="0"/>
          </w:pgBorders>
          <w:cols w:space="0" w:num="1"/>
          <w:docGrid w:type="lines" w:linePitch="312" w:charSpace="0"/>
        </w:sectPr>
      </w:pP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表6-1-</w:t>
      </w:r>
      <w:r>
        <w:rPr>
          <w:rFonts w:hint="eastAsia" w:ascii="宋体" w:hAnsi="宋体" w:eastAsia="宋体" w:cs="宋体"/>
          <w:b/>
          <w:color w:val="auto"/>
          <w:sz w:val="21"/>
          <w:szCs w:val="21"/>
          <w:lang w:val="en-US" w:eastAsia="zh-CN"/>
        </w:rPr>
        <w:t>3</w:t>
      </w:r>
      <w:r>
        <w:rPr>
          <w:rFonts w:hint="default" w:ascii="宋体" w:hAnsi="宋体" w:eastAsia="宋体" w:cs="宋体"/>
          <w:b/>
          <w:color w:val="auto"/>
          <w:sz w:val="21"/>
          <w:szCs w:val="21"/>
        </w:rPr>
        <w:t xml:space="preserve">     </w:t>
      </w:r>
      <w:r>
        <w:rPr>
          <w:rFonts w:hint="eastAsia" w:ascii="宋体" w:hAnsi="宋体" w:eastAsia="宋体" w:cs="宋体"/>
          <w:b/>
          <w:color w:val="auto"/>
          <w:sz w:val="21"/>
          <w:szCs w:val="21"/>
        </w:rPr>
        <w:t>建设投资估算表</w:t>
      </w:r>
    </w:p>
    <w:tbl>
      <w:tblPr>
        <w:tblStyle w:val="53"/>
        <w:tblW w:w="14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3"/>
        <w:gridCol w:w="3853"/>
        <w:gridCol w:w="1199"/>
        <w:gridCol w:w="870"/>
        <w:gridCol w:w="1112"/>
        <w:gridCol w:w="1110"/>
        <w:gridCol w:w="1125"/>
        <w:gridCol w:w="4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82" w:hRule="exact"/>
          <w:tblHeader/>
        </w:trPr>
        <w:tc>
          <w:tcPr>
            <w:tcW w:w="683" w:type="dxa"/>
            <w:tcBorders>
              <w:top w:val="single" w:color="000000" w:sz="8"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3853"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工程和费用名称</w:t>
            </w:r>
          </w:p>
        </w:tc>
        <w:tc>
          <w:tcPr>
            <w:tcW w:w="119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建筑工程</w:t>
            </w:r>
          </w:p>
        </w:tc>
        <w:tc>
          <w:tcPr>
            <w:tcW w:w="87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设备</w:t>
            </w:r>
          </w:p>
        </w:tc>
        <w:tc>
          <w:tcPr>
            <w:tcW w:w="1112"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安装工程</w:t>
            </w:r>
          </w:p>
        </w:tc>
        <w:tc>
          <w:tcPr>
            <w:tcW w:w="111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其它费用</w:t>
            </w:r>
          </w:p>
        </w:tc>
        <w:tc>
          <w:tcPr>
            <w:tcW w:w="1125"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总值</w:t>
            </w:r>
          </w:p>
        </w:tc>
        <w:tc>
          <w:tcPr>
            <w:tcW w:w="4211" w:type="dxa"/>
            <w:tcBorders>
              <w:top w:val="single" w:color="000000" w:sz="8"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建设投资</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占投资比例（%）</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第一部分  工程费用</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矿山设备</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基建剥离</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矿山公路</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20万/km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建筑工程</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含给排水设施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供水费及电力引入费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第二部分  其它费用</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地质勘查费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市场价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可行性研究费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工程勘察费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建设单位管理费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财建〔2016〕504号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工程建设监理费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发改价格〔2015〕299号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工程设计费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发改价格〔2015〕299号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4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矿产资源开发利用与</w:t>
            </w:r>
          </w:p>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生态修复方案编制费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水土保持方案编制费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评估报告费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绿色矿山建设方案编制费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安全评价费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新发改收费〔2017〕1404号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环境评价费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发改价格〔2015〕299号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385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土地使用费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385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工程保险费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385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节能评估费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385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人员培训费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企业负责人、安全及员工岗前培训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385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生产工器具购置费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385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办公及生活家具购置费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第一、二部分费用合计</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三</w:t>
            </w:r>
          </w:p>
        </w:tc>
        <w:tc>
          <w:tcPr>
            <w:tcW w:w="38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第三部分  预备费</w:t>
            </w:r>
          </w:p>
        </w:tc>
        <w:tc>
          <w:tcPr>
            <w:tcW w:w="11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2" w:hRule="exact"/>
        </w:trPr>
        <w:tc>
          <w:tcPr>
            <w:tcW w:w="68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853"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基本预备费（8%）</w:t>
            </w:r>
          </w:p>
        </w:tc>
        <w:tc>
          <w:tcPr>
            <w:tcW w:w="119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2"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10"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4211"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pStyle w:val="217"/>
        <w:rPr>
          <w:rFonts w:hint="eastAsia"/>
          <w:color w:val="auto"/>
          <w:lang w:eastAsia="zh-CN"/>
        </w:rPr>
      </w:pPr>
    </w:p>
    <w:p>
      <w:pPr>
        <w:pStyle w:val="217"/>
        <w:rPr>
          <w:rFonts w:hint="eastAsia"/>
          <w:color w:val="auto"/>
          <w:lang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eastAsia="zh-CN"/>
        </w:rPr>
      </w:pPr>
    </w:p>
    <w:p>
      <w:pPr>
        <w:pStyle w:val="160"/>
        <w:tabs>
          <w:tab w:val="left" w:pos="540"/>
          <w:tab w:val="left" w:pos="1080"/>
          <w:tab w:val="left" w:pos="1260"/>
          <w:tab w:val="left" w:pos="1440"/>
        </w:tabs>
        <w:rPr>
          <w:rFonts w:hint="eastAsia"/>
          <w:color w:val="auto"/>
        </w:rPr>
        <w:sectPr>
          <w:pgSz w:w="16838" w:h="11906" w:orient="landscape"/>
          <w:pgMar w:top="1559" w:right="1440" w:bottom="1400" w:left="1440" w:header="851" w:footer="992" w:gutter="0"/>
          <w:pgBorders>
            <w:top w:val="none" w:sz="0" w:space="0"/>
            <w:left w:val="none" w:sz="0" w:space="0"/>
            <w:bottom w:val="none" w:sz="0" w:space="0"/>
            <w:right w:val="none" w:sz="0" w:space="0"/>
          </w:pgBorders>
          <w:cols w:space="0" w:num="1"/>
          <w:docGrid w:type="lines" w:linePitch="312" w:charSpace="0"/>
        </w:sectPr>
      </w:pP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（三）技术经济评价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1、项目财务评价的原则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lang w:val="en-US" w:eastAsia="zh-CN"/>
        </w:rPr>
        <w:t>开发</w:t>
      </w:r>
      <w:r>
        <w:rPr>
          <w:rFonts w:hint="eastAsia" w:ascii="宋体" w:hAnsi="宋体" w:eastAsia="宋体" w:cs="宋体"/>
          <w:color w:val="auto"/>
          <w:sz w:val="24"/>
          <w:szCs w:val="24"/>
        </w:rPr>
        <w:t>利用方案财务评价以国家现行的财税政策为基础，依据国家发改委、建设部颁布的《建设项目经济评价方法与参数》（第三版）、《投资项目可行性研究指南》及行业颁布的技术经济设计规范进行。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根据本项目的实际情况初步确定以下评价原则：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①财务评价暂不考虑项目出资各方合作方式、出资额及股份比例等。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②财务评价未考虑汇率变化、通货膨胀等因素对评价的影响。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③财务评价中项目投入与产出物价格均为含税价。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④项目财务评价的融资前所得税前基准收益率采用10%。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2、项目建设规模、建设期及投产期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矿山年</w:t>
      </w:r>
      <w:r>
        <w:rPr>
          <w:rFonts w:hint="eastAsia" w:ascii="宋体" w:hAnsi="宋体" w:eastAsia="宋体" w:cs="宋体"/>
          <w:color w:val="auto"/>
          <w:sz w:val="24"/>
          <w:szCs w:val="24"/>
          <w:lang w:val="en-US" w:eastAsia="zh-CN"/>
        </w:rPr>
        <w:t>开采砖瓦用页岩</w:t>
      </w:r>
      <w:r>
        <w:rPr>
          <w:rFonts w:hint="eastAsia" w:ascii="宋体" w:hAnsi="宋体" w:eastAsia="宋体" w:cs="宋体"/>
          <w:color w:val="auto"/>
          <w:sz w:val="24"/>
          <w:szCs w:val="24"/>
        </w:rPr>
        <w:t>矿石</w:t>
      </w:r>
      <w:r>
        <w:rPr>
          <w:rFonts w:hint="eastAsia" w:ascii="宋体" w:hAnsi="宋体" w:eastAsia="宋体" w:cs="宋体"/>
          <w:color w:val="auto"/>
          <w:sz w:val="24"/>
          <w:szCs w:val="24"/>
          <w:lang w:val="en-US" w:eastAsia="zh-CN"/>
        </w:rPr>
        <w:t>20.00万m³</w:t>
      </w:r>
      <w:r>
        <w:rPr>
          <w:rFonts w:hint="eastAsia" w:ascii="宋体" w:hAnsi="宋体" w:eastAsia="宋体" w:cs="宋体"/>
          <w:color w:val="auto"/>
          <w:sz w:val="24"/>
          <w:szCs w:val="24"/>
        </w:rPr>
        <w:t>，基建期</w:t>
      </w:r>
      <w:r>
        <w:rPr>
          <w:rFonts w:hint="eastAsia" w:ascii="宋体" w:hAnsi="宋体" w:eastAsia="宋体" w:cs="宋体"/>
          <w:color w:val="auto"/>
          <w:sz w:val="24"/>
          <w:szCs w:val="24"/>
          <w:lang w:val="en-US" w:eastAsia="zh-CN"/>
        </w:rPr>
        <w:t>0.5年</w:t>
      </w:r>
      <w:r>
        <w:rPr>
          <w:rFonts w:hint="eastAsia" w:ascii="宋体" w:hAnsi="宋体" w:eastAsia="宋体" w:cs="宋体"/>
          <w:color w:val="auto"/>
          <w:sz w:val="24"/>
          <w:szCs w:val="24"/>
        </w:rPr>
        <w:t>，生产服务期</w:t>
      </w:r>
      <w:r>
        <w:rPr>
          <w:rFonts w:hint="eastAsia" w:ascii="宋体" w:hAnsi="宋体" w:eastAsia="宋体" w:cs="宋体"/>
          <w:color w:val="auto"/>
          <w:sz w:val="24"/>
          <w:szCs w:val="24"/>
          <w:lang w:val="en-US" w:eastAsia="zh-CN"/>
        </w:rPr>
        <w:t>27.20</w:t>
      </w:r>
      <w:r>
        <w:rPr>
          <w:rFonts w:hint="eastAsia" w:ascii="宋体" w:hAnsi="宋体" w:eastAsia="宋体" w:cs="宋体"/>
          <w:color w:val="auto"/>
          <w:sz w:val="24"/>
          <w:szCs w:val="24"/>
        </w:rPr>
        <w:t>年。项目基建完成后，投产即达产（生产负荷为设计产能的100％）。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3、组织机构与劳动定员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①项目生产组织机构设置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新疆伽师县西克尔镇4号砖瓦用页岩矿</w:t>
      </w:r>
      <w:r>
        <w:rPr>
          <w:rFonts w:hint="eastAsia" w:ascii="宋体" w:hAnsi="宋体" w:eastAsia="宋体" w:cs="宋体"/>
          <w:color w:val="auto"/>
          <w:sz w:val="24"/>
          <w:szCs w:val="24"/>
        </w:rPr>
        <w:t>为独立核算、自负盈亏的经济实体，实行厂矿长（经理）负责制，财务采用车间、矿部两级核算管理。按照生产组织的需要，企业组织机构共设置两大部门：即采矿生产部门和矿山管理部门。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②企业工作制度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根据矿山生产条件，生产作业年工作天数为2</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0天，每天</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班工作。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③劳动定员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根据工艺流程设计和设备配置状况，项目岗位劳动定员编制见表6-1-</w:t>
      </w:r>
      <w:r>
        <w:rPr>
          <w:rFonts w:hint="eastAsia" w:ascii="宋体" w:hAnsi="宋体" w:eastAsia="宋体" w:cs="宋体"/>
          <w:color w:val="auto"/>
          <w:sz w:val="24"/>
          <w:szCs w:val="24"/>
          <w:lang w:val="en-US" w:eastAsia="zh-CN"/>
        </w:rPr>
        <w:t>4。</w:t>
      </w:r>
    </w:p>
    <w:p>
      <w:pPr>
        <w:tabs>
          <w:tab w:val="left" w:pos="4063"/>
        </w:tabs>
        <w:spacing w:before="26"/>
        <w:jc w:val="center"/>
        <w:rPr>
          <w:rFonts w:hint="eastAsia" w:ascii="宋体" w:hAnsi="宋体" w:eastAsia="宋体" w:cs="宋体"/>
          <w:b/>
          <w:color w:val="auto"/>
          <w:sz w:val="21"/>
          <w:szCs w:val="21"/>
          <w:lang w:eastAsia="zh-CN"/>
        </w:rPr>
      </w:pPr>
      <w:r>
        <w:rPr>
          <w:rFonts w:hint="eastAsia" w:ascii="宋体" w:hAnsi="宋体" w:eastAsia="宋体" w:cs="宋体"/>
          <w:b/>
          <w:color w:val="auto"/>
          <w:sz w:val="21"/>
          <w:szCs w:val="21"/>
        </w:rPr>
        <w:t>表6-1-</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 xml:space="preserve"> </w:t>
      </w:r>
      <w:r>
        <w:rPr>
          <w:rFonts w:hint="default" w:ascii="宋体" w:hAnsi="宋体" w:eastAsia="宋体" w:cs="宋体"/>
          <w:b/>
          <w:color w:val="auto"/>
          <w:sz w:val="21"/>
          <w:szCs w:val="21"/>
        </w:rPr>
        <w:t xml:space="preserve">       </w:t>
      </w:r>
      <w:r>
        <w:rPr>
          <w:rFonts w:hint="eastAsia" w:ascii="宋体" w:hAnsi="宋体" w:eastAsia="宋体" w:cs="宋体"/>
          <w:b/>
          <w:color w:val="auto"/>
          <w:sz w:val="21"/>
          <w:szCs w:val="21"/>
        </w:rPr>
        <w:t>劳动定员表</w:t>
      </w:r>
    </w:p>
    <w:tbl>
      <w:tblPr>
        <w:tblStyle w:val="53"/>
        <w:tblW w:w="9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98"/>
        <w:gridCol w:w="1913"/>
        <w:gridCol w:w="905"/>
        <w:gridCol w:w="944"/>
        <w:gridCol w:w="1022"/>
        <w:gridCol w:w="905"/>
        <w:gridCol w:w="920"/>
        <w:gridCol w:w="944"/>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trPr>
        <w:tc>
          <w:tcPr>
            <w:tcW w:w="698" w:type="dxa"/>
            <w:vMerge w:val="restart"/>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1913" w:type="dxa"/>
            <w:vMerge w:val="restart"/>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工作单位及工种</w:t>
            </w:r>
          </w:p>
        </w:tc>
        <w:tc>
          <w:tcPr>
            <w:tcW w:w="905" w:type="dxa"/>
            <w:vMerge w:val="restart"/>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岗位分类</w:t>
            </w:r>
          </w:p>
        </w:tc>
        <w:tc>
          <w:tcPr>
            <w:tcW w:w="3791" w:type="dxa"/>
            <w:gridSpan w:val="4"/>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工作班次及人数</w:t>
            </w:r>
          </w:p>
        </w:tc>
        <w:tc>
          <w:tcPr>
            <w:tcW w:w="944" w:type="dxa"/>
            <w:vMerge w:val="restart"/>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在册系数</w:t>
            </w:r>
          </w:p>
        </w:tc>
        <w:tc>
          <w:tcPr>
            <w:tcW w:w="905" w:type="dxa"/>
            <w:vMerge w:val="restart"/>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在册人数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blHeader/>
        </w:trPr>
        <w:tc>
          <w:tcPr>
            <w:tcW w:w="698" w:type="dxa"/>
            <w:vMerge w:val="continue"/>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13" w:type="dxa"/>
            <w:vMerge w:val="continue"/>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5" w:type="dxa"/>
            <w:vMerge w:val="continue"/>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w:t>
            </w: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3</w:t>
            </w: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小计</w:t>
            </w:r>
          </w:p>
        </w:tc>
        <w:tc>
          <w:tcPr>
            <w:tcW w:w="944" w:type="dxa"/>
            <w:vMerge w:val="continue"/>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5" w:type="dxa"/>
            <w:vMerge w:val="continue"/>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一</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生产系统</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91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挖掘机司机</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91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液压碎石机工</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91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汽车司机</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91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电工</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5" w:hRule="atLeast"/>
        </w:trPr>
        <w:tc>
          <w:tcPr>
            <w:tcW w:w="698"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91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机修工</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91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洒水车司机</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二</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厂管理部门</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矿长</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注册安全工程师</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财务人员</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地质技术员</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采矿技术员</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测量技术员</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机电技术员</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锅炉及洗浴工</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食堂工作人员</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安保</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05"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6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全厂定员合计</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2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4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0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、工资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①工资标准（不包括企业应缴“五险一金”）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项目正常生产期</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个月，人均月工资</w:t>
      </w:r>
      <w:r>
        <w:rPr>
          <w:rFonts w:hint="eastAsia" w:ascii="宋体" w:hAnsi="宋体" w:eastAsia="宋体" w:cs="宋体"/>
          <w:color w:val="auto"/>
          <w:sz w:val="24"/>
          <w:szCs w:val="24"/>
          <w:lang w:val="en-US" w:eastAsia="zh-CN"/>
        </w:rPr>
        <w:t>65</w:t>
      </w:r>
      <w:r>
        <w:rPr>
          <w:rFonts w:hint="eastAsia" w:ascii="宋体" w:hAnsi="宋体" w:eastAsia="宋体" w:cs="宋体"/>
          <w:color w:val="auto"/>
          <w:sz w:val="24"/>
          <w:szCs w:val="24"/>
        </w:rPr>
        <w:t>00元，停产期</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个月，人均月生活费2000元。人均年工资按6</w:t>
      </w: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00元计算。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②工资总额（不包括企业应缴“五险一金”）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项目年工资总额为</w:t>
      </w:r>
      <w:r>
        <w:rPr>
          <w:rFonts w:hint="eastAsia" w:ascii="宋体" w:hAnsi="宋体" w:eastAsia="宋体" w:cs="宋体"/>
          <w:color w:val="auto"/>
          <w:sz w:val="24"/>
          <w:szCs w:val="24"/>
          <w:lang w:val="en-US" w:eastAsia="zh-CN"/>
        </w:rPr>
        <w:t>129.00</w:t>
      </w:r>
      <w:r>
        <w:rPr>
          <w:rFonts w:hint="eastAsia" w:ascii="宋体" w:hAnsi="宋体" w:eastAsia="宋体" w:cs="宋体"/>
          <w:color w:val="auto"/>
          <w:sz w:val="24"/>
          <w:szCs w:val="24"/>
        </w:rPr>
        <w:t>万元，其中生产工人年工资总额为</w:t>
      </w:r>
      <w:r>
        <w:rPr>
          <w:rFonts w:hint="eastAsia" w:ascii="宋体" w:hAnsi="宋体" w:eastAsia="宋体" w:cs="宋体"/>
          <w:color w:val="auto"/>
          <w:sz w:val="24"/>
          <w:szCs w:val="24"/>
          <w:lang w:val="en-US" w:eastAsia="zh-CN"/>
        </w:rPr>
        <w:t>70.95</w:t>
      </w:r>
      <w:r>
        <w:rPr>
          <w:rFonts w:hint="eastAsia" w:ascii="宋体" w:hAnsi="宋体" w:eastAsia="宋体" w:cs="宋体"/>
          <w:color w:val="auto"/>
          <w:sz w:val="24"/>
          <w:szCs w:val="24"/>
        </w:rPr>
        <w:t>万元，管理人员及后勤服务人员年工资总额为</w:t>
      </w:r>
      <w:r>
        <w:rPr>
          <w:rFonts w:hint="eastAsia" w:ascii="宋体" w:hAnsi="宋体" w:eastAsia="宋体" w:cs="宋体"/>
          <w:color w:val="auto"/>
          <w:sz w:val="24"/>
          <w:szCs w:val="24"/>
          <w:lang w:val="en-US" w:eastAsia="zh-CN"/>
        </w:rPr>
        <w:t>58.05</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、总投资及资金筹措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①建设投资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本项目建设投资为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②流动资金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采用分项详细估算法对项目生产所需流动资金进行估算，项目正常年份需要流动资金为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③本工程项目总投资为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④资金筹措：建设投资和流动资金全部为企业自筹资金。</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表6-1-</w:t>
      </w:r>
      <w:r>
        <w:rPr>
          <w:rFonts w:hint="eastAsia" w:ascii="宋体" w:hAnsi="宋体" w:eastAsia="宋体" w:cs="宋体"/>
          <w:b/>
          <w:color w:val="auto"/>
          <w:sz w:val="21"/>
          <w:szCs w:val="21"/>
          <w:lang w:val="en-US" w:eastAsia="zh-CN"/>
        </w:rPr>
        <w:t>5</w:t>
      </w:r>
      <w:r>
        <w:rPr>
          <w:rFonts w:hint="eastAsia" w:ascii="宋体" w:hAnsi="宋体" w:eastAsia="宋体" w:cs="宋体"/>
          <w:b/>
          <w:color w:val="auto"/>
          <w:sz w:val="21"/>
          <w:szCs w:val="21"/>
        </w:rPr>
        <w:t xml:space="preserve"> </w:t>
      </w:r>
      <w:r>
        <w:rPr>
          <w:rFonts w:hint="default"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资金筹措</w:t>
      </w:r>
      <w:r>
        <w:rPr>
          <w:rFonts w:hint="eastAsia" w:ascii="宋体" w:hAnsi="宋体" w:eastAsia="宋体" w:cs="宋体"/>
          <w:b/>
          <w:color w:val="auto"/>
          <w:sz w:val="21"/>
          <w:szCs w:val="21"/>
        </w:rPr>
        <w:t>表</w:t>
      </w:r>
    </w:p>
    <w:tbl>
      <w:tblPr>
        <w:tblStyle w:val="53"/>
        <w:tblW w:w="91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3"/>
        <w:gridCol w:w="4440"/>
        <w:gridCol w:w="1426"/>
        <w:gridCol w:w="1250"/>
        <w:gridCol w:w="1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blHeader/>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项            目</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合计</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总投资</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建设投资</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建设期利息</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资金筹措</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自有资金</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用于建设资金</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2.1.2</w:t>
            </w:r>
          </w:p>
        </w:tc>
        <w:tc>
          <w:tcPr>
            <w:tcW w:w="4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用于流动资金</w:t>
            </w:r>
          </w:p>
        </w:tc>
        <w:tc>
          <w:tcPr>
            <w:tcW w:w="14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cs="宋体"/>
                <w:i w:val="0"/>
                <w:iCs w:val="0"/>
                <w:color w:val="auto"/>
                <w:kern w:val="0"/>
                <w:sz w:val="21"/>
                <w:szCs w:val="21"/>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、成本与费用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①成本与费用估算采用的基础数据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A、项目总成本费用估算与达产期</w:t>
      </w:r>
      <w:r>
        <w:rPr>
          <w:rFonts w:hint="eastAsia" w:ascii="宋体" w:hAnsi="宋体" w:eastAsia="宋体" w:cs="宋体"/>
          <w:color w:val="auto"/>
          <w:sz w:val="24"/>
          <w:szCs w:val="24"/>
          <w:lang w:val="en-US" w:eastAsia="zh-CN"/>
        </w:rPr>
        <w:t>20万m³</w:t>
      </w:r>
      <w:r>
        <w:rPr>
          <w:rFonts w:hint="eastAsia" w:ascii="宋体" w:hAnsi="宋体" w:eastAsia="宋体" w:cs="宋体"/>
          <w:color w:val="auto"/>
          <w:sz w:val="24"/>
          <w:szCs w:val="24"/>
        </w:rPr>
        <w:t>/a对应。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B、项目原、辅助材料均为到矿近3年平均市场参考价格（含税）。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C、项目折旧按平均年限法计提：开拓工程按矿山服务年进行折旧，不留残值；建筑工程折旧年限</w:t>
      </w:r>
      <w:r>
        <w:rPr>
          <w:rFonts w:hint="eastAsia" w:ascii="宋体" w:hAnsi="宋体" w:eastAsia="宋体" w:cs="宋体"/>
          <w:color w:val="auto"/>
          <w:sz w:val="24"/>
          <w:szCs w:val="24"/>
          <w:lang w:val="en-US" w:eastAsia="zh-CN"/>
        </w:rPr>
        <w:t>28</w:t>
      </w:r>
      <w:r>
        <w:rPr>
          <w:rFonts w:hint="eastAsia" w:ascii="宋体" w:hAnsi="宋体" w:eastAsia="宋体" w:cs="宋体"/>
          <w:color w:val="auto"/>
          <w:sz w:val="24"/>
          <w:szCs w:val="24"/>
        </w:rPr>
        <w:t>年，设备折旧年限为10年。固定资产残值率4.0％，项目平均年折旧费</w:t>
      </w:r>
      <w:r>
        <w:rPr>
          <w:rFonts w:hint="eastAsia" w:ascii="宋体" w:hAnsi="宋体" w:eastAsia="宋体" w:cs="宋体"/>
          <w:color w:val="auto"/>
          <w:sz w:val="24"/>
          <w:szCs w:val="24"/>
          <w:lang w:val="en-US" w:eastAsia="zh-CN"/>
        </w:rPr>
        <w:t>38.84</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D、修理费按固定资产原值计提，采矿开拓工程修理费率为</w:t>
      </w:r>
      <w:r>
        <w:rPr>
          <w:rFonts w:hint="eastAsia" w:ascii="宋体" w:hAnsi="宋体" w:eastAsia="宋体" w:cs="宋体"/>
          <w:color w:val="auto"/>
          <w:sz w:val="24"/>
          <w:szCs w:val="24"/>
          <w:lang w:val="en-US" w:eastAsia="zh-CN"/>
        </w:rPr>
        <w:t>0.50</w:t>
      </w:r>
      <w:r>
        <w:rPr>
          <w:rFonts w:hint="eastAsia" w:ascii="宋体" w:hAnsi="宋体" w:eastAsia="宋体" w:cs="宋体"/>
          <w:color w:val="auto"/>
          <w:sz w:val="24"/>
          <w:szCs w:val="24"/>
        </w:rPr>
        <w:t>％，建筑物和构筑物修理费率为</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0％，设备修理费率按</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.00％估算。合计为</w:t>
      </w:r>
      <w:r>
        <w:rPr>
          <w:rFonts w:hint="eastAsia" w:ascii="宋体" w:hAnsi="宋体" w:eastAsia="宋体" w:cs="宋体"/>
          <w:color w:val="auto"/>
          <w:sz w:val="24"/>
          <w:szCs w:val="24"/>
          <w:lang w:val="en-US" w:eastAsia="zh-CN"/>
        </w:rPr>
        <w:t>12.69</w:t>
      </w:r>
      <w:r>
        <w:rPr>
          <w:rFonts w:hint="eastAsia" w:ascii="宋体" w:hAnsi="宋体" w:eastAsia="宋体" w:cs="宋体"/>
          <w:color w:val="auto"/>
          <w:sz w:val="24"/>
          <w:szCs w:val="24"/>
        </w:rPr>
        <w:t>万元/a。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E、项目车间其他制造费用按生产工人工资的</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％估算。合计为</w:t>
      </w:r>
      <w:r>
        <w:rPr>
          <w:rFonts w:hint="eastAsia" w:ascii="宋体" w:hAnsi="宋体" w:eastAsia="宋体" w:cs="宋体"/>
          <w:color w:val="auto"/>
          <w:sz w:val="24"/>
          <w:szCs w:val="24"/>
          <w:lang w:val="en-US" w:eastAsia="zh-CN"/>
        </w:rPr>
        <w:t>2.84</w:t>
      </w:r>
      <w:r>
        <w:rPr>
          <w:rFonts w:hint="eastAsia" w:ascii="宋体" w:hAnsi="宋体" w:eastAsia="宋体" w:cs="宋体"/>
          <w:color w:val="auto"/>
          <w:sz w:val="24"/>
          <w:szCs w:val="24"/>
        </w:rPr>
        <w:t>万元/a。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F、</w:t>
      </w:r>
      <w:r>
        <w:rPr>
          <w:rFonts w:hint="eastAsia" w:ascii="宋体" w:hAnsi="宋体" w:eastAsia="宋体" w:cs="宋体"/>
          <w:color w:val="auto"/>
          <w:sz w:val="24"/>
          <w:szCs w:val="24"/>
        </w:rPr>
        <w:t>管理费用：项目管理费用包括：安全费和企业管理费。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w:t>
      </w:r>
      <w:r>
        <w:rPr>
          <w:rFonts w:hint="eastAsia" w:ascii="宋体" w:hAnsi="宋体" w:eastAsia="宋体" w:cs="宋体"/>
          <w:color w:val="auto"/>
          <w:sz w:val="24"/>
          <w:szCs w:val="24"/>
        </w:rPr>
        <w:t>安全费：本项目为</w:t>
      </w:r>
      <w:r>
        <w:rPr>
          <w:rFonts w:hint="eastAsia" w:ascii="宋体" w:hAnsi="宋体" w:eastAsia="宋体" w:cs="宋体"/>
          <w:color w:val="auto"/>
          <w:sz w:val="24"/>
          <w:szCs w:val="24"/>
          <w:lang w:val="en-US" w:eastAsia="zh-CN"/>
        </w:rPr>
        <w:t>砖瓦用页岩</w:t>
      </w:r>
      <w:r>
        <w:rPr>
          <w:rFonts w:hint="eastAsia" w:ascii="宋体" w:hAnsi="宋体" w:eastAsia="宋体" w:cs="宋体"/>
          <w:color w:val="auto"/>
          <w:sz w:val="24"/>
          <w:szCs w:val="24"/>
        </w:rPr>
        <w:t>矿开采，按财政部</w:t>
      </w:r>
      <w:r>
        <w:rPr>
          <w:rFonts w:hint="eastAsia" w:ascii="宋体" w:hAnsi="宋体" w:eastAsia="宋体" w:cs="宋体"/>
          <w:color w:val="auto"/>
          <w:sz w:val="24"/>
          <w:szCs w:val="24"/>
          <w:lang w:val="en-US" w:eastAsia="zh-CN"/>
        </w:rPr>
        <w:t>应急部</w:t>
      </w:r>
      <w:r>
        <w:rPr>
          <w:rFonts w:hint="eastAsia" w:ascii="宋体" w:hAnsi="宋体" w:eastAsia="宋体" w:cs="宋体"/>
          <w:color w:val="auto"/>
          <w:sz w:val="24"/>
          <w:szCs w:val="24"/>
        </w:rPr>
        <w:t>财</w:t>
      </w:r>
      <w:r>
        <w:rPr>
          <w:rFonts w:hint="eastAsia" w:ascii="宋体" w:hAnsi="宋体" w:eastAsia="宋体" w:cs="宋体"/>
          <w:color w:val="auto"/>
          <w:sz w:val="24"/>
          <w:szCs w:val="24"/>
          <w:lang w:val="en-US" w:eastAsia="zh-CN"/>
        </w:rPr>
        <w:t>资</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22</w:t>
      </w:r>
      <w:r>
        <w:rPr>
          <w:rFonts w:hint="eastAsia" w:ascii="宋体" w:hAnsi="宋体" w:eastAsia="宋体" w:cs="宋体"/>
          <w:color w:val="auto"/>
          <w:sz w:val="24"/>
          <w:szCs w:val="24"/>
        </w:rPr>
        <w:t>]1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6号文</w:t>
      </w:r>
      <w:r>
        <w:rPr>
          <w:rFonts w:hint="eastAsia" w:ascii="宋体" w:hAnsi="宋体" w:eastAsia="宋体" w:cs="宋体"/>
          <w:color w:val="auto"/>
          <w:sz w:val="24"/>
          <w:szCs w:val="24"/>
          <w:lang w:val="en-US" w:eastAsia="zh-CN"/>
        </w:rPr>
        <w:t>关于印发</w:t>
      </w:r>
      <w:r>
        <w:rPr>
          <w:rFonts w:hint="eastAsia" w:ascii="宋体" w:hAnsi="宋体" w:eastAsia="宋体" w:cs="宋体"/>
          <w:color w:val="auto"/>
          <w:sz w:val="24"/>
          <w:szCs w:val="24"/>
        </w:rPr>
        <w:t>《企业安全生产费用提取和使用管理办法》的</w:t>
      </w:r>
      <w:r>
        <w:rPr>
          <w:rFonts w:hint="eastAsia" w:ascii="宋体" w:hAnsi="宋体" w:eastAsia="宋体" w:cs="宋体"/>
          <w:color w:val="auto"/>
          <w:sz w:val="24"/>
          <w:szCs w:val="24"/>
          <w:lang w:val="en-US" w:eastAsia="zh-CN"/>
        </w:rPr>
        <w:t>通知</w:t>
      </w:r>
      <w:r>
        <w:rPr>
          <w:rFonts w:hint="eastAsia" w:ascii="宋体" w:hAnsi="宋体" w:eastAsia="宋体" w:cs="宋体"/>
          <w:color w:val="auto"/>
          <w:sz w:val="24"/>
          <w:szCs w:val="24"/>
        </w:rPr>
        <w:t>，参照</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年生产规模不超过50万吨的山坡型露天采石场，每吨2元</w:t>
      </w:r>
      <w:r>
        <w:rPr>
          <w:rFonts w:hint="eastAsia" w:ascii="宋体" w:hAnsi="宋体" w:cs="宋体"/>
          <w:color w:val="auto"/>
          <w:sz w:val="24"/>
          <w:szCs w:val="24"/>
          <w:lang w:eastAsia="zh-CN"/>
        </w:rPr>
        <w:t>”</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矿山生产规模20万m³/年，矿石小体重1.92g/cm</w:t>
      </w:r>
      <w:r>
        <w:rPr>
          <w:rFonts w:hint="eastAsia" w:ascii="宋体" w:hAnsi="宋体" w:eastAsia="宋体" w:cs="宋体"/>
          <w:color w:val="auto"/>
          <w:sz w:val="24"/>
          <w:szCs w:val="24"/>
          <w:vertAlign w:val="superscript"/>
          <w:lang w:val="en-US" w:eastAsia="zh-CN"/>
        </w:rPr>
        <w:t>3</w:t>
      </w:r>
      <w:r>
        <w:rPr>
          <w:rFonts w:hint="eastAsia" w:ascii="宋体" w:hAnsi="宋体" w:eastAsia="宋体" w:cs="宋体"/>
          <w:color w:val="auto"/>
          <w:sz w:val="24"/>
          <w:szCs w:val="24"/>
          <w:lang w:val="en-US" w:eastAsia="zh-CN"/>
        </w:rPr>
        <w:t>,经计算，</w:t>
      </w:r>
      <w:r>
        <w:rPr>
          <w:rFonts w:hint="eastAsia" w:ascii="宋体" w:hAnsi="宋体" w:eastAsia="宋体" w:cs="宋体"/>
          <w:color w:val="auto"/>
          <w:sz w:val="24"/>
          <w:szCs w:val="24"/>
        </w:rPr>
        <w:t>正常年矿山开采安全费为</w:t>
      </w:r>
      <w:r>
        <w:rPr>
          <w:rFonts w:hint="eastAsia" w:ascii="宋体" w:hAnsi="宋体" w:cs="宋体"/>
          <w:color w:val="auto"/>
          <w:sz w:val="24"/>
          <w:szCs w:val="24"/>
          <w:lang w:val="en-US" w:eastAsia="zh-CN"/>
        </w:rPr>
        <w:t>76.80</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②</w:t>
      </w:r>
      <w:r>
        <w:rPr>
          <w:rFonts w:hint="eastAsia" w:ascii="宋体" w:hAnsi="宋体" w:eastAsia="宋体" w:cs="宋体"/>
          <w:color w:val="auto"/>
          <w:sz w:val="24"/>
          <w:szCs w:val="24"/>
        </w:rPr>
        <w:t>企业管理费：管理部门人员的工资、其他企业管理费（包括管理部门人员的办公费和劳动保护费、企业业务接待费等，按全员工资的20.00%估算）和全员社会保险费（按全员工资的39.75%估算）。正常年企业管理费为</w:t>
      </w:r>
      <w:r>
        <w:rPr>
          <w:rFonts w:hint="eastAsia" w:ascii="宋体" w:hAnsi="宋体" w:eastAsia="宋体" w:cs="宋体"/>
          <w:color w:val="auto"/>
          <w:sz w:val="24"/>
          <w:szCs w:val="24"/>
          <w:lang w:val="en-US" w:eastAsia="zh-CN"/>
        </w:rPr>
        <w:t>135.13</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管理部门人员工资=</w:t>
      </w:r>
      <w:r>
        <w:rPr>
          <w:rFonts w:hint="eastAsia" w:ascii="宋体" w:hAnsi="宋体" w:eastAsia="宋体" w:cs="宋体"/>
          <w:color w:val="auto"/>
          <w:sz w:val="24"/>
          <w:szCs w:val="24"/>
          <w:lang w:val="en-US" w:eastAsia="zh-CN"/>
        </w:rPr>
        <w:t>9.00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6.45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58.05</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其他企业管理费=</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6.45</w:t>
      </w:r>
      <w:r>
        <w:rPr>
          <w:rFonts w:hint="eastAsia" w:ascii="宋体" w:hAnsi="宋体" w:eastAsia="宋体" w:cs="宋体"/>
          <w:color w:val="auto"/>
          <w:sz w:val="24"/>
          <w:szCs w:val="24"/>
        </w:rPr>
        <w:t>×59.75%=</w:t>
      </w:r>
      <w:r>
        <w:rPr>
          <w:rFonts w:hint="eastAsia" w:ascii="宋体" w:hAnsi="宋体" w:eastAsia="宋体" w:cs="宋体"/>
          <w:color w:val="auto"/>
          <w:sz w:val="24"/>
          <w:szCs w:val="24"/>
          <w:lang w:val="en-US" w:eastAsia="zh-CN"/>
        </w:rPr>
        <w:t>77.08</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管理费</w:t>
      </w:r>
      <w:r>
        <w:rPr>
          <w:rFonts w:hint="eastAsia" w:ascii="宋体" w:hAnsi="宋体" w:eastAsia="宋体" w:cs="宋体"/>
          <w:color w:val="auto"/>
          <w:sz w:val="24"/>
          <w:szCs w:val="24"/>
          <w:lang w:val="en-US" w:eastAsia="zh-CN"/>
        </w:rPr>
        <w:t>用</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安全费</w:t>
      </w:r>
      <w:r>
        <w:rPr>
          <w:rFonts w:hint="eastAsia" w:ascii="宋体" w:hAnsi="宋体" w:eastAsia="宋体" w:cs="宋体"/>
          <w:color w:val="auto"/>
          <w:sz w:val="24"/>
          <w:szCs w:val="24"/>
        </w:rPr>
        <w:t>+企业管理费=</w:t>
      </w:r>
      <w:r>
        <w:rPr>
          <w:rFonts w:hint="eastAsia" w:ascii="宋体" w:hAnsi="宋体" w:eastAsia="宋体" w:cs="宋体"/>
          <w:color w:val="auto"/>
          <w:sz w:val="24"/>
          <w:szCs w:val="24"/>
          <w:lang w:val="en-US" w:eastAsia="zh-CN"/>
        </w:rPr>
        <w:t>58.05</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77.08</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135.13</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G、</w:t>
      </w:r>
      <w:r>
        <w:rPr>
          <w:rFonts w:hint="eastAsia" w:ascii="宋体" w:hAnsi="宋体" w:eastAsia="宋体" w:cs="宋体"/>
          <w:color w:val="auto"/>
          <w:sz w:val="24"/>
          <w:szCs w:val="24"/>
        </w:rPr>
        <w:t>矿山产品销售费用按销售收入的</w:t>
      </w:r>
      <w:r>
        <w:rPr>
          <w:rFonts w:hint="eastAsia" w:ascii="宋体" w:hAnsi="宋体" w:eastAsia="宋体" w:cs="宋体"/>
          <w:color w:val="auto"/>
          <w:sz w:val="24"/>
          <w:szCs w:val="24"/>
          <w:lang w:val="en-US" w:eastAsia="zh-CN"/>
        </w:rPr>
        <w:t>0.50</w:t>
      </w:r>
      <w:r>
        <w:rPr>
          <w:rFonts w:hint="eastAsia" w:ascii="宋体" w:hAnsi="宋体" w:eastAsia="宋体" w:cs="宋体"/>
          <w:color w:val="auto"/>
          <w:sz w:val="24"/>
          <w:szCs w:val="24"/>
        </w:rPr>
        <w:t>%计提，销售费用为</w:t>
      </w:r>
      <w:r>
        <w:rPr>
          <w:rFonts w:hint="eastAsia" w:ascii="宋体" w:hAnsi="宋体" w:eastAsia="宋体" w:cs="宋体"/>
          <w:color w:val="auto"/>
          <w:sz w:val="24"/>
          <w:szCs w:val="24"/>
          <w:lang w:val="en-US" w:eastAsia="zh-CN"/>
        </w:rPr>
        <w:t>3.10</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H、</w:t>
      </w:r>
      <w:r>
        <w:rPr>
          <w:rFonts w:hint="eastAsia" w:ascii="宋体" w:hAnsi="宋体" w:eastAsia="宋体" w:cs="宋体"/>
          <w:color w:val="auto"/>
          <w:sz w:val="24"/>
          <w:szCs w:val="24"/>
        </w:rPr>
        <w:t>矿山地质环境恢复治理基金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矿山地质环境恢复治理基金按照“关于印发《新疆维吾尔自治区矿山地质环境治理恢复基金管理办法》的通知”计算，矿山正常年矿山地质环境恢复治理基金</w:t>
      </w:r>
      <w:r>
        <w:rPr>
          <w:rFonts w:hint="eastAsia" w:ascii="宋体" w:hAnsi="宋体" w:eastAsia="宋体" w:cs="宋体"/>
          <w:color w:val="auto"/>
          <w:sz w:val="24"/>
          <w:szCs w:val="24"/>
          <w:lang w:val="en-US" w:eastAsia="zh-CN"/>
        </w:rPr>
        <w:t>按照矿山销售收入（不含税）进行计算，经计算矿山正常年计提</w:t>
      </w:r>
      <w:r>
        <w:rPr>
          <w:rFonts w:hint="eastAsia" w:ascii="宋体" w:hAnsi="宋体" w:eastAsia="宋体" w:cs="宋体"/>
          <w:color w:val="auto"/>
          <w:sz w:val="24"/>
          <w:szCs w:val="24"/>
        </w:rPr>
        <w:t>矿山地质环境恢复治理基金</w:t>
      </w:r>
      <w:r>
        <w:rPr>
          <w:rFonts w:hint="eastAsia" w:ascii="宋体" w:hAnsi="宋体" w:eastAsia="宋体" w:cs="宋体"/>
          <w:color w:val="auto"/>
          <w:sz w:val="24"/>
          <w:szCs w:val="24"/>
          <w:lang w:val="en-US" w:eastAsia="zh-CN"/>
        </w:rPr>
        <w:t>15.49</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I、</w:t>
      </w:r>
      <w:r>
        <w:rPr>
          <w:rFonts w:hint="eastAsia" w:ascii="宋体" w:hAnsi="宋体" w:eastAsia="宋体" w:cs="宋体"/>
          <w:color w:val="auto"/>
          <w:sz w:val="24"/>
          <w:szCs w:val="24"/>
        </w:rPr>
        <w:t>绿色矿山技术研究费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矿山绿色矿山技术研究费按照产品销售收入（不含税）的1.5%计提，矿山正常年绿色矿山技术研究费</w:t>
      </w:r>
      <w:r>
        <w:rPr>
          <w:rFonts w:hint="eastAsia" w:ascii="宋体" w:hAnsi="宋体" w:eastAsia="宋体" w:cs="宋体"/>
          <w:color w:val="auto"/>
          <w:sz w:val="24"/>
          <w:szCs w:val="24"/>
          <w:lang w:val="en-US" w:eastAsia="zh-CN"/>
        </w:rPr>
        <w:t>9.29</w:t>
      </w:r>
      <w:r>
        <w:rPr>
          <w:rFonts w:hint="eastAsia" w:ascii="宋体" w:hAnsi="宋体" w:eastAsia="宋体" w:cs="宋体"/>
          <w:color w:val="auto"/>
          <w:sz w:val="24"/>
          <w:szCs w:val="24"/>
        </w:rPr>
        <w:t>万元。</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eastAsia="zh-CN"/>
        </w:rPr>
      </w:pPr>
      <w:r>
        <w:rPr>
          <w:rFonts w:hint="eastAsia" w:ascii="宋体" w:hAnsi="宋体" w:eastAsia="宋体" w:cs="宋体"/>
          <w:color w:val="auto"/>
          <w:sz w:val="24"/>
          <w:szCs w:val="24"/>
        </w:rPr>
        <w:t>摊销费：矿山</w:t>
      </w:r>
      <w:r>
        <w:rPr>
          <w:rFonts w:hint="eastAsia" w:ascii="宋体" w:hAnsi="宋体" w:eastAsia="宋体" w:cs="宋体"/>
          <w:color w:val="auto"/>
          <w:sz w:val="24"/>
          <w:szCs w:val="24"/>
          <w:lang w:val="en-US" w:eastAsia="zh-CN"/>
        </w:rPr>
        <w:t>前五年（不含基建期）</w:t>
      </w:r>
      <w:r>
        <w:rPr>
          <w:rFonts w:hint="eastAsia" w:ascii="宋体" w:hAnsi="宋体" w:eastAsia="宋体" w:cs="宋体"/>
          <w:color w:val="auto"/>
          <w:sz w:val="24"/>
          <w:szCs w:val="24"/>
        </w:rPr>
        <w:t>每年摊销费为</w:t>
      </w:r>
      <w:r>
        <w:rPr>
          <w:rFonts w:hint="eastAsia" w:ascii="宋体" w:hAnsi="宋体" w:eastAsia="宋体" w:cs="宋体"/>
          <w:color w:val="auto"/>
          <w:sz w:val="24"/>
          <w:szCs w:val="24"/>
          <w:lang w:val="en-US" w:eastAsia="zh-CN"/>
        </w:rPr>
        <w:t>12.46</w:t>
      </w:r>
      <w:r>
        <w:rPr>
          <w:rFonts w:hint="eastAsia" w:ascii="宋体" w:hAnsi="宋体" w:eastAsia="宋体" w:cs="宋体"/>
          <w:color w:val="auto"/>
          <w:sz w:val="24"/>
          <w:szCs w:val="24"/>
        </w:rPr>
        <w:t>万元</w:t>
      </w:r>
      <w:r>
        <w:rPr>
          <w:rFonts w:hint="eastAsia" w:ascii="宋体" w:hAnsi="宋体" w:cs="宋体"/>
          <w:color w:val="auto"/>
          <w:sz w:val="24"/>
          <w:szCs w:val="24"/>
          <w:lang w:eastAsia="zh-CN"/>
        </w:rPr>
        <w:t>。</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采矿权出让收益</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参照“新疆英吉沙县乌恰乡25村1-1号砖瓦用页岩矿”出让收益，收益单价取1.76元/m³，计算年采矿权出让收益为35.20万元</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②制造成本和总成本费用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A、制造成本</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项目单位制造成本计算，详见《</w:t>
      </w:r>
      <w:r>
        <w:rPr>
          <w:rFonts w:hint="eastAsia" w:ascii="宋体" w:hAnsi="宋体" w:eastAsia="宋体" w:cs="宋体"/>
          <w:color w:val="auto"/>
          <w:sz w:val="24"/>
          <w:szCs w:val="24"/>
          <w:lang w:val="en-US" w:eastAsia="zh-CN"/>
        </w:rPr>
        <w:t>采矿</w:t>
      </w:r>
      <w:r>
        <w:rPr>
          <w:rFonts w:hint="eastAsia" w:ascii="宋体" w:hAnsi="宋体" w:eastAsia="宋体" w:cs="宋体"/>
          <w:color w:val="auto"/>
          <w:sz w:val="24"/>
          <w:szCs w:val="24"/>
        </w:rPr>
        <w:t>制造成本估算表》表6-1</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表6-1-</w:t>
      </w:r>
      <w:r>
        <w:rPr>
          <w:rFonts w:hint="eastAsia" w:ascii="宋体" w:hAnsi="宋体" w:eastAsia="宋体" w:cs="宋体"/>
          <w:b/>
          <w:color w:val="auto"/>
          <w:sz w:val="21"/>
          <w:szCs w:val="21"/>
          <w:lang w:val="en-US" w:eastAsia="zh-CN"/>
        </w:rPr>
        <w:t>6</w:t>
      </w:r>
      <w:r>
        <w:rPr>
          <w:rFonts w:hint="eastAsia" w:ascii="宋体" w:hAnsi="宋体" w:eastAsia="宋体" w:cs="宋体"/>
          <w:b/>
          <w:color w:val="auto"/>
          <w:sz w:val="21"/>
          <w:szCs w:val="21"/>
        </w:rPr>
        <w:t xml:space="preserve">   </w:t>
      </w:r>
      <w:r>
        <w:rPr>
          <w:rFonts w:hint="default" w:ascii="宋体" w:hAnsi="宋体" w:eastAsia="宋体" w:cs="宋体"/>
          <w:b/>
          <w:color w:val="auto"/>
          <w:sz w:val="21"/>
          <w:szCs w:val="21"/>
        </w:rPr>
        <w:t xml:space="preserve">  </w:t>
      </w:r>
      <w:r>
        <w:rPr>
          <w:rFonts w:hint="default" w:ascii="宋体" w:hAnsi="宋体" w:eastAsia="宋体" w:cs="宋体"/>
          <w:b/>
          <w:color w:val="auto"/>
          <w:sz w:val="21"/>
          <w:szCs w:val="21"/>
          <w:lang w:val="en-US" w:eastAsia="zh-CN"/>
        </w:rPr>
        <w:t>采矿</w:t>
      </w:r>
      <w:r>
        <w:rPr>
          <w:rFonts w:hint="eastAsia" w:ascii="宋体" w:hAnsi="宋体" w:eastAsia="宋体" w:cs="宋体"/>
          <w:b/>
          <w:color w:val="auto"/>
          <w:sz w:val="21"/>
          <w:szCs w:val="21"/>
        </w:rPr>
        <w:t>制造成本估算表</w:t>
      </w:r>
    </w:p>
    <w:tbl>
      <w:tblPr>
        <w:tblStyle w:val="53"/>
        <w:tblW w:w="91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1840"/>
        <w:gridCol w:w="1013"/>
        <w:gridCol w:w="1056"/>
        <w:gridCol w:w="1060"/>
        <w:gridCol w:w="1060"/>
        <w:gridCol w:w="1090"/>
        <w:gridCol w:w="12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8" w:space="0"/>
              <w:left w:val="single" w:color="000000" w:sz="8"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1840" w:type="dxa"/>
            <w:tcBorders>
              <w:top w:val="single" w:color="000000" w:sz="8"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成本项目</w:t>
            </w:r>
          </w:p>
        </w:tc>
        <w:tc>
          <w:tcPr>
            <w:tcW w:w="1013" w:type="dxa"/>
            <w:tcBorders>
              <w:top w:val="single" w:color="000000" w:sz="8"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单位</w:t>
            </w:r>
          </w:p>
        </w:tc>
        <w:tc>
          <w:tcPr>
            <w:tcW w:w="1056" w:type="dxa"/>
            <w:tcBorders>
              <w:top w:val="single" w:color="000000" w:sz="8"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价格</w:t>
            </w:r>
          </w:p>
        </w:tc>
        <w:tc>
          <w:tcPr>
            <w:tcW w:w="106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单位消耗</w:t>
            </w:r>
          </w:p>
        </w:tc>
        <w:tc>
          <w:tcPr>
            <w:tcW w:w="106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单位成本</w:t>
            </w:r>
          </w:p>
        </w:tc>
        <w:tc>
          <w:tcPr>
            <w:tcW w:w="1090" w:type="dxa"/>
            <w:tcBorders>
              <w:top w:val="single" w:color="000000" w:sz="8"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消耗总量</w:t>
            </w:r>
          </w:p>
        </w:tc>
        <w:tc>
          <w:tcPr>
            <w:tcW w:w="1271" w:type="dxa"/>
            <w:tcBorders>
              <w:top w:val="single" w:color="000000" w:sz="8"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总成本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840"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辅助材料</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nil"/>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0.49 </w:t>
            </w:r>
          </w:p>
        </w:tc>
        <w:tc>
          <w:tcPr>
            <w:tcW w:w="1090" w:type="dxa"/>
            <w:tcBorders>
              <w:top w:val="single" w:color="000000" w:sz="4" w:space="0"/>
              <w:left w:val="single" w:color="000000" w:sz="4" w:space="0"/>
              <w:bottom w:val="nil"/>
              <w:right w:val="single" w:color="000000" w:sz="4" w:space="0"/>
            </w:tcBorders>
            <w:shd w:val="clear" w:color="auto" w:fill="auto"/>
            <w:vAlign w:val="top"/>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98273.00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铲齿</w:t>
            </w:r>
          </w:p>
        </w:tc>
        <w:tc>
          <w:tcPr>
            <w:tcW w:w="1013" w:type="dxa"/>
            <w:tcBorders>
              <w:top w:val="single" w:color="000000" w:sz="4" w:space="0"/>
              <w:left w:val="nil"/>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个</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450.00 </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0.00008</w:t>
            </w: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0.04 </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7200.00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装载机轮胎</w:t>
            </w:r>
          </w:p>
        </w:tc>
        <w:tc>
          <w:tcPr>
            <w:tcW w:w="1013" w:type="dxa"/>
            <w:tcBorders>
              <w:top w:val="single" w:color="000000" w:sz="4" w:space="0"/>
              <w:left w:val="nil"/>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条</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6000.00 </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0.00003</w:t>
            </w: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0.18 </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36000.00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汽车轮胎</w:t>
            </w:r>
          </w:p>
        </w:tc>
        <w:tc>
          <w:tcPr>
            <w:tcW w:w="1013" w:type="dxa"/>
            <w:tcBorders>
              <w:top w:val="single" w:color="000000" w:sz="4" w:space="0"/>
              <w:left w:val="nil"/>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条</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4000.00 </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0.00006</w:t>
            </w: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0.24 </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48000.00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nil"/>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机油</w:t>
            </w:r>
          </w:p>
        </w:tc>
        <w:tc>
          <w:tcPr>
            <w:tcW w:w="1013" w:type="dxa"/>
            <w:tcBorders>
              <w:top w:val="single" w:color="000000" w:sz="4" w:space="0"/>
              <w:left w:val="nil"/>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kg</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0.0015</w:t>
            </w: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0.03 </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305</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其他材料</w:t>
            </w:r>
          </w:p>
        </w:tc>
        <w:tc>
          <w:tcPr>
            <w:tcW w:w="1013"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nil"/>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90"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973.00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燃料及动力</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nil"/>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4.47 </w:t>
            </w:r>
          </w:p>
        </w:tc>
        <w:tc>
          <w:tcPr>
            <w:tcW w:w="1090"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柴油</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kg</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9.30 </w:t>
            </w:r>
          </w:p>
        </w:tc>
        <w:tc>
          <w:tcPr>
            <w:tcW w:w="1060" w:type="dxa"/>
            <w:tcBorders>
              <w:top w:val="single" w:color="000000" w:sz="4" w:space="0"/>
              <w:left w:val="nil"/>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0.47147 </w:t>
            </w: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4.38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95850</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891405.00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电</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Kwh</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0.565 </w:t>
            </w:r>
          </w:p>
        </w:tc>
        <w:tc>
          <w:tcPr>
            <w:tcW w:w="1060" w:type="dxa"/>
            <w:tcBorders>
              <w:top w:val="single" w:color="000000" w:sz="4" w:space="0"/>
              <w:left w:val="nil"/>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1.17934 </w:t>
            </w: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0.67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239760</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135464.40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水</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4.30 </w:t>
            </w:r>
          </w:p>
        </w:tc>
        <w:tc>
          <w:tcPr>
            <w:tcW w:w="1060" w:type="dxa"/>
            <w:tcBorders>
              <w:top w:val="single" w:color="000000" w:sz="4" w:space="0"/>
              <w:left w:val="nil"/>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0.01992 </w:t>
            </w: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0.09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4050</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17415.00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工资及福利费</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64500.00 </w:t>
            </w:r>
          </w:p>
        </w:tc>
        <w:tc>
          <w:tcPr>
            <w:tcW w:w="1060" w:type="dxa"/>
            <w:tcBorders>
              <w:top w:val="single" w:color="000000" w:sz="4" w:space="0"/>
              <w:left w:val="nil"/>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3.49 </w:t>
            </w:r>
          </w:p>
        </w:tc>
        <w:tc>
          <w:tcPr>
            <w:tcW w:w="1090"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 </w:t>
            </w:r>
          </w:p>
        </w:tc>
        <w:tc>
          <w:tcPr>
            <w:tcW w:w="1271" w:type="dxa"/>
            <w:tcBorders>
              <w:top w:val="single" w:color="000000" w:sz="4" w:space="0"/>
              <w:left w:val="nil"/>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nil"/>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直接作业成本</w:t>
            </w:r>
          </w:p>
        </w:tc>
        <w:tc>
          <w:tcPr>
            <w:tcW w:w="1013"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8.45 </w:t>
            </w:r>
          </w:p>
        </w:tc>
        <w:tc>
          <w:tcPr>
            <w:tcW w:w="1090"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1716593.00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制造费用</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2.67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543680.00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折旧费</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1.91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修理费</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0.62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其他制造费用</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0.14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28380.00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制造成本</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11.12 </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71"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2260273.00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8"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年采矿量</w:t>
            </w:r>
          </w:p>
        </w:tc>
        <w:tc>
          <w:tcPr>
            <w:tcW w:w="1013"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w:t>
            </w:r>
          </w:p>
        </w:tc>
        <w:tc>
          <w:tcPr>
            <w:tcW w:w="1056"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nil"/>
              <w:left w:val="nil"/>
              <w:bottom w:val="nil"/>
              <w:right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90" w:type="dxa"/>
            <w:tcBorders>
              <w:top w:val="single" w:color="000000" w:sz="4" w:space="0"/>
              <w:left w:val="single" w:color="000000" w:sz="4" w:space="0"/>
              <w:bottom w:val="nil"/>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200000</w:t>
            </w:r>
          </w:p>
        </w:tc>
        <w:tc>
          <w:tcPr>
            <w:tcW w:w="1271" w:type="dxa"/>
            <w:tcBorders>
              <w:top w:val="single" w:color="000000" w:sz="4" w:space="0"/>
              <w:left w:val="single" w:color="000000" w:sz="4" w:space="0"/>
              <w:bottom w:val="nil"/>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0"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采剥离总量</w:t>
            </w: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203300</w:t>
            </w:r>
          </w:p>
        </w:tc>
        <w:tc>
          <w:tcPr>
            <w:tcW w:w="12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B、</w:t>
      </w:r>
      <w:r>
        <w:rPr>
          <w:rFonts w:hint="eastAsia" w:ascii="宋体" w:hAnsi="宋体" w:eastAsia="宋体" w:cs="宋体"/>
          <w:color w:val="auto"/>
          <w:sz w:val="24"/>
          <w:szCs w:val="24"/>
        </w:rPr>
        <w:t>总成本费用估算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项目平均年总成本费用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、销售收入、税金及利润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（1）产品价格</w:t>
      </w:r>
    </w:p>
    <w:p>
      <w:pPr>
        <w:keepNext w:val="0"/>
        <w:keepLines w:val="0"/>
        <w:pageBreakBefore w:val="0"/>
        <w:widowControl w:val="0"/>
        <w:kinsoku/>
        <w:wordWrap/>
        <w:overflowPunct/>
        <w:topLinePunct w:val="0"/>
        <w:autoSpaceDE/>
        <w:autoSpaceDN/>
        <w:bidi w:val="0"/>
        <w:adjustRightInd/>
        <w:snapToGrid/>
        <w:spacing w:line="360" w:lineRule="auto"/>
        <w:ind w:firstLine="472"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pacing w:val="-2"/>
          <w:sz w:val="24"/>
          <w:szCs w:val="24"/>
          <w:highlight w:val="none"/>
          <w:lang w:val="en-US" w:eastAsia="zh-CN"/>
        </w:rPr>
        <w:t>通过矿山所在区域近三年砖瓦用页岩原矿价格情况，最终确定</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2"/>
          <w:sz w:val="24"/>
          <w:szCs w:val="24"/>
          <w:highlight w:val="none"/>
          <w:lang w:val="en-US" w:eastAsia="zh-CN"/>
        </w:rPr>
        <w:t>元/m³（含税、矿山交货价）作为基准价格计算销售收入</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（2）销售收入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矿山年</w:t>
      </w:r>
      <w:r>
        <w:rPr>
          <w:rFonts w:hint="eastAsia" w:ascii="宋体" w:hAnsi="宋体" w:eastAsia="宋体" w:cs="宋体"/>
          <w:color w:val="auto"/>
          <w:sz w:val="24"/>
          <w:szCs w:val="24"/>
          <w:lang w:val="en-US" w:eastAsia="zh-CN"/>
        </w:rPr>
        <w:t>开采砖瓦用页岩</w:t>
      </w:r>
      <w:r>
        <w:rPr>
          <w:rFonts w:hint="eastAsia" w:ascii="宋体" w:hAnsi="宋体" w:eastAsia="宋体" w:cs="宋体"/>
          <w:color w:val="auto"/>
          <w:sz w:val="24"/>
          <w:szCs w:val="24"/>
        </w:rPr>
        <w:t>矿石</w:t>
      </w:r>
      <w:r>
        <w:rPr>
          <w:rFonts w:hint="eastAsia" w:ascii="宋体" w:hAnsi="宋体" w:eastAsia="宋体" w:cs="宋体"/>
          <w:color w:val="auto"/>
          <w:sz w:val="24"/>
          <w:szCs w:val="24"/>
          <w:lang w:val="en-US" w:eastAsia="zh-CN"/>
        </w:rPr>
        <w:t>20.00万m³</w:t>
      </w:r>
      <w:r>
        <w:rPr>
          <w:rFonts w:hint="eastAsia" w:ascii="宋体" w:hAnsi="宋体" w:eastAsia="宋体" w:cs="宋体"/>
          <w:color w:val="auto"/>
          <w:sz w:val="24"/>
          <w:szCs w:val="24"/>
        </w:rPr>
        <w:t>，达产年销售收入</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万元（含税）</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服务年限内年均销售收入</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（3）销售税金及附加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项目应计算的销售税金及附加主要有增值税、城市维护建设税、教育费附加和资源税。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1）增值税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项目销项税税率为13%，可进行抵扣的进项税项目主要有外购原、辅材料，外委修理费等，抵扣的税率13%。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销项税额=</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0÷1.13×13%=</w:t>
      </w:r>
      <w:r>
        <w:rPr>
          <w:rFonts w:hint="eastAsia" w:ascii="宋体" w:hAnsi="宋体" w:eastAsia="宋体" w:cs="宋体"/>
          <w:color w:val="auto"/>
          <w:sz w:val="24"/>
          <w:szCs w:val="24"/>
          <w:lang w:val="en-US" w:eastAsia="zh-CN"/>
        </w:rPr>
        <w:t>80.53</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进项税额=（</w:t>
      </w:r>
      <w:r>
        <w:rPr>
          <w:rFonts w:hint="eastAsia" w:ascii="宋体" w:hAnsi="宋体" w:eastAsia="宋体" w:cs="宋体"/>
          <w:color w:val="auto"/>
          <w:sz w:val="24"/>
          <w:szCs w:val="24"/>
          <w:lang w:val="en-US" w:eastAsia="zh-CN"/>
        </w:rPr>
        <w:t>100.71</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12.69</w:t>
      </w:r>
      <w:r>
        <w:rPr>
          <w:rFonts w:hint="eastAsia" w:ascii="宋体" w:hAnsi="宋体" w:eastAsia="宋体" w:cs="宋体"/>
          <w:color w:val="auto"/>
          <w:sz w:val="24"/>
          <w:szCs w:val="24"/>
        </w:rPr>
        <w:t>×0.5）÷1.13×13%=</w:t>
      </w:r>
      <w:r>
        <w:rPr>
          <w:rFonts w:hint="eastAsia" w:ascii="宋体" w:hAnsi="宋体" w:eastAsia="宋体" w:cs="宋体"/>
          <w:color w:val="auto"/>
          <w:sz w:val="24"/>
          <w:szCs w:val="24"/>
          <w:lang w:val="en-US" w:eastAsia="zh-CN"/>
        </w:rPr>
        <w:t>12.32</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正常年应缴纳增值税</w:t>
      </w:r>
      <w:r>
        <w:rPr>
          <w:rFonts w:hint="eastAsia" w:ascii="宋体" w:hAnsi="宋体" w:eastAsia="宋体" w:cs="宋体"/>
          <w:color w:val="auto"/>
          <w:sz w:val="24"/>
          <w:szCs w:val="24"/>
          <w:lang w:val="en-US" w:eastAsia="zh-CN"/>
        </w:rPr>
        <w:t>68.21</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项目新增设备投资</w:t>
      </w:r>
      <w:r>
        <w:rPr>
          <w:rFonts w:hint="eastAsia" w:ascii="宋体" w:hAnsi="宋体" w:eastAsia="宋体" w:cs="宋体"/>
          <w:color w:val="auto"/>
          <w:sz w:val="24"/>
          <w:szCs w:val="24"/>
          <w:lang w:val="en-US" w:eastAsia="zh-CN"/>
        </w:rPr>
        <w:t>355.90</w:t>
      </w:r>
      <w:r>
        <w:rPr>
          <w:rFonts w:hint="eastAsia" w:ascii="宋体" w:hAnsi="宋体" w:eastAsia="宋体" w:cs="宋体"/>
          <w:color w:val="auto"/>
          <w:sz w:val="24"/>
          <w:szCs w:val="24"/>
        </w:rPr>
        <w:t>万元，新增</w:t>
      </w:r>
      <w:r>
        <w:rPr>
          <w:rFonts w:hint="eastAsia" w:ascii="宋体" w:hAnsi="宋体" w:eastAsia="宋体" w:cs="宋体"/>
          <w:color w:val="auto"/>
          <w:sz w:val="24"/>
          <w:szCs w:val="24"/>
          <w:lang w:val="en-US" w:eastAsia="zh-CN"/>
        </w:rPr>
        <w:t>安装工程费用18.68万元，新增建筑</w:t>
      </w:r>
      <w:r>
        <w:rPr>
          <w:rFonts w:hint="eastAsia" w:ascii="宋体" w:hAnsi="宋体" w:eastAsia="宋体" w:cs="宋体"/>
          <w:color w:val="auto"/>
          <w:sz w:val="24"/>
          <w:szCs w:val="24"/>
        </w:rPr>
        <w:t>工程投资</w:t>
      </w:r>
      <w:r>
        <w:rPr>
          <w:rFonts w:hint="eastAsia" w:ascii="宋体" w:hAnsi="宋体" w:eastAsia="宋体" w:cs="宋体"/>
          <w:color w:val="auto"/>
          <w:sz w:val="24"/>
          <w:szCs w:val="24"/>
          <w:lang w:val="en-US" w:eastAsia="zh-CN"/>
        </w:rPr>
        <w:t>93.54</w:t>
      </w:r>
      <w:r>
        <w:rPr>
          <w:rFonts w:hint="eastAsia" w:ascii="宋体" w:hAnsi="宋体" w:eastAsia="宋体" w:cs="宋体"/>
          <w:color w:val="auto"/>
          <w:sz w:val="24"/>
          <w:szCs w:val="24"/>
        </w:rPr>
        <w:t>万元。按财政部税务总局海关总署正式颁布的《关于深化增值税改革有关政策的公告》2019年第39号文及《中华人民共和国增值税暂行条例》的规定,本工程可抵扣设备购置增值税=</w:t>
      </w:r>
      <w:r>
        <w:rPr>
          <w:rFonts w:hint="eastAsia" w:ascii="宋体" w:hAnsi="宋体" w:eastAsia="宋体" w:cs="宋体"/>
          <w:color w:val="auto"/>
          <w:sz w:val="24"/>
          <w:szCs w:val="24"/>
          <w:lang w:val="en-US" w:eastAsia="zh-CN"/>
        </w:rPr>
        <w:t>355.90</w:t>
      </w:r>
      <w:r>
        <w:rPr>
          <w:rFonts w:hint="eastAsia" w:ascii="宋体" w:hAnsi="宋体" w:eastAsia="宋体" w:cs="宋体"/>
          <w:color w:val="auto"/>
          <w:sz w:val="24"/>
          <w:szCs w:val="24"/>
        </w:rPr>
        <w:t>÷1.13×13%=</w:t>
      </w:r>
      <w:r>
        <w:rPr>
          <w:rFonts w:hint="eastAsia" w:ascii="宋体" w:hAnsi="宋体" w:eastAsia="宋体" w:cs="宋体"/>
          <w:color w:val="auto"/>
          <w:sz w:val="24"/>
          <w:szCs w:val="24"/>
          <w:lang w:val="en-US" w:eastAsia="zh-CN"/>
        </w:rPr>
        <w:t>40.94</w:t>
      </w:r>
      <w:r>
        <w:rPr>
          <w:rFonts w:hint="eastAsia" w:ascii="宋体" w:hAnsi="宋体" w:eastAsia="宋体" w:cs="宋体"/>
          <w:color w:val="auto"/>
          <w:sz w:val="24"/>
          <w:szCs w:val="24"/>
        </w:rPr>
        <w:t>万元，可抵扣建安工程增值税=</w:t>
      </w:r>
      <w:r>
        <w:rPr>
          <w:rFonts w:hint="eastAsia" w:ascii="宋体" w:hAnsi="宋体" w:eastAsia="宋体" w:cs="宋体"/>
          <w:color w:val="auto"/>
          <w:sz w:val="24"/>
          <w:szCs w:val="24"/>
          <w:lang w:val="en-US" w:eastAsia="zh-CN"/>
        </w:rPr>
        <w:t>112.22</w:t>
      </w:r>
      <w:r>
        <w:rPr>
          <w:rFonts w:hint="eastAsia" w:ascii="宋体" w:hAnsi="宋体" w:eastAsia="宋体" w:cs="宋体"/>
          <w:color w:val="auto"/>
          <w:sz w:val="24"/>
          <w:szCs w:val="24"/>
        </w:rPr>
        <w:t>÷1.09×9%=</w:t>
      </w:r>
      <w:r>
        <w:rPr>
          <w:rFonts w:hint="eastAsia" w:ascii="宋体" w:hAnsi="宋体" w:eastAsia="宋体" w:cs="宋体"/>
          <w:color w:val="auto"/>
          <w:sz w:val="24"/>
          <w:szCs w:val="24"/>
          <w:lang w:val="en-US" w:eastAsia="zh-CN"/>
        </w:rPr>
        <w:t>9.26</w:t>
      </w:r>
      <w:r>
        <w:rPr>
          <w:rFonts w:hint="eastAsia" w:ascii="宋体" w:hAnsi="宋体" w:eastAsia="宋体" w:cs="宋体"/>
          <w:color w:val="auto"/>
          <w:sz w:val="24"/>
          <w:szCs w:val="24"/>
        </w:rPr>
        <w:t>万元，抵扣在项目投产的第1年应缴增值税中进行。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2）城市维护建设税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城市维护建设税按增值税税额5％估算，正常年应纳城市维护建设税</w:t>
      </w:r>
      <w:r>
        <w:rPr>
          <w:rFonts w:hint="eastAsia" w:ascii="宋体" w:hAnsi="宋体" w:eastAsia="宋体" w:cs="宋体"/>
          <w:color w:val="auto"/>
          <w:sz w:val="24"/>
          <w:szCs w:val="24"/>
          <w:lang w:val="en-US" w:eastAsia="zh-CN"/>
        </w:rPr>
        <w:t>3.41</w:t>
      </w:r>
      <w:r>
        <w:rPr>
          <w:rFonts w:hint="eastAsia" w:ascii="宋体" w:hAnsi="宋体" w:eastAsia="宋体" w:cs="宋体"/>
          <w:color w:val="auto"/>
          <w:sz w:val="24"/>
          <w:szCs w:val="24"/>
        </w:rPr>
        <w:t>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3）教育费附加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教育费附加按增值税税额5％（含地方教育附加按增值税税额的2％）估算，正常年应纳教育费</w:t>
      </w:r>
      <w:r>
        <w:rPr>
          <w:rFonts w:hint="eastAsia" w:ascii="宋体" w:hAnsi="宋体" w:eastAsia="宋体" w:cs="宋体"/>
          <w:color w:val="auto"/>
          <w:sz w:val="24"/>
          <w:szCs w:val="24"/>
          <w:lang w:val="en-US" w:eastAsia="zh-CN"/>
        </w:rPr>
        <w:t>3.41</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（4）资源税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rPr>
        <w:t>《新疆维吾尔自治区人民代表大会常务委员会关于修改&lt;新疆维吾尔自治区人民代表大会常务委员关于自治区资源税具体适用税率、计征方式及减免税办法的决定&gt;的决定》（第31号）文件</w:t>
      </w:r>
      <w:r>
        <w:rPr>
          <w:rFonts w:hint="eastAsia" w:ascii="宋体" w:hAnsi="宋体" w:eastAsia="宋体" w:cs="宋体"/>
          <w:color w:val="auto"/>
          <w:sz w:val="24"/>
          <w:szCs w:val="24"/>
        </w:rPr>
        <w:t>，资源税应按新标准计征。本项目最终产品为</w:t>
      </w:r>
      <w:r>
        <w:rPr>
          <w:rFonts w:hint="eastAsia" w:ascii="宋体" w:hAnsi="宋体" w:eastAsia="宋体" w:cs="宋体"/>
          <w:color w:val="auto"/>
          <w:sz w:val="24"/>
          <w:szCs w:val="24"/>
          <w:lang w:val="en-US" w:eastAsia="zh-CN"/>
        </w:rPr>
        <w:t>砖瓦用页岩原矿</w:t>
      </w:r>
      <w:r>
        <w:rPr>
          <w:rFonts w:hint="eastAsia" w:ascii="宋体" w:hAnsi="宋体" w:eastAsia="宋体" w:cs="宋体"/>
          <w:color w:val="auto"/>
          <w:sz w:val="24"/>
          <w:szCs w:val="24"/>
        </w:rPr>
        <w:t>，参照资源税税目税率幅度表，资源税</w:t>
      </w:r>
      <w:r>
        <w:rPr>
          <w:rFonts w:hint="eastAsia" w:ascii="宋体" w:hAnsi="宋体" w:eastAsia="宋体" w:cs="宋体"/>
          <w:color w:val="auto"/>
          <w:sz w:val="24"/>
          <w:szCs w:val="24"/>
          <w:lang w:val="en-US" w:eastAsia="zh-CN"/>
        </w:rPr>
        <w:t>1元/m³</w:t>
      </w:r>
      <w:r>
        <w:rPr>
          <w:rFonts w:hint="eastAsia" w:ascii="宋体" w:hAnsi="宋体" w:eastAsia="宋体" w:cs="宋体"/>
          <w:color w:val="auto"/>
          <w:sz w:val="24"/>
          <w:szCs w:val="24"/>
        </w:rPr>
        <w:t>，项目正常年资源税</w:t>
      </w:r>
      <w:r>
        <w:rPr>
          <w:rFonts w:hint="eastAsia" w:ascii="宋体" w:hAnsi="宋体" w:eastAsia="宋体" w:cs="宋体"/>
          <w:color w:val="auto"/>
          <w:sz w:val="24"/>
          <w:szCs w:val="24"/>
          <w:lang w:val="en-US" w:eastAsia="zh-CN"/>
        </w:rPr>
        <w:t>20</w:t>
      </w:r>
      <w:r>
        <w:rPr>
          <w:rFonts w:hint="eastAsia" w:ascii="宋体" w:hAnsi="宋体" w:eastAsia="宋体" w:cs="宋体"/>
          <w:color w:val="auto"/>
          <w:sz w:val="24"/>
          <w:szCs w:val="24"/>
        </w:rPr>
        <w:t>万元/a。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年均销售税金及附加90.34万元。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（5）利润及利润分配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年均</w:t>
      </w:r>
      <w:r>
        <w:rPr>
          <w:rFonts w:hint="eastAsia" w:ascii="宋体" w:hAnsi="宋体" w:eastAsia="宋体" w:cs="宋体"/>
          <w:color w:val="auto"/>
          <w:sz w:val="24"/>
          <w:szCs w:val="24"/>
        </w:rPr>
        <w:t>利润总额＝</w:t>
      </w:r>
      <w:r>
        <w:rPr>
          <w:rFonts w:hint="eastAsia" w:ascii="宋体" w:hAnsi="宋体" w:eastAsia="宋体" w:cs="宋体"/>
          <w:color w:val="auto"/>
          <w:sz w:val="24"/>
          <w:szCs w:val="24"/>
          <w:lang w:val="en-US" w:eastAsia="zh-CN"/>
        </w:rPr>
        <w:t>年均</w:t>
      </w:r>
      <w:r>
        <w:rPr>
          <w:rFonts w:hint="eastAsia" w:ascii="宋体" w:hAnsi="宋体" w:eastAsia="宋体" w:cs="宋体"/>
          <w:color w:val="auto"/>
          <w:sz w:val="24"/>
          <w:szCs w:val="24"/>
        </w:rPr>
        <w:t>销售收入-</w:t>
      </w:r>
      <w:r>
        <w:rPr>
          <w:rFonts w:hint="eastAsia" w:ascii="宋体" w:hAnsi="宋体" w:eastAsia="宋体" w:cs="宋体"/>
          <w:color w:val="auto"/>
          <w:sz w:val="24"/>
          <w:szCs w:val="24"/>
          <w:lang w:val="en-US" w:eastAsia="zh-CN"/>
        </w:rPr>
        <w:t>年均</w:t>
      </w:r>
      <w:r>
        <w:rPr>
          <w:rFonts w:hint="eastAsia" w:ascii="宋体" w:hAnsi="宋体" w:eastAsia="宋体" w:cs="宋体"/>
          <w:color w:val="auto"/>
          <w:sz w:val="24"/>
          <w:szCs w:val="24"/>
        </w:rPr>
        <w:t>总成本-年</w:t>
      </w:r>
      <w:r>
        <w:rPr>
          <w:rFonts w:hint="eastAsia" w:ascii="宋体" w:hAnsi="宋体" w:eastAsia="宋体" w:cs="宋体"/>
          <w:color w:val="auto"/>
          <w:sz w:val="24"/>
          <w:szCs w:val="24"/>
          <w:lang w:val="en-US" w:eastAsia="zh-CN"/>
        </w:rPr>
        <w:t>均</w:t>
      </w:r>
      <w:r>
        <w:rPr>
          <w:rFonts w:hint="eastAsia" w:ascii="宋体" w:hAnsi="宋体" w:eastAsia="宋体" w:cs="宋体"/>
          <w:color w:val="auto"/>
          <w:sz w:val="24"/>
          <w:szCs w:val="24"/>
        </w:rPr>
        <w:t>销售税金及其他税费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680</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49</w:t>
      </w:r>
      <w:r>
        <w:rPr>
          <w:rFonts w:hint="eastAsia" w:ascii="宋体" w:hAnsi="宋体" w:cs="宋体"/>
          <w:color w:val="auto"/>
          <w:sz w:val="24"/>
          <w:szCs w:val="24"/>
          <w:lang w:val="en-US" w:eastAsia="zh-CN"/>
        </w:rPr>
        <w:t>2.17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90.34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cs="宋体"/>
          <w:color w:val="auto"/>
          <w:sz w:val="24"/>
          <w:szCs w:val="24"/>
          <w:lang w:val="en-US" w:eastAsia="zh-CN"/>
        </w:rPr>
        <w:t>7.49</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所得税＝年利润额×25％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cs="宋体"/>
          <w:color w:val="auto"/>
          <w:sz w:val="24"/>
          <w:szCs w:val="24"/>
          <w:lang w:val="en-US" w:eastAsia="zh-CN"/>
        </w:rPr>
        <w:t>7.49</w:t>
      </w:r>
      <w:r>
        <w:rPr>
          <w:rFonts w:hint="eastAsia" w:ascii="宋体" w:hAnsi="宋体" w:eastAsia="宋体" w:cs="宋体"/>
          <w:color w:val="auto"/>
          <w:sz w:val="24"/>
          <w:szCs w:val="24"/>
        </w:rPr>
        <w:t>×25％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24.</w:t>
      </w:r>
      <w:r>
        <w:rPr>
          <w:rFonts w:hint="eastAsia" w:ascii="宋体" w:hAnsi="宋体" w:cs="宋体"/>
          <w:color w:val="auto"/>
          <w:sz w:val="24"/>
          <w:szCs w:val="24"/>
          <w:lang w:val="en-US" w:eastAsia="zh-CN"/>
        </w:rPr>
        <w:t>99</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净利润＝利润总额-所得税额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9</w:t>
      </w:r>
      <w:r>
        <w:rPr>
          <w:rFonts w:hint="eastAsia" w:ascii="宋体" w:hAnsi="宋体" w:cs="宋体"/>
          <w:color w:val="auto"/>
          <w:sz w:val="24"/>
          <w:szCs w:val="24"/>
          <w:lang w:val="en-US" w:eastAsia="zh-CN"/>
        </w:rPr>
        <w:t>7.49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24.</w:t>
      </w:r>
      <w:r>
        <w:rPr>
          <w:rFonts w:hint="eastAsia" w:ascii="宋体" w:hAnsi="宋体" w:cs="宋体"/>
          <w:color w:val="auto"/>
          <w:sz w:val="24"/>
          <w:szCs w:val="24"/>
          <w:lang w:val="en-US" w:eastAsia="zh-CN"/>
        </w:rPr>
        <w:t>99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7</w:t>
      </w:r>
      <w:r>
        <w:rPr>
          <w:rFonts w:hint="eastAsia" w:ascii="宋体" w:hAnsi="宋体" w:cs="宋体"/>
          <w:color w:val="auto"/>
          <w:sz w:val="24"/>
          <w:szCs w:val="24"/>
          <w:lang w:val="en-US" w:eastAsia="zh-CN"/>
        </w:rPr>
        <w:t>2.50</w:t>
      </w:r>
      <w:r>
        <w:rPr>
          <w:rFonts w:hint="eastAsia" w:ascii="宋体" w:hAnsi="宋体" w:eastAsia="宋体" w:cs="宋体"/>
          <w:color w:val="auto"/>
          <w:sz w:val="24"/>
          <w:szCs w:val="24"/>
        </w:rPr>
        <w:t>万元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财务分析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财务盈利能力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宋体" w:hAnsi="宋体"/>
          <w:color w:val="auto"/>
          <w:sz w:val="24"/>
          <w:szCs w:val="24"/>
        </w:rPr>
      </w:pPr>
      <w:r>
        <w:rPr>
          <w:rFonts w:hint="eastAsia" w:ascii="宋体" w:hAnsi="宋体" w:eastAsia="宋体" w:cs="宋体"/>
          <w:color w:val="auto"/>
          <w:sz w:val="24"/>
          <w:szCs w:val="24"/>
        </w:rPr>
        <w:t>项目建设期</w:t>
      </w:r>
      <w:r>
        <w:rPr>
          <w:rFonts w:hint="eastAsia" w:ascii="宋体" w:hAnsi="宋体" w:eastAsia="宋体" w:cs="宋体"/>
          <w:color w:val="auto"/>
          <w:sz w:val="24"/>
          <w:szCs w:val="24"/>
          <w:lang w:val="en-US" w:eastAsia="zh-CN"/>
        </w:rPr>
        <w:t>0.5</w:t>
      </w:r>
      <w:r>
        <w:rPr>
          <w:rFonts w:hint="eastAsia" w:ascii="宋体" w:hAnsi="宋体" w:eastAsia="宋体" w:cs="宋体"/>
          <w:color w:val="auto"/>
          <w:sz w:val="24"/>
          <w:szCs w:val="24"/>
        </w:rPr>
        <w:t>年，生产期为</w:t>
      </w:r>
      <w:r>
        <w:rPr>
          <w:rFonts w:hint="eastAsia" w:ascii="宋体" w:hAnsi="宋体" w:eastAsia="宋体" w:cs="宋体"/>
          <w:color w:val="auto"/>
          <w:sz w:val="24"/>
          <w:szCs w:val="24"/>
          <w:lang w:val="en-US" w:eastAsia="zh-CN"/>
        </w:rPr>
        <w:t>27.20</w:t>
      </w:r>
      <w:r>
        <w:rPr>
          <w:rFonts w:hint="eastAsia" w:ascii="宋体" w:hAnsi="宋体" w:eastAsia="宋体" w:cs="宋体"/>
          <w:color w:val="auto"/>
          <w:sz w:val="24"/>
          <w:szCs w:val="24"/>
        </w:rPr>
        <w:t>年，经济评价计算期为</w:t>
      </w:r>
      <w:r>
        <w:rPr>
          <w:rFonts w:hint="eastAsia" w:ascii="宋体" w:hAnsi="宋体" w:eastAsia="宋体" w:cs="宋体"/>
          <w:color w:val="auto"/>
          <w:sz w:val="24"/>
          <w:szCs w:val="24"/>
          <w:lang w:val="en-US" w:eastAsia="zh-CN"/>
        </w:rPr>
        <w:t>27.70</w:t>
      </w:r>
      <w:r>
        <w:rPr>
          <w:rFonts w:hint="eastAsia" w:ascii="宋体" w:hAnsi="宋体" w:eastAsia="宋体" w:cs="宋体"/>
          <w:color w:val="auto"/>
          <w:sz w:val="24"/>
          <w:szCs w:val="24"/>
        </w:rPr>
        <w:t>年（含基建期），在项目计算年内，盈利能力指标见表6-</w:t>
      </w:r>
      <w:r>
        <w:rPr>
          <w:rFonts w:hint="eastAsia" w:ascii="宋体" w:hAnsi="宋体" w:eastAsia="宋体" w:cs="宋体"/>
          <w:color w:val="auto"/>
          <w:sz w:val="24"/>
          <w:szCs w:val="24"/>
          <w:lang w:val="en-US" w:eastAsia="zh-CN"/>
        </w:rPr>
        <w:t>1-7</w:t>
      </w:r>
      <w:r>
        <w:rPr>
          <w:rFonts w:hint="eastAsia" w:ascii="宋体" w:hAnsi="宋体" w:eastAsia="宋体" w:cs="宋体"/>
          <w:color w:val="auto"/>
          <w:sz w:val="24"/>
          <w:szCs w:val="24"/>
        </w:rPr>
        <w:t>。</w:t>
      </w:r>
    </w:p>
    <w:p>
      <w:pPr>
        <w:tabs>
          <w:tab w:val="left" w:pos="4063"/>
        </w:tabs>
        <w:spacing w:before="26"/>
        <w:jc w:val="center"/>
        <w:rPr>
          <w:rFonts w:hint="eastAsia" w:ascii="宋体" w:hAnsi="宋体" w:eastAsia="宋体" w:cs="宋体"/>
          <w:b/>
          <w:color w:val="auto"/>
          <w:sz w:val="21"/>
          <w:szCs w:val="21"/>
          <w:lang w:val="zh-CN"/>
        </w:rPr>
      </w:pPr>
      <w:r>
        <w:rPr>
          <w:rFonts w:hint="eastAsia" w:ascii="宋体" w:hAnsi="宋体" w:eastAsia="宋体" w:cs="宋体"/>
          <w:b/>
          <w:color w:val="auto"/>
          <w:sz w:val="21"/>
          <w:szCs w:val="21"/>
          <w:lang w:val="zh-CN"/>
        </w:rPr>
        <w:t>表6-</w:t>
      </w:r>
      <w:r>
        <w:rPr>
          <w:rFonts w:hint="eastAsia" w:ascii="宋体" w:hAnsi="宋体" w:eastAsia="宋体" w:cs="宋体"/>
          <w:b/>
          <w:color w:val="auto"/>
          <w:sz w:val="21"/>
          <w:szCs w:val="21"/>
          <w:lang w:val="en-US" w:eastAsia="zh-CN"/>
        </w:rPr>
        <w:t>1-7</w:t>
      </w:r>
      <w:r>
        <w:rPr>
          <w:rFonts w:hint="eastAsia" w:ascii="宋体" w:hAnsi="宋体" w:eastAsia="宋体" w:cs="宋体"/>
          <w:b/>
          <w:color w:val="auto"/>
          <w:sz w:val="21"/>
          <w:szCs w:val="21"/>
          <w:lang w:val="zh-CN"/>
        </w:rPr>
        <w:t xml:space="preserve">    盈利能力指标表</w:t>
      </w:r>
    </w:p>
    <w:tbl>
      <w:tblPr>
        <w:tblStyle w:val="53"/>
        <w:tblW w:w="91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2577"/>
        <w:gridCol w:w="1393"/>
        <w:gridCol w:w="1508"/>
        <w:gridCol w:w="1514"/>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83" w:hRule="exact"/>
        </w:trPr>
        <w:tc>
          <w:tcPr>
            <w:tcW w:w="74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指标名称</w:t>
            </w:r>
          </w:p>
        </w:tc>
        <w:tc>
          <w:tcPr>
            <w:tcW w:w="1393"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单位</w:t>
            </w:r>
          </w:p>
        </w:tc>
        <w:tc>
          <w:tcPr>
            <w:tcW w:w="3022" w:type="dxa"/>
            <w:gridSpan w:val="2"/>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指标</w:t>
            </w:r>
          </w:p>
        </w:tc>
        <w:tc>
          <w:tcPr>
            <w:tcW w:w="1420"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4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投资净利润率</w:t>
            </w:r>
          </w:p>
        </w:tc>
        <w:tc>
          <w:tcPr>
            <w:tcW w:w="1393"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3022" w:type="dxa"/>
            <w:gridSpan w:val="2"/>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8.60</w:t>
            </w:r>
          </w:p>
        </w:tc>
        <w:tc>
          <w:tcPr>
            <w:tcW w:w="1420"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4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总投资收益率</w:t>
            </w:r>
          </w:p>
        </w:tc>
        <w:tc>
          <w:tcPr>
            <w:tcW w:w="1393"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3022" w:type="dxa"/>
            <w:gridSpan w:val="2"/>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cs="宋体"/>
                <w:b w:val="0"/>
                <w:bCs w:val="0"/>
                <w:color w:val="auto"/>
                <w:sz w:val="21"/>
                <w:szCs w:val="21"/>
                <w:lang w:val="en-US" w:eastAsia="zh-CN"/>
              </w:rPr>
              <w:t>1.56</w:t>
            </w:r>
          </w:p>
        </w:tc>
        <w:tc>
          <w:tcPr>
            <w:tcW w:w="1420"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47" w:type="dxa"/>
            <w:vMerge w:val="restart"/>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融资前</w:t>
            </w:r>
          </w:p>
        </w:tc>
        <w:tc>
          <w:tcPr>
            <w:tcW w:w="1393" w:type="dxa"/>
            <w:vMerge w:val="restart"/>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508" w:type="dxa"/>
            <w:vMerge w:val="restart"/>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w:t>
            </w:r>
          </w:p>
        </w:tc>
        <w:tc>
          <w:tcPr>
            <w:tcW w:w="1514" w:type="dxa"/>
            <w:vMerge w:val="restart"/>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w:t>
            </w:r>
          </w:p>
        </w:tc>
        <w:tc>
          <w:tcPr>
            <w:tcW w:w="1420" w:type="dxa"/>
            <w:vMerge w:val="restart"/>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47" w:type="dxa"/>
            <w:vMerge w:val="continue"/>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（全部投资）</w:t>
            </w:r>
          </w:p>
        </w:tc>
        <w:tc>
          <w:tcPr>
            <w:tcW w:w="1393" w:type="dxa"/>
            <w:vMerge w:val="continue"/>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508" w:type="dxa"/>
            <w:vMerge w:val="continue"/>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514" w:type="dxa"/>
            <w:vMerge w:val="continue"/>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420" w:type="dxa"/>
            <w:vMerge w:val="continue"/>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4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财务内部收益率</w:t>
            </w:r>
          </w:p>
        </w:tc>
        <w:tc>
          <w:tcPr>
            <w:tcW w:w="1393"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1508"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12.15</w:t>
            </w:r>
          </w:p>
        </w:tc>
        <w:tc>
          <w:tcPr>
            <w:tcW w:w="1514"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16.10</w:t>
            </w:r>
          </w:p>
        </w:tc>
        <w:tc>
          <w:tcPr>
            <w:tcW w:w="1420"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4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财务净现值（Ic=10%）</w:t>
            </w:r>
          </w:p>
        </w:tc>
        <w:tc>
          <w:tcPr>
            <w:tcW w:w="1393"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1508"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113.54</w:t>
            </w:r>
          </w:p>
        </w:tc>
        <w:tc>
          <w:tcPr>
            <w:tcW w:w="1514"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332.39</w:t>
            </w:r>
          </w:p>
        </w:tc>
        <w:tc>
          <w:tcPr>
            <w:tcW w:w="1420"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exact"/>
        </w:trPr>
        <w:tc>
          <w:tcPr>
            <w:tcW w:w="74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577"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投资回收期</w:t>
            </w:r>
          </w:p>
        </w:tc>
        <w:tc>
          <w:tcPr>
            <w:tcW w:w="1393"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w:t>
            </w:r>
          </w:p>
        </w:tc>
        <w:tc>
          <w:tcPr>
            <w:tcW w:w="1508"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7.73</w:t>
            </w:r>
          </w:p>
        </w:tc>
        <w:tc>
          <w:tcPr>
            <w:tcW w:w="1514"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cs="宋体"/>
                <w:b w:val="0"/>
                <w:bCs w:val="0"/>
                <w:color w:val="auto"/>
                <w:sz w:val="21"/>
                <w:szCs w:val="21"/>
                <w:lang w:val="en-US" w:eastAsia="zh-CN"/>
              </w:rPr>
              <w:t>6.52</w:t>
            </w:r>
          </w:p>
        </w:tc>
        <w:tc>
          <w:tcPr>
            <w:tcW w:w="1420" w:type="dxa"/>
            <w:tcBorders>
              <w:tl2br w:val="nil"/>
              <w:tr2bl w:val="nil"/>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财务生存能力分析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财务生存能力是通过对项目计算期内资金运作情况的分析，考察项目营运期间的现金流量情况，通过《财务计划现金流量估算表》的估算，项目在营运期内资金平衡有余，经营期各年累计净现金流未出现负值，在估算期内总累计盈余资金为</w:t>
      </w:r>
      <w:r>
        <w:rPr>
          <w:rFonts w:hint="eastAsia" w:ascii="宋体" w:hAnsi="宋体" w:eastAsia="宋体" w:cs="宋体"/>
          <w:color w:val="auto"/>
          <w:sz w:val="24"/>
          <w:szCs w:val="24"/>
          <w:lang w:val="en-US" w:eastAsia="zh-CN"/>
        </w:rPr>
        <w:t>24</w:t>
      </w:r>
      <w:r>
        <w:rPr>
          <w:rFonts w:hint="eastAsia" w:ascii="宋体" w:hAnsi="宋体" w:cs="宋体"/>
          <w:color w:val="auto"/>
          <w:sz w:val="24"/>
          <w:szCs w:val="24"/>
          <w:lang w:val="en-US" w:eastAsia="zh-CN"/>
        </w:rPr>
        <w:t>80.84</w:t>
      </w:r>
      <w:r>
        <w:rPr>
          <w:rFonts w:hint="eastAsia" w:ascii="宋体" w:hAnsi="宋体" w:eastAsia="宋体" w:cs="宋体"/>
          <w:color w:val="auto"/>
          <w:sz w:val="24"/>
          <w:szCs w:val="24"/>
        </w:rPr>
        <w:t>万元，是投入的目的净现金流能维持项目的正常运营。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资产负债分析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资产负债分析结果表明，由于全部建设资金为企业自有，故项目负债基本为内部负债，项目资产负债率＜</w:t>
      </w:r>
      <w:r>
        <w:rPr>
          <w:rFonts w:hint="eastAsia" w:ascii="宋体" w:hAnsi="宋体" w:eastAsia="宋体" w:cs="宋体"/>
          <w:color w:val="auto"/>
          <w:sz w:val="24"/>
          <w:szCs w:val="24"/>
          <w:lang w:val="en-US" w:eastAsia="zh-CN"/>
        </w:rPr>
        <w:t>70</w:t>
      </w:r>
      <w:r>
        <w:rPr>
          <w:rFonts w:hint="eastAsia" w:ascii="宋体" w:hAnsi="宋体" w:eastAsia="宋体" w:cs="宋体"/>
          <w:color w:val="auto"/>
          <w:sz w:val="24"/>
          <w:szCs w:val="24"/>
        </w:rPr>
        <w:t>%。项目资金的流动比率和速动比率均为大于“1”的值，说明项目有快速偿清流动负债的能力</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9、不确定分析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（1）盈亏平衡分析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val="en-US"/>
        </w:rPr>
      </w:pPr>
      <w:r>
        <w:rPr>
          <w:rFonts w:hint="eastAsia" w:ascii="宋体" w:hAnsi="宋体" w:eastAsia="宋体" w:cs="宋体"/>
          <w:color w:val="auto"/>
          <w:sz w:val="24"/>
          <w:szCs w:val="24"/>
        </w:rPr>
        <w:t>项目生产期平均销售收入、固定成本、可变成本、销售税金及附加数据如表6-</w:t>
      </w:r>
      <w:r>
        <w:rPr>
          <w:rFonts w:hint="eastAsia" w:ascii="宋体" w:hAnsi="宋体" w:eastAsia="宋体" w:cs="宋体"/>
          <w:color w:val="auto"/>
          <w:sz w:val="24"/>
          <w:szCs w:val="24"/>
          <w:lang w:val="en-US" w:eastAsia="zh-CN"/>
        </w:rPr>
        <w:t>1-8。</w:t>
      </w:r>
    </w:p>
    <w:p>
      <w:pPr>
        <w:tabs>
          <w:tab w:val="left" w:pos="4063"/>
        </w:tabs>
        <w:spacing w:before="26"/>
        <w:jc w:val="center"/>
        <w:rPr>
          <w:rFonts w:hint="eastAsia" w:ascii="宋体" w:hAnsi="宋体" w:eastAsia="宋体" w:cs="宋体"/>
          <w:b/>
          <w:color w:val="auto"/>
          <w:sz w:val="21"/>
          <w:szCs w:val="21"/>
          <w:lang w:val="zh-CN"/>
        </w:rPr>
      </w:pPr>
      <w:r>
        <w:rPr>
          <w:rFonts w:hint="eastAsia" w:ascii="宋体" w:hAnsi="宋体" w:eastAsia="宋体" w:cs="宋体"/>
          <w:b/>
          <w:color w:val="auto"/>
          <w:sz w:val="21"/>
          <w:szCs w:val="21"/>
          <w:lang w:val="zh-CN"/>
        </w:rPr>
        <w:t>表6-</w:t>
      </w:r>
      <w:r>
        <w:rPr>
          <w:rFonts w:hint="eastAsia" w:ascii="宋体" w:hAnsi="宋体" w:eastAsia="宋体" w:cs="宋体"/>
          <w:b/>
          <w:color w:val="auto"/>
          <w:sz w:val="21"/>
          <w:szCs w:val="21"/>
          <w:lang w:val="en-US" w:eastAsia="zh-CN"/>
        </w:rPr>
        <w:t>1-8</w:t>
      </w:r>
      <w:r>
        <w:rPr>
          <w:rFonts w:hint="eastAsia" w:ascii="宋体" w:hAnsi="宋体" w:eastAsia="宋体" w:cs="宋体"/>
          <w:b/>
          <w:color w:val="auto"/>
          <w:sz w:val="21"/>
          <w:szCs w:val="21"/>
          <w:lang w:val="zh-CN"/>
        </w:rPr>
        <w:t xml:space="preserve">   生产期基础数据</w:t>
      </w:r>
    </w:p>
    <w:tbl>
      <w:tblPr>
        <w:tblStyle w:val="53"/>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834"/>
        <w:gridCol w:w="1265"/>
        <w:gridCol w:w="1265"/>
        <w:gridCol w:w="2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2834"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项      目</w:t>
            </w:r>
          </w:p>
        </w:tc>
        <w:tc>
          <w:tcPr>
            <w:tcW w:w="1265"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  位</w:t>
            </w:r>
          </w:p>
        </w:tc>
        <w:tc>
          <w:tcPr>
            <w:tcW w:w="1265"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数  值</w:t>
            </w:r>
          </w:p>
        </w:tc>
        <w:tc>
          <w:tcPr>
            <w:tcW w:w="2207"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834"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年销售收入</w:t>
            </w:r>
          </w:p>
        </w:tc>
        <w:tc>
          <w:tcPr>
            <w:tcW w:w="1265"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1265" w:type="dxa"/>
            <w:tcBorders>
              <w:top w:val="single" w:color="auto" w:sz="4" w:space="0"/>
              <w:left w:val="single" w:color="auto" w:sz="4" w:space="0"/>
              <w:bottom w:val="single" w:color="auto" w:sz="4" w:space="0"/>
              <w:right w:val="single" w:color="auto" w:sz="4" w:space="0"/>
            </w:tcBorders>
            <w:noWrap/>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680.00</w:t>
            </w:r>
          </w:p>
        </w:tc>
        <w:tc>
          <w:tcPr>
            <w:tcW w:w="2207"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生产期平均值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834"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年固定成本</w:t>
            </w:r>
          </w:p>
        </w:tc>
        <w:tc>
          <w:tcPr>
            <w:tcW w:w="1265"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1265" w:type="dxa"/>
            <w:tcBorders>
              <w:top w:val="single" w:color="auto" w:sz="4" w:space="0"/>
              <w:left w:val="single" w:color="auto" w:sz="4" w:space="0"/>
              <w:bottom w:val="single" w:color="auto" w:sz="4" w:space="0"/>
              <w:right w:val="single" w:color="auto" w:sz="4" w:space="0"/>
            </w:tcBorders>
            <w:noWrap/>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394.34</w:t>
            </w:r>
          </w:p>
        </w:tc>
        <w:tc>
          <w:tcPr>
            <w:tcW w:w="2207"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生产期平均值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834"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年可变成本</w:t>
            </w:r>
          </w:p>
        </w:tc>
        <w:tc>
          <w:tcPr>
            <w:tcW w:w="1265"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1265" w:type="dxa"/>
            <w:tcBorders>
              <w:top w:val="single" w:color="auto" w:sz="4" w:space="0"/>
              <w:left w:val="single" w:color="auto" w:sz="4" w:space="0"/>
              <w:bottom w:val="single" w:color="auto" w:sz="4" w:space="0"/>
              <w:right w:val="single" w:color="auto" w:sz="4" w:space="0"/>
            </w:tcBorders>
            <w:noWrap/>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97.83</w:t>
            </w:r>
          </w:p>
        </w:tc>
        <w:tc>
          <w:tcPr>
            <w:tcW w:w="2207"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生产期平均值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834"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年销售税金及附加</w:t>
            </w:r>
          </w:p>
        </w:tc>
        <w:tc>
          <w:tcPr>
            <w:tcW w:w="1265"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1265" w:type="dxa"/>
            <w:tcBorders>
              <w:top w:val="single" w:color="auto" w:sz="4" w:space="0"/>
              <w:left w:val="single" w:color="auto" w:sz="4" w:space="0"/>
              <w:bottom w:val="single" w:color="auto" w:sz="4" w:space="0"/>
              <w:right w:val="single" w:color="auto" w:sz="4" w:space="0"/>
            </w:tcBorders>
            <w:noWrap/>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90.34</w:t>
            </w:r>
          </w:p>
        </w:tc>
        <w:tc>
          <w:tcPr>
            <w:tcW w:w="2207" w:type="dxa"/>
            <w:tcBorders>
              <w:top w:val="single" w:color="auto" w:sz="4" w:space="0"/>
              <w:left w:val="single" w:color="auto" w:sz="4" w:space="0"/>
              <w:bottom w:val="single" w:color="auto" w:sz="4" w:space="0"/>
              <w:right w:val="single" w:color="auto" w:sz="4" w:space="0"/>
            </w:tcBorders>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生产期平均值</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根据销售收入、固定成本、可变成本、销售税金及附加等数据计算的以生产能力利用率表示的盈亏平衡点（BEP），其计算如下公式：</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固定成本</w:t>
      </w:r>
    </w:p>
    <w:p>
      <w:pPr>
        <w:adjustRightInd w:val="0"/>
        <w:snapToGrid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 BEP = ────────────────────×100%</w:t>
      </w:r>
    </w:p>
    <w:p>
      <w:pPr>
        <w:adjustRightInd w:val="0"/>
        <w:snapToGrid w:val="0"/>
        <w:spacing w:line="360" w:lineRule="auto"/>
        <w:ind w:firstLine="1440" w:firstLineChars="600"/>
        <w:rPr>
          <w:rFonts w:hint="eastAsia" w:ascii="宋体" w:hAnsi="宋体" w:eastAsia="宋体" w:cs="宋体"/>
          <w:color w:val="auto"/>
          <w:sz w:val="24"/>
          <w:szCs w:val="24"/>
        </w:rPr>
      </w:pPr>
      <w:r>
        <w:rPr>
          <w:rFonts w:hint="eastAsia" w:ascii="宋体" w:hAnsi="宋体" w:eastAsia="宋体" w:cs="宋体"/>
          <w:color w:val="auto"/>
          <w:sz w:val="24"/>
          <w:szCs w:val="24"/>
        </w:rPr>
        <w:t>年销售收入 - 销售税金及附加 - 可变成本</w:t>
      </w:r>
    </w:p>
    <w:p>
      <w:pPr>
        <w:adjustRightInd w:val="0"/>
        <w:snapToGrid w:val="0"/>
        <w:spacing w:line="360" w:lineRule="auto"/>
        <w:ind w:firstLine="480" w:firstLineChars="200"/>
        <w:rPr>
          <w:rFonts w:ascii="宋体" w:hAnsi="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80.</w:t>
      </w:r>
      <w:r>
        <w:rPr>
          <w:rFonts w:hint="eastAsia" w:ascii="宋体" w:hAnsi="宋体" w:cs="宋体"/>
          <w:color w:val="auto"/>
          <w:sz w:val="24"/>
          <w:szCs w:val="24"/>
          <w:lang w:val="en-US" w:eastAsia="zh-CN"/>
        </w:rPr>
        <w:t>18</w:t>
      </w:r>
      <w:r>
        <w:rPr>
          <w:rFonts w:hint="eastAsia" w:ascii="宋体" w:hAnsi="宋体" w:eastAsia="宋体" w:cs="宋体"/>
          <w:color w:val="auto"/>
          <w:sz w:val="24"/>
          <w:szCs w:val="24"/>
        </w:rPr>
        <w:t>%</w:t>
      </w:r>
      <w:r>
        <w:rPr>
          <w:rFonts w:ascii="宋体" w:hAnsi="宋体"/>
          <w:color w:val="auto"/>
          <w:sz w:val="24"/>
          <w:szCs w:val="24"/>
        </w:rPr>
        <w:drawing>
          <wp:inline distT="0" distB="0" distL="114300" distR="114300">
            <wp:extent cx="5391150" cy="2592705"/>
            <wp:effectExtent l="4445" t="4445" r="14605" b="1270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adjustRightInd w:val="0"/>
        <w:snapToGrid w:val="0"/>
        <w:spacing w:line="360" w:lineRule="auto"/>
        <w:jc w:val="center"/>
        <w:rPr>
          <w:rFonts w:ascii="宋体" w:hAnsi="宋体"/>
          <w:color w:val="auto"/>
          <w:sz w:val="24"/>
          <w:szCs w:val="24"/>
        </w:rPr>
      </w:pPr>
      <w:r>
        <w:rPr>
          <w:rFonts w:ascii="宋体" w:hAnsi="宋体"/>
          <w:color w:val="auto"/>
          <w:sz w:val="24"/>
          <w:szCs w:val="24"/>
        </w:rPr>
        <w:t>BEP（生产能力利用率）=</w:t>
      </w:r>
      <w:r>
        <w:rPr>
          <w:rFonts w:hint="eastAsia" w:ascii="宋体" w:hAnsi="宋体"/>
          <w:color w:val="auto"/>
          <w:sz w:val="24"/>
          <w:szCs w:val="24"/>
          <w:lang w:val="en-US" w:eastAsia="zh-CN"/>
        </w:rPr>
        <w:t>80.18</w:t>
      </w:r>
      <w:r>
        <w:rPr>
          <w:rFonts w:ascii="宋体" w:hAnsi="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通过上述计算，当项目生产能力利用率达到设计生产能力的</w:t>
      </w:r>
      <w:r>
        <w:rPr>
          <w:rFonts w:hint="eastAsia" w:ascii="宋体" w:hAnsi="宋体" w:eastAsia="宋体" w:cs="宋体"/>
          <w:color w:val="auto"/>
          <w:sz w:val="24"/>
          <w:szCs w:val="24"/>
          <w:lang w:val="en-US" w:eastAsia="zh-CN"/>
        </w:rPr>
        <w:t>80.</w:t>
      </w:r>
      <w:r>
        <w:rPr>
          <w:rFonts w:hint="eastAsia" w:ascii="宋体" w:hAnsi="宋体" w:cs="宋体"/>
          <w:color w:val="auto"/>
          <w:sz w:val="24"/>
          <w:szCs w:val="24"/>
          <w:lang w:val="en-US" w:eastAsia="zh-CN"/>
        </w:rPr>
        <w:t>18</w:t>
      </w:r>
      <w:r>
        <w:rPr>
          <w:rFonts w:hint="eastAsia" w:ascii="宋体" w:hAnsi="宋体" w:eastAsia="宋体" w:cs="宋体"/>
          <w:color w:val="auto"/>
          <w:sz w:val="24"/>
          <w:szCs w:val="24"/>
        </w:rPr>
        <w:t>%时，项目即可达到盈亏平衡。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（2）单因素敏感性分析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将项目销售收入、经营成本和建设投资的变动作为敏感因素，分析各单因素变化对项目经济效益的影响，分析计算结果见表6-</w:t>
      </w:r>
      <w:r>
        <w:rPr>
          <w:rFonts w:hint="eastAsia" w:ascii="宋体" w:hAnsi="宋体" w:eastAsia="宋体" w:cs="宋体"/>
          <w:color w:val="auto"/>
          <w:sz w:val="24"/>
          <w:szCs w:val="24"/>
          <w:lang w:val="en-US" w:eastAsia="zh-CN"/>
        </w:rPr>
        <w:t>1-9</w:t>
      </w:r>
      <w:r>
        <w:rPr>
          <w:rFonts w:hint="eastAsia" w:ascii="宋体" w:hAnsi="宋体" w:eastAsia="宋体" w:cs="宋体"/>
          <w:color w:val="auto"/>
          <w:sz w:val="24"/>
          <w:szCs w:val="24"/>
        </w:rPr>
        <w:t>和6</w:t>
      </w:r>
      <w:r>
        <w:rPr>
          <w:rFonts w:hint="eastAsia" w:ascii="宋体" w:hAnsi="宋体" w:eastAsia="宋体" w:cs="宋体"/>
          <w:color w:val="auto"/>
          <w:sz w:val="24"/>
          <w:szCs w:val="24"/>
          <w:lang w:val="en-US" w:eastAsia="zh-CN"/>
        </w:rPr>
        <w:t>-1-10</w:t>
      </w:r>
      <w:r>
        <w:rPr>
          <w:rFonts w:hint="eastAsia" w:ascii="宋体" w:hAnsi="宋体" w:eastAsia="宋体" w:cs="宋体"/>
          <w:color w:val="auto"/>
          <w:sz w:val="24"/>
          <w:szCs w:val="24"/>
        </w:rPr>
        <w:t>。</w:t>
      </w:r>
    </w:p>
    <w:p>
      <w:pPr>
        <w:tabs>
          <w:tab w:val="left" w:pos="4063"/>
        </w:tabs>
        <w:spacing w:before="26"/>
        <w:jc w:val="center"/>
        <w:rPr>
          <w:rFonts w:hint="eastAsia" w:ascii="宋体" w:hAnsi="宋体" w:eastAsia="宋体" w:cs="宋体"/>
          <w:b/>
          <w:color w:val="auto"/>
          <w:sz w:val="21"/>
          <w:szCs w:val="21"/>
          <w:lang w:val="zh-CN"/>
        </w:rPr>
      </w:pPr>
    </w:p>
    <w:p>
      <w:pPr>
        <w:tabs>
          <w:tab w:val="left" w:pos="4063"/>
        </w:tabs>
        <w:spacing w:before="26"/>
        <w:jc w:val="center"/>
        <w:rPr>
          <w:rFonts w:hint="eastAsia" w:ascii="宋体" w:hAnsi="宋体" w:eastAsia="宋体" w:cs="宋体"/>
          <w:b/>
          <w:color w:val="auto"/>
          <w:sz w:val="21"/>
          <w:szCs w:val="21"/>
          <w:lang w:val="zh-CN"/>
        </w:rPr>
      </w:pPr>
    </w:p>
    <w:p>
      <w:pPr>
        <w:tabs>
          <w:tab w:val="left" w:pos="4063"/>
        </w:tabs>
        <w:spacing w:before="26"/>
        <w:jc w:val="center"/>
        <w:rPr>
          <w:rFonts w:hint="eastAsia" w:ascii="宋体" w:hAnsi="宋体" w:eastAsia="宋体" w:cs="宋体"/>
          <w:b/>
          <w:color w:val="auto"/>
          <w:sz w:val="21"/>
          <w:szCs w:val="21"/>
          <w:lang w:val="zh-CN"/>
        </w:rPr>
      </w:pPr>
    </w:p>
    <w:p>
      <w:pPr>
        <w:tabs>
          <w:tab w:val="left" w:pos="4063"/>
        </w:tabs>
        <w:spacing w:before="26"/>
        <w:jc w:val="center"/>
        <w:rPr>
          <w:rFonts w:hint="eastAsia" w:ascii="宋体" w:hAnsi="宋体" w:eastAsia="宋体" w:cs="宋体"/>
          <w:b/>
          <w:color w:val="auto"/>
          <w:sz w:val="21"/>
          <w:szCs w:val="21"/>
          <w:lang w:val="zh-CN"/>
        </w:rPr>
      </w:pPr>
      <w:r>
        <w:rPr>
          <w:rFonts w:hint="eastAsia" w:ascii="宋体" w:hAnsi="宋体" w:eastAsia="宋体" w:cs="宋体"/>
          <w:b/>
          <w:color w:val="auto"/>
          <w:sz w:val="21"/>
          <w:szCs w:val="21"/>
          <w:lang w:val="zh-CN"/>
        </w:rPr>
        <w:t>表6-</w:t>
      </w:r>
      <w:r>
        <w:rPr>
          <w:rFonts w:hint="eastAsia" w:ascii="宋体" w:hAnsi="宋体" w:eastAsia="宋体" w:cs="宋体"/>
          <w:b/>
          <w:color w:val="auto"/>
          <w:sz w:val="21"/>
          <w:szCs w:val="21"/>
          <w:lang w:val="en-US" w:eastAsia="zh-CN"/>
        </w:rPr>
        <w:t>1-9</w:t>
      </w:r>
      <w:r>
        <w:rPr>
          <w:rFonts w:hint="eastAsia" w:ascii="宋体" w:hAnsi="宋体" w:eastAsia="宋体" w:cs="宋体"/>
          <w:b/>
          <w:color w:val="auto"/>
          <w:sz w:val="21"/>
          <w:szCs w:val="21"/>
          <w:lang w:val="zh-CN"/>
        </w:rPr>
        <w:t xml:space="preserve">  单因素敏感性分析表</w:t>
      </w:r>
    </w:p>
    <w:tbl>
      <w:tblPr>
        <w:tblStyle w:val="53"/>
        <w:tblW w:w="9101" w:type="dxa"/>
        <w:tblInd w:w="0" w:type="dxa"/>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009"/>
        <w:gridCol w:w="1010"/>
        <w:gridCol w:w="1740"/>
        <w:gridCol w:w="2105"/>
        <w:gridCol w:w="1740"/>
        <w:gridCol w:w="1497"/>
      </w:tblGrid>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blHeader/>
        </w:trPr>
        <w:tc>
          <w:tcPr>
            <w:tcW w:w="1009" w:type="dxa"/>
            <w:vMerge w:val="restart"/>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敏感因素</w:t>
            </w:r>
          </w:p>
        </w:tc>
        <w:tc>
          <w:tcPr>
            <w:tcW w:w="1010" w:type="dxa"/>
            <w:vMerge w:val="restart"/>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变化系数</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财务内部收益率</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投资回收期(税后）</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总投资净利润率</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总投资收益率</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blHeader/>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p>
        </w:tc>
        <w:tc>
          <w:tcPr>
            <w:tcW w:w="1010"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（年）</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基本方案</w:t>
            </w: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8.60 </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restart"/>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w:t>
            </w: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0.91</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7.81</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4.05</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8.81</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14.62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4.55</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9.79</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13.87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5.06</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10.74</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12.31</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5.56</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7.53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12.58</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11.08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6.57</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8.87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14.37</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8.28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7.58</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10.21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8.60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17.81</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7.27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9.60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12.90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19.48</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6.86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10.62</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21.13</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6.50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11.62</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15.59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22.75</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6.18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12.63</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16.93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1.09</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23.56</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6.04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13.14</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17.60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0.9322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13.97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5.17</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基本方案</w:t>
            </w: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8.60 </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restart"/>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0.88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24.12</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5.88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12.86</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17.22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22.81</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6.11</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12.14</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16.27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21.50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6.37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11.43</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15.32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20.17</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6.66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10.72</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14.38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18.83</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6.98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10.01</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13.44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17.48</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7.33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9.30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12.50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8.60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14.71</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8.19</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7.89</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10.62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13.29</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11.29</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7.19</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9.69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11.85</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12.70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6.49</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8.76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11.11</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6.13</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8.29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10.36</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5.79</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1.0847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13.82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5.62</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7.61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基本方案</w:t>
            </w: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8.60 </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restart"/>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建设投资</w:t>
            </w: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0.88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18.66</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6.94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9.66</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13.00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18.19</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9.47</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12.73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17.73</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7.20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9.28</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17.30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7.33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9.10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12.23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16.89</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7.47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8.92</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12.00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0.98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16.49</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7.60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8.76</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8.60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1.02</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15.74</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7.87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8.44</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11.35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1.04</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15.38</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8.00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8.29</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11.15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15.04</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8.13</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8.14</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10.95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1.08</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14.71</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8.27</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8.00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10.76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14.39</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8.40</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7.87</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10.58 </w:t>
            </w:r>
          </w:p>
        </w:tc>
      </w:tr>
      <w:tr>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Ex>
        <w:trPr>
          <w:trHeight w:val="295" w:hRule="exact"/>
        </w:trPr>
        <w:tc>
          <w:tcPr>
            <w:tcW w:w="1009" w:type="dxa"/>
            <w:vMerge w:val="continue"/>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1.4700 </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10.00</w:t>
            </w:r>
          </w:p>
        </w:tc>
        <w:tc>
          <w:tcPr>
            <w:tcW w:w="2105"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13.86</w:t>
            </w:r>
          </w:p>
        </w:tc>
        <w:tc>
          <w:tcPr>
            <w:tcW w:w="1740"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6.00</w:t>
            </w:r>
          </w:p>
        </w:tc>
        <w:tc>
          <w:tcPr>
            <w:tcW w:w="1497" w:type="dxa"/>
            <w:tcBorders>
              <w:top w:val="single" w:color="000000" w:sz="4" w:space="0"/>
              <w:left w:val="single" w:color="000000" w:sz="4" w:space="0"/>
              <w:bottom w:val="single" w:color="000000" w:sz="8" w:space="0"/>
              <w:right w:val="single" w:color="000000" w:sz="4"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8.06 </w:t>
            </w:r>
          </w:p>
        </w:tc>
      </w:tr>
    </w:tbl>
    <w:p>
      <w:pPr>
        <w:tabs>
          <w:tab w:val="left" w:pos="4063"/>
        </w:tabs>
        <w:spacing w:before="26"/>
        <w:jc w:val="center"/>
        <w:rPr>
          <w:rFonts w:hint="eastAsia" w:ascii="宋体" w:hAnsi="宋体" w:eastAsia="宋体" w:cs="宋体"/>
          <w:b/>
          <w:color w:val="auto"/>
          <w:sz w:val="21"/>
          <w:szCs w:val="21"/>
          <w:lang w:val="zh-CN"/>
        </w:rPr>
      </w:pPr>
    </w:p>
    <w:p>
      <w:pPr>
        <w:tabs>
          <w:tab w:val="left" w:pos="4063"/>
        </w:tabs>
        <w:spacing w:before="26"/>
        <w:jc w:val="center"/>
        <w:rPr>
          <w:rFonts w:hint="eastAsia" w:ascii="宋体" w:hAnsi="宋体" w:eastAsia="宋体" w:cs="宋体"/>
          <w:b/>
          <w:color w:val="auto"/>
          <w:sz w:val="21"/>
          <w:szCs w:val="21"/>
          <w:lang w:val="zh-CN"/>
        </w:rPr>
      </w:pPr>
      <w:r>
        <w:rPr>
          <w:rFonts w:hint="eastAsia" w:ascii="宋体" w:hAnsi="宋体" w:eastAsia="宋体" w:cs="宋体"/>
          <w:b/>
          <w:color w:val="auto"/>
          <w:sz w:val="21"/>
          <w:szCs w:val="21"/>
          <w:lang w:val="zh-CN"/>
        </w:rPr>
        <w:t>表6-</w:t>
      </w:r>
      <w:r>
        <w:rPr>
          <w:rFonts w:hint="eastAsia" w:ascii="宋体" w:hAnsi="宋体" w:eastAsia="宋体" w:cs="宋体"/>
          <w:b/>
          <w:color w:val="auto"/>
          <w:sz w:val="21"/>
          <w:szCs w:val="21"/>
          <w:lang w:val="en-US" w:eastAsia="zh-CN"/>
        </w:rPr>
        <w:t>1-10</w:t>
      </w:r>
      <w:r>
        <w:rPr>
          <w:rFonts w:hint="eastAsia" w:ascii="宋体" w:hAnsi="宋体" w:eastAsia="宋体" w:cs="宋体"/>
          <w:b/>
          <w:color w:val="auto"/>
          <w:sz w:val="21"/>
          <w:szCs w:val="21"/>
          <w:lang w:val="zh-CN"/>
        </w:rPr>
        <w:t xml:space="preserve">   项目敏感性分析预测表</w:t>
      </w:r>
    </w:p>
    <w:tbl>
      <w:tblPr>
        <w:tblStyle w:val="53"/>
        <w:tblW w:w="91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4"/>
        <w:gridCol w:w="1317"/>
        <w:gridCol w:w="1009"/>
        <w:gridCol w:w="1407"/>
        <w:gridCol w:w="1015"/>
        <w:gridCol w:w="916"/>
        <w:gridCol w:w="1211"/>
        <w:gridCol w:w="180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blHeader/>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评价因素名称</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变化系数</w:t>
            </w: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财务内部收益率(%)</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敏感度系数</w:t>
            </w: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临界点(%)</w:t>
            </w: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临界值(万元)</w:t>
            </w: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允许增减值（万元）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基础方案</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-4.00</w:t>
            </w: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12.58</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-2.19</w:t>
            </w: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-6.78 </w:t>
            </w: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633.9</w:t>
            </w: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5" w:hRule="atLeast"/>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680万元</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4.00</w:t>
            </w: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19.48</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-4.00</w:t>
            </w: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18.83</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8.47 </w:t>
            </w: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489.31</w:t>
            </w: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38.21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451.1万元</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4.00</w:t>
            </w: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13.29</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-1.75</w:t>
            </w: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建设投资</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-4.00</w:t>
            </w: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16.89</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0.49</w:t>
            </w: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47.00 </w:t>
            </w: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1143.29</w:t>
            </w: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365.54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0" w:hRule="atLeast"/>
        </w:trPr>
        <w:tc>
          <w:tcPr>
            <w:tcW w:w="424"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31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777.75万元</w:t>
            </w:r>
          </w:p>
        </w:tc>
        <w:tc>
          <w:tcPr>
            <w:tcW w:w="1009"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4.00</w:t>
            </w:r>
          </w:p>
        </w:tc>
        <w:tc>
          <w:tcPr>
            <w:tcW w:w="1407"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15.38</w:t>
            </w:r>
          </w:p>
        </w:tc>
        <w:tc>
          <w:tcPr>
            <w:tcW w:w="1015"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-0.45</w:t>
            </w:r>
          </w:p>
        </w:tc>
        <w:tc>
          <w:tcPr>
            <w:tcW w:w="916"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1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8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adjustRightInd w:val="0"/>
        <w:snapToGrid w:val="0"/>
        <w:spacing w:line="360" w:lineRule="auto"/>
        <w:ind w:firstLine="480" w:firstLineChars="200"/>
        <w:rPr>
          <w:rFonts w:ascii="宋体" w:hAnsi="宋体"/>
          <w:color w:val="auto"/>
          <w:sz w:val="24"/>
          <w:szCs w:val="24"/>
        </w:rPr>
      </w:pPr>
    </w:p>
    <w:p>
      <w:pPr>
        <w:adjustRightInd w:val="0"/>
        <w:snapToGrid w:val="0"/>
        <w:spacing w:line="360" w:lineRule="auto"/>
        <w:ind w:firstLine="480" w:firstLineChars="200"/>
        <w:jc w:val="center"/>
        <w:rPr>
          <w:rFonts w:ascii="宋体" w:hAnsi="宋体"/>
          <w:color w:val="auto"/>
          <w:sz w:val="24"/>
          <w:szCs w:val="24"/>
        </w:rPr>
      </w:pPr>
      <w:r>
        <w:rPr>
          <w:rFonts w:ascii="宋体" w:hAnsi="宋体"/>
          <w:color w:val="auto"/>
          <w:sz w:val="24"/>
          <w:szCs w:val="24"/>
        </w:rPr>
        <w:object>
          <v:shape id="_x0000_i1025" o:spt="75" type="#_x0000_t75" style="height:201.8pt;width:376.2pt;" o:ole="t" filled="f" o:preferrelative="t" stroked="f" coordsize="21600,21600" o:gfxdata="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">
            <v:path/>
            <v:fill on="f" focussize="0,0"/>
            <v:stroke on="f"/>
            <v:imagedata r:id="rId15" o:title=""/>
            <o:lock v:ext="edit" aspectratio="f"/>
            <w10:wrap type="none"/>
            <w10:anchorlock/>
          </v:shape>
          <o:OLEObject Type="Embed" ProgID="excel.sheet.8" ShapeID="_x0000_i1025" DrawAspect="Content" ObjectID="_1468075725" r:id="rId14">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从上两表和上图可以看出，销售收入与经营成本因素的变动，对项目经济效益的影响比较大，尤以销售收入因素的变动对项目经济效益的影响最为明显。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在满足基准收益率10%和财务净现值等于“0”的条件时，销售收入对应基本方案允许减少的相对值为</w:t>
      </w:r>
      <w:r>
        <w:rPr>
          <w:rFonts w:hint="eastAsia" w:ascii="宋体" w:hAnsi="宋体" w:cs="宋体"/>
          <w:color w:val="auto"/>
          <w:sz w:val="24"/>
          <w:szCs w:val="24"/>
          <w:lang w:val="en-US" w:eastAsia="zh-CN"/>
        </w:rPr>
        <w:t>6.78</w:t>
      </w:r>
      <w:r>
        <w:rPr>
          <w:rFonts w:hint="eastAsia" w:ascii="宋体" w:hAnsi="宋体" w:eastAsia="宋体" w:cs="宋体"/>
          <w:color w:val="auto"/>
          <w:sz w:val="24"/>
          <w:szCs w:val="24"/>
        </w:rPr>
        <w:t>%，允许经营成本增加的相对值为</w:t>
      </w:r>
      <w:r>
        <w:rPr>
          <w:rFonts w:hint="eastAsia" w:ascii="宋体" w:hAnsi="宋体" w:cs="宋体"/>
          <w:color w:val="auto"/>
          <w:sz w:val="24"/>
          <w:szCs w:val="24"/>
          <w:lang w:val="en-US" w:eastAsia="zh-CN"/>
        </w:rPr>
        <w:t>8.47</w:t>
      </w:r>
      <w:r>
        <w:rPr>
          <w:rFonts w:hint="eastAsia" w:ascii="宋体" w:hAnsi="宋体" w:eastAsia="宋体" w:cs="宋体"/>
          <w:color w:val="auto"/>
          <w:sz w:val="24"/>
          <w:szCs w:val="24"/>
        </w:rPr>
        <w:t>%，允许建设投资增加的相对值为</w:t>
      </w:r>
      <w:r>
        <w:rPr>
          <w:rFonts w:hint="eastAsia" w:ascii="宋体" w:hAnsi="宋体" w:eastAsia="宋体" w:cs="宋体"/>
          <w:color w:val="auto"/>
          <w:sz w:val="24"/>
          <w:szCs w:val="24"/>
          <w:lang w:val="en-US" w:eastAsia="zh-CN"/>
        </w:rPr>
        <w:t>4</w:t>
      </w:r>
      <w:r>
        <w:rPr>
          <w:rFonts w:hint="eastAsia" w:ascii="宋体" w:hAnsi="宋体" w:cs="宋体"/>
          <w:color w:val="auto"/>
          <w:sz w:val="24"/>
          <w:szCs w:val="24"/>
          <w:lang w:val="en-US" w:eastAsia="zh-CN"/>
        </w:rPr>
        <w:t>7.0</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为使项目投产后能正确把握市场价格对项目经营的影响，特对项目石灰石产品价格的变动进行敏感性分析，分析结果见下表6-</w:t>
      </w:r>
      <w:r>
        <w:rPr>
          <w:rFonts w:hint="eastAsia" w:ascii="宋体" w:hAnsi="宋体" w:eastAsia="宋体" w:cs="宋体"/>
          <w:color w:val="auto"/>
          <w:sz w:val="24"/>
          <w:szCs w:val="24"/>
          <w:lang w:val="en-US" w:eastAsia="zh-CN"/>
        </w:rPr>
        <w:t>1-11</w:t>
      </w:r>
      <w:r>
        <w:rPr>
          <w:rFonts w:hint="eastAsia" w:ascii="宋体" w:hAnsi="宋体" w:eastAsia="宋体" w:cs="宋体"/>
          <w:color w:val="auto"/>
          <w:sz w:val="24"/>
          <w:szCs w:val="24"/>
        </w:rPr>
        <w:t>。</w:t>
      </w:r>
    </w:p>
    <w:p>
      <w:pPr>
        <w:tabs>
          <w:tab w:val="left" w:pos="4063"/>
        </w:tabs>
        <w:spacing w:before="26"/>
        <w:jc w:val="center"/>
        <w:rPr>
          <w:rFonts w:hint="eastAsia" w:ascii="宋体" w:hAnsi="宋体" w:eastAsia="宋体" w:cs="宋体"/>
          <w:b/>
          <w:color w:val="auto"/>
          <w:sz w:val="21"/>
          <w:szCs w:val="21"/>
          <w:lang w:val="zh-CN"/>
        </w:rPr>
      </w:pPr>
      <w:r>
        <w:rPr>
          <w:rFonts w:hint="eastAsia" w:ascii="宋体" w:hAnsi="宋体" w:eastAsia="宋体" w:cs="宋体"/>
          <w:b/>
          <w:color w:val="auto"/>
          <w:sz w:val="21"/>
          <w:szCs w:val="21"/>
          <w:lang w:val="zh-CN"/>
        </w:rPr>
        <w:t>表6-</w:t>
      </w:r>
      <w:r>
        <w:rPr>
          <w:rFonts w:hint="eastAsia" w:ascii="宋体" w:hAnsi="宋体" w:eastAsia="宋体" w:cs="宋体"/>
          <w:b/>
          <w:color w:val="auto"/>
          <w:sz w:val="21"/>
          <w:szCs w:val="21"/>
          <w:lang w:val="en-US" w:eastAsia="zh-CN"/>
        </w:rPr>
        <w:t xml:space="preserve">1-11 </w:t>
      </w:r>
      <w:r>
        <w:rPr>
          <w:rFonts w:hint="eastAsia" w:ascii="宋体" w:hAnsi="宋体" w:eastAsia="宋体" w:cs="宋体"/>
          <w:b/>
          <w:color w:val="auto"/>
          <w:sz w:val="21"/>
          <w:szCs w:val="21"/>
          <w:lang w:val="zh-CN"/>
        </w:rPr>
        <w:t xml:space="preserve"> 不同产品销售价格的经济效益指标测算</w:t>
      </w:r>
    </w:p>
    <w:tbl>
      <w:tblPr>
        <w:tblStyle w:val="53"/>
        <w:tblW w:w="9101"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792"/>
        <w:gridCol w:w="912"/>
        <w:gridCol w:w="1571"/>
        <w:gridCol w:w="1902"/>
        <w:gridCol w:w="1572"/>
        <w:gridCol w:w="13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3" w:hRule="atLeast"/>
          <w:tblHeader/>
        </w:trPr>
        <w:tc>
          <w:tcPr>
            <w:tcW w:w="1792" w:type="dxa"/>
            <w:vMerge w:val="restart"/>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项        目</w:t>
            </w: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产品价格</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财务内部收益率</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投资回收期(税后）</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总投资净利润率</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总投资收益率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3" w:hRule="atLeast"/>
          <w:tblHeader/>
        </w:trPr>
        <w:tc>
          <w:tcPr>
            <w:tcW w:w="1792" w:type="dxa"/>
            <w:vMerge w:val="continue"/>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（元/</w:t>
            </w:r>
            <w:r>
              <w:rPr>
                <w:rFonts w:hint="eastAsia" w:ascii="宋体" w:hAnsi="宋体" w:cs="宋体"/>
                <w:b/>
                <w:bCs/>
                <w:color w:val="auto"/>
                <w:sz w:val="21"/>
                <w:szCs w:val="21"/>
                <w:lang w:val="en-US" w:eastAsia="zh-CN"/>
              </w:rPr>
              <w:t>m³</w:t>
            </w:r>
            <w:r>
              <w:rPr>
                <w:rFonts w:hint="eastAsia" w:ascii="宋体" w:hAnsi="宋体" w:eastAsia="宋体" w:cs="宋体"/>
                <w:b/>
                <w:bCs/>
                <w:color w:val="auto"/>
                <w:sz w:val="21"/>
                <w:szCs w:val="21"/>
                <w:lang w:val="en-US" w:eastAsia="zh-CN"/>
              </w:rPr>
              <w:t>）</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（a）</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179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方案基准值</w:t>
            </w: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35.00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8.60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1792" w:type="dxa"/>
            <w:vMerge w:val="restart"/>
            <w:tcBorders>
              <w:top w:val="single" w:color="000000" w:sz="8" w:space="0"/>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产品价格（元/</w:t>
            </w:r>
            <w:r>
              <w:rPr>
                <w:rFonts w:hint="eastAsia" w:ascii="宋体" w:hAnsi="宋体" w:cs="宋体"/>
                <w:b w:val="0"/>
                <w:bCs w:val="0"/>
                <w:color w:val="auto"/>
                <w:sz w:val="21"/>
                <w:szCs w:val="21"/>
                <w:lang w:val="en-US" w:eastAsia="zh-CN"/>
              </w:rPr>
              <w:t>m³</w:t>
            </w:r>
            <w:r>
              <w:rPr>
                <w:rFonts w:hint="eastAsia" w:ascii="宋体" w:hAnsi="宋体" w:eastAsia="宋体" w:cs="宋体"/>
                <w:b w:val="0"/>
                <w:bCs w:val="0"/>
                <w:color w:val="auto"/>
                <w:sz w:val="21"/>
                <w:szCs w:val="21"/>
                <w:lang w:val="en-US" w:eastAsia="zh-CN"/>
              </w:rPr>
              <w:t>）</w:t>
            </w: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32.00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8.24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14.92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4.26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32.60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9.93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13.94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6.95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33.20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11.54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12.66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6.00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8.10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33.80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13.10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11.27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5"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34.40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14.62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8.20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7.73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10.41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30"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35.00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16.10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7.73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8.60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9"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35.60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17.57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7.33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9.46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12.71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9"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36.20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19.00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6.97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10.33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13.86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9"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36.80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20.42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6.65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11.19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15.01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9" w:hRule="atLeast"/>
        </w:trPr>
        <w:tc>
          <w:tcPr>
            <w:tcW w:w="1792" w:type="dxa"/>
            <w:vMerge w:val="continue"/>
            <w:tcBorders>
              <w:left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37.40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21.82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6.36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12.06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16.16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9" w:hRule="atLeast"/>
        </w:trPr>
        <w:tc>
          <w:tcPr>
            <w:tcW w:w="1792" w:type="dxa"/>
            <w:vMerge w:val="continue"/>
            <w:tcBorders>
              <w:left w:val="single" w:color="000000" w:sz="8" w:space="0"/>
              <w:bottom w:val="single" w:color="000000" w:sz="8" w:space="0"/>
              <w:right w:val="single" w:color="000000" w:sz="8" w:space="0"/>
              <w:tl2br w:val="nil"/>
              <w:tr2bl w:val="nil"/>
            </w:tcBorders>
            <w:noWrap/>
            <w:tcMar>
              <w:top w:w="15" w:type="dxa"/>
              <w:left w:w="15" w:type="dxa"/>
              <w:right w:w="15" w:type="dxa"/>
            </w:tcMar>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38.00</w:t>
            </w:r>
          </w:p>
        </w:tc>
        <w:tc>
          <w:tcPr>
            <w:tcW w:w="1571"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23.22 </w:t>
            </w:r>
          </w:p>
        </w:tc>
        <w:tc>
          <w:tcPr>
            <w:tcW w:w="190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6.10 </w:t>
            </w:r>
          </w:p>
        </w:tc>
        <w:tc>
          <w:tcPr>
            <w:tcW w:w="157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12.92 </w:t>
            </w:r>
          </w:p>
        </w:tc>
        <w:tc>
          <w:tcPr>
            <w:tcW w:w="1352" w:type="dxa"/>
            <w:tcBorders>
              <w:top w:val="single" w:color="000000" w:sz="8" w:space="0"/>
              <w:left w:val="single" w:color="000000" w:sz="8" w:space="0"/>
              <w:bottom w:val="single" w:color="000000" w:sz="8" w:space="0"/>
              <w:right w:val="single" w:color="000000" w:sz="8" w:space="0"/>
              <w:tl2br w:val="nil"/>
              <w:tr2bl w:val="nil"/>
            </w:tcBorders>
            <w:noWrap/>
            <w:tcMar>
              <w:top w:w="15" w:type="dxa"/>
              <w:left w:w="15" w:type="dxa"/>
              <w:right w:w="15" w:type="dxa"/>
            </w:tcMar>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17.31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通过上表分析，当项目产品销售价格低于</w:t>
      </w:r>
      <w:r>
        <w:rPr>
          <w:rFonts w:hint="eastAsia" w:ascii="宋体" w:hAnsi="宋体" w:eastAsia="宋体" w:cs="宋体"/>
          <w:color w:val="auto"/>
          <w:sz w:val="24"/>
          <w:szCs w:val="24"/>
          <w:lang w:val="en-US" w:eastAsia="zh-CN"/>
        </w:rPr>
        <w:t>32.</w:t>
      </w:r>
      <w:r>
        <w:rPr>
          <w:rFonts w:hint="eastAsia" w:ascii="宋体" w:hAnsi="宋体" w:cs="宋体"/>
          <w:color w:val="auto"/>
          <w:sz w:val="24"/>
          <w:szCs w:val="24"/>
          <w:lang w:val="en-US" w:eastAsia="zh-CN"/>
        </w:rPr>
        <w:t>7</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元/</w:t>
      </w:r>
      <w:r>
        <w:rPr>
          <w:rFonts w:hint="eastAsia" w:ascii="宋体" w:hAnsi="宋体" w:eastAsia="宋体" w:cs="宋体"/>
          <w:color w:val="auto"/>
          <w:sz w:val="24"/>
          <w:szCs w:val="24"/>
          <w:lang w:val="en-US" w:eastAsia="zh-CN"/>
        </w:rPr>
        <w:t>m³</w:t>
      </w:r>
      <w:r>
        <w:rPr>
          <w:rFonts w:hint="eastAsia" w:ascii="宋体" w:hAnsi="宋体" w:eastAsia="宋体" w:cs="宋体"/>
          <w:color w:val="auto"/>
          <w:sz w:val="24"/>
          <w:szCs w:val="24"/>
        </w:rPr>
        <w:t>时，项目融资前税前财务内部收益率将低于基准收益率。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、综合经济评价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（1）项目综合技术经济评价指标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矿山设计采矿规模</w:t>
      </w:r>
      <w:r>
        <w:rPr>
          <w:rFonts w:hint="eastAsia" w:ascii="宋体" w:hAnsi="宋体" w:eastAsia="宋体" w:cs="宋体"/>
          <w:color w:val="auto"/>
          <w:sz w:val="24"/>
          <w:szCs w:val="24"/>
          <w:lang w:val="en-US" w:eastAsia="zh-CN"/>
        </w:rPr>
        <w:t>20.00万m³/年时</w:t>
      </w:r>
      <w:r>
        <w:rPr>
          <w:rFonts w:hint="eastAsia" w:ascii="宋体" w:hAnsi="宋体" w:eastAsia="宋体" w:cs="宋体"/>
          <w:color w:val="auto"/>
          <w:sz w:val="24"/>
          <w:szCs w:val="24"/>
        </w:rPr>
        <w:t>，主要技术综合经济指标见表6-1-</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w:t>
      </w:r>
    </w:p>
    <w:p>
      <w:pPr>
        <w:tabs>
          <w:tab w:val="left" w:pos="4063"/>
        </w:tabs>
        <w:spacing w:before="26"/>
        <w:jc w:val="center"/>
        <w:rPr>
          <w:rFonts w:hint="eastAsia" w:ascii="宋体" w:hAnsi="宋体" w:eastAsia="宋体" w:cs="宋体"/>
          <w:b/>
          <w:color w:val="auto"/>
          <w:sz w:val="21"/>
          <w:szCs w:val="21"/>
          <w:lang w:val="zh-CN"/>
        </w:rPr>
      </w:pPr>
      <w:r>
        <w:rPr>
          <w:rFonts w:hint="eastAsia" w:ascii="宋体" w:hAnsi="宋体" w:eastAsia="宋体" w:cs="宋体"/>
          <w:b/>
          <w:color w:val="auto"/>
          <w:sz w:val="21"/>
          <w:szCs w:val="21"/>
          <w:lang w:val="zh-CN"/>
        </w:rPr>
        <w:t>表6-1-</w:t>
      </w:r>
      <w:r>
        <w:rPr>
          <w:rFonts w:hint="eastAsia" w:ascii="宋体" w:hAnsi="宋体" w:eastAsia="宋体" w:cs="宋体"/>
          <w:b/>
          <w:color w:val="auto"/>
          <w:sz w:val="21"/>
          <w:szCs w:val="21"/>
          <w:lang w:val="en-US" w:eastAsia="zh-CN"/>
        </w:rPr>
        <w:t>12</w:t>
      </w:r>
      <w:r>
        <w:rPr>
          <w:rFonts w:hint="eastAsia" w:ascii="宋体" w:hAnsi="宋体" w:eastAsia="宋体" w:cs="宋体"/>
          <w:b/>
          <w:color w:val="auto"/>
          <w:sz w:val="21"/>
          <w:szCs w:val="21"/>
          <w:lang w:val="zh-CN"/>
        </w:rPr>
        <w:t xml:space="preserve">             主要技术经济指标表</w:t>
      </w:r>
    </w:p>
    <w:tbl>
      <w:tblPr>
        <w:tblStyle w:val="53"/>
        <w:tblW w:w="91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6"/>
        <w:gridCol w:w="2967"/>
        <w:gridCol w:w="1154"/>
        <w:gridCol w:w="2334"/>
        <w:gridCol w:w="1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blHeader/>
        </w:trPr>
        <w:tc>
          <w:tcPr>
            <w:tcW w:w="726"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序号</w:t>
            </w:r>
          </w:p>
        </w:tc>
        <w:tc>
          <w:tcPr>
            <w:tcW w:w="2967"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指　标　名　称</w:t>
            </w:r>
          </w:p>
        </w:tc>
        <w:tc>
          <w:tcPr>
            <w:tcW w:w="115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单位</w:t>
            </w:r>
          </w:p>
        </w:tc>
        <w:tc>
          <w:tcPr>
            <w:tcW w:w="2334"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数　　量</w:t>
            </w:r>
          </w:p>
        </w:tc>
        <w:tc>
          <w:tcPr>
            <w:tcW w:w="1977" w:type="dxa"/>
            <w:tcBorders>
              <w:top w:val="single" w:color="000000" w:sz="8"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备 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年生产规模</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砖瓦用页岩</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m³/a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200000</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年工作天数</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d</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270</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建设周期</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矿山服务年限</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27.2</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劳动定员</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人</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总投资</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6.1</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建设投资</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6.2</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建设期利息</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6.3</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65.73</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成本与费用</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生产年平均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7.1</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年总成本费用</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492.17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固定成本</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394.34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可变成本</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97.83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7.2</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年经营成本</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451.10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7.3</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单位成本</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采矿制造成本</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元/m³</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11.12</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加工制造成本</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元/m³</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产品总成本费用</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元/m³</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25.33</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2967" w:type="dxa"/>
            <w:tcBorders>
              <w:top w:val="nil"/>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销售收入、税金与利润</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生产年平均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8.1</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年销售收入</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680.00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8.2</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年销售税金及附加</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90.34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8.3</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年利润</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97.49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8.4</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年上缴所得税</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24.99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8.5</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年税后利润</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万元/a</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72.50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综合经济效益指标</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9.1</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总投资净利润率</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8.60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9.2</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总投资收益率</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11.56</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9.3</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资本金净利润率</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8.60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9.4</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全投资</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财务内部收益率</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财务内部收益率</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12.15</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财务净现值(Ic=10%)</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332.39</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财务净现值(Ic=10%)</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113.54</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投资回收期(含建设期)</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6.52</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投资回收期(含建设期)</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cs="宋体"/>
                <w:b w:val="0"/>
                <w:bCs w:val="0"/>
                <w:color w:val="auto"/>
                <w:sz w:val="21"/>
                <w:szCs w:val="21"/>
                <w:lang w:val="en-US" w:eastAsia="zh-CN"/>
              </w:rPr>
              <w:t>0</w:t>
            </w: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服务期盈余资金</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万元</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2480.84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达建设投入的倍数</w:t>
            </w:r>
          </w:p>
        </w:tc>
        <w:tc>
          <w:tcPr>
            <w:tcW w:w="11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倍</w:t>
            </w:r>
          </w:p>
        </w:tc>
        <w:tc>
          <w:tcPr>
            <w:tcW w:w="23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2.94 </w:t>
            </w:r>
          </w:p>
        </w:tc>
        <w:tc>
          <w:tcPr>
            <w:tcW w:w="1977"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2" w:hRule="exact"/>
        </w:trPr>
        <w:tc>
          <w:tcPr>
            <w:tcW w:w="726"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r>
              <w:rPr>
                <w:rFonts w:hint="eastAsia" w:ascii="宋体" w:hAnsi="宋体" w:cs="宋体"/>
                <w:b w:val="0"/>
                <w:bCs w:val="0"/>
                <w:color w:val="auto"/>
                <w:sz w:val="21"/>
                <w:szCs w:val="21"/>
                <w:lang w:val="en-US" w:eastAsia="zh-CN"/>
              </w:rPr>
              <w:t>1</w:t>
            </w:r>
          </w:p>
        </w:tc>
        <w:tc>
          <w:tcPr>
            <w:tcW w:w="2967"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生产能力利用率</w:t>
            </w:r>
          </w:p>
        </w:tc>
        <w:tc>
          <w:tcPr>
            <w:tcW w:w="115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w:t>
            </w:r>
          </w:p>
        </w:tc>
        <w:tc>
          <w:tcPr>
            <w:tcW w:w="2334"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80.18 </w:t>
            </w:r>
          </w:p>
        </w:tc>
        <w:tc>
          <w:tcPr>
            <w:tcW w:w="1977"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生产年平均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（2）财务评价结论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项目建成投产后，年</w:t>
      </w:r>
      <w:r>
        <w:rPr>
          <w:rFonts w:hint="eastAsia" w:ascii="宋体" w:hAnsi="宋体" w:eastAsia="宋体" w:cs="宋体"/>
          <w:color w:val="auto"/>
          <w:sz w:val="24"/>
          <w:szCs w:val="24"/>
          <w:lang w:val="en-US" w:eastAsia="zh-CN"/>
        </w:rPr>
        <w:t>均</w:t>
      </w:r>
      <w:r>
        <w:rPr>
          <w:rFonts w:hint="eastAsia" w:ascii="宋体" w:hAnsi="宋体" w:eastAsia="宋体" w:cs="宋体"/>
          <w:color w:val="auto"/>
          <w:sz w:val="24"/>
          <w:szCs w:val="24"/>
        </w:rPr>
        <w:t>销售收入为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万元，利润总额为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万元，年上缴所得税额为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万元，税后利润为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万元。投资净利润率为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%，总投资收益率为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税前动态</w:t>
      </w:r>
      <w:r>
        <w:rPr>
          <w:rFonts w:hint="eastAsia" w:ascii="宋体" w:hAnsi="宋体" w:eastAsia="宋体" w:cs="宋体"/>
          <w:color w:val="auto"/>
          <w:sz w:val="24"/>
          <w:szCs w:val="24"/>
        </w:rPr>
        <w:t>投资回收期</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年</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税后动态</w:t>
      </w:r>
      <w:r>
        <w:rPr>
          <w:rFonts w:hint="eastAsia" w:ascii="宋体" w:hAnsi="宋体" w:eastAsia="宋体" w:cs="宋体"/>
          <w:color w:val="auto"/>
          <w:sz w:val="24"/>
          <w:szCs w:val="24"/>
        </w:rPr>
        <w:t>投资回收期</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年。融资前所得税后财务净现值（Ic=10%）为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万元，为大于零的正值，表明项目财务可行。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综上所述，项目经济上具有可行性。</w:t>
      </w:r>
    </w:p>
    <w:p>
      <w:pPr>
        <w:adjustRightInd w:val="0"/>
        <w:snapToGrid w:val="0"/>
        <w:spacing w:line="360" w:lineRule="auto"/>
        <w:ind w:firstLine="480" w:firstLineChars="200"/>
        <w:rPr>
          <w:rFonts w:ascii="宋体" w:hAnsi="宋体"/>
          <w:color w:val="auto"/>
          <w:sz w:val="24"/>
          <w:szCs w:val="24"/>
        </w:rPr>
      </w:pPr>
    </w:p>
    <w:p>
      <w:pPr>
        <w:adjustRightInd w:val="0"/>
        <w:snapToGrid w:val="0"/>
        <w:spacing w:line="360" w:lineRule="auto"/>
        <w:ind w:firstLine="480" w:firstLineChars="200"/>
        <w:rPr>
          <w:rFonts w:ascii="宋体" w:hAnsi="宋体"/>
          <w:color w:val="auto"/>
          <w:sz w:val="24"/>
          <w:szCs w:val="24"/>
        </w:rPr>
        <w:sectPr>
          <w:footerReference r:id="rId7" w:type="default"/>
          <w:pgSz w:w="11906" w:h="16838"/>
          <w:pgMar w:top="1440" w:right="1400" w:bottom="1440" w:left="1559" w:header="851" w:footer="992" w:gutter="0"/>
          <w:pgBorders>
            <w:top w:val="none" w:sz="0" w:space="0"/>
            <w:left w:val="none" w:sz="0" w:space="0"/>
            <w:bottom w:val="none" w:sz="0" w:space="0"/>
            <w:right w:val="none" w:sz="0" w:space="0"/>
          </w:pgBorders>
          <w:cols w:space="0" w:num="1"/>
          <w:docGrid w:type="lines" w:linePitch="312" w:charSpace="0"/>
        </w:sect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en-US" w:eastAsia="zh-CN"/>
        </w:rPr>
      </w:pPr>
      <w:r>
        <w:rPr>
          <w:rFonts w:hint="eastAsia" w:ascii="宋体" w:hAnsi="宋体" w:eastAsia="宋体" w:cs="宋体"/>
          <w:b/>
          <w:bCs w:val="0"/>
          <w:color w:val="auto"/>
          <w:sz w:val="24"/>
          <w:szCs w:val="24"/>
          <w:lang w:val="en-US" w:eastAsia="zh-CN"/>
        </w:rPr>
        <w:t>附表 6-1                                   流动资金估算表                               单位：万元</w:t>
      </w:r>
    </w:p>
    <w:tbl>
      <w:tblPr>
        <w:tblStyle w:val="53"/>
        <w:tblW w:w="14163"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1"/>
        <w:gridCol w:w="2526"/>
        <w:gridCol w:w="1056"/>
        <w:gridCol w:w="1056"/>
        <w:gridCol w:w="878"/>
        <w:gridCol w:w="878"/>
        <w:gridCol w:w="878"/>
        <w:gridCol w:w="878"/>
        <w:gridCol w:w="878"/>
        <w:gridCol w:w="878"/>
        <w:gridCol w:w="879"/>
        <w:gridCol w:w="879"/>
        <w:gridCol w:w="879"/>
        <w:gridCol w:w="87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周转天数</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周转次数</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流动资产</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应收帐款</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存货</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原材料</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36</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燃料</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36</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在产品</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72</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产成品</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72</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小计</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流动负债</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应付帐款</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30</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流动资金本年增加额</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流动资金借款本年增加额</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流动资金利息</w:t>
            </w: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7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pStyle w:val="217"/>
        <w:rPr>
          <w:rFonts w:hint="eastAsia" w:ascii="宋体" w:hAnsi="宋体" w:eastAsia="宋体" w:cs="宋体"/>
          <w:b/>
          <w:bCs w:val="0"/>
          <w:color w:val="auto"/>
          <w:sz w:val="24"/>
          <w:szCs w:val="24"/>
          <w:lang w:val="en-US"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tbl>
      <w:tblPr>
        <w:tblStyle w:val="53"/>
        <w:tblW w:w="1416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1"/>
        <w:gridCol w:w="2802"/>
        <w:gridCol w:w="1282"/>
        <w:gridCol w:w="1037"/>
        <w:gridCol w:w="1037"/>
        <w:gridCol w:w="1037"/>
        <w:gridCol w:w="1037"/>
        <w:gridCol w:w="1037"/>
        <w:gridCol w:w="1038"/>
        <w:gridCol w:w="1039"/>
        <w:gridCol w:w="1039"/>
        <w:gridCol w:w="103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流动资产</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应收帐款</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存货</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原材料</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燃料</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在产品</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1.2.4</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产成品</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小计</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流动负债</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应付帐款</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流动资金本年增加额</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流动资金借款本年增加额</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80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流动资金利息</w:t>
            </w:r>
          </w:p>
        </w:tc>
        <w:tc>
          <w:tcPr>
            <w:tcW w:w="12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tbl>
      <w:tblPr>
        <w:tblStyle w:val="53"/>
        <w:tblW w:w="1416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47"/>
        <w:gridCol w:w="3109"/>
        <w:gridCol w:w="1164"/>
        <w:gridCol w:w="1164"/>
        <w:gridCol w:w="1164"/>
        <w:gridCol w:w="1164"/>
        <w:gridCol w:w="1164"/>
        <w:gridCol w:w="1164"/>
        <w:gridCol w:w="1165"/>
        <w:gridCol w:w="1165"/>
        <w:gridCol w:w="99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28</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流动资产</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应收帐款</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存货</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3.96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原材料</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0.27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0.05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燃料</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0.51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在产品</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1.2.4</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产成品</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6.42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小计</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74.12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26.08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流动负债</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应付帐款</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24.40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流动资金本年增加额</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流动资金借款本年增加额</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05" w:hRule="atLeast"/>
        </w:trPr>
        <w:tc>
          <w:tcPr>
            <w:tcW w:w="74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10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流动资金利息</w:t>
            </w: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6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217"/>
        <w:rPr>
          <w:rFonts w:hint="eastAsia" w:ascii="宋体" w:hAnsi="宋体" w:eastAsia="宋体" w:cs="宋体"/>
          <w:b/>
          <w:bCs w:val="0"/>
          <w:color w:val="auto"/>
          <w:sz w:val="24"/>
          <w:szCs w:val="24"/>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r>
        <w:rPr>
          <w:rFonts w:hint="eastAsia" w:ascii="宋体" w:hAnsi="宋体" w:eastAsia="宋体" w:cs="宋体"/>
          <w:b/>
          <w:bCs w:val="0"/>
          <w:color w:val="auto"/>
          <w:sz w:val="24"/>
          <w:szCs w:val="24"/>
          <w:lang w:val="zh-CN" w:eastAsia="zh-CN"/>
        </w:rPr>
        <w:t>附表 6-2                             总成本费用估算表                                单位：万元</w:t>
      </w:r>
    </w:p>
    <w:tbl>
      <w:tblPr>
        <w:tblStyle w:val="53"/>
        <w:tblW w:w="1416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6"/>
        <w:gridCol w:w="3070"/>
        <w:gridCol w:w="1245"/>
        <w:gridCol w:w="967"/>
        <w:gridCol w:w="919"/>
        <w:gridCol w:w="894"/>
        <w:gridCol w:w="919"/>
        <w:gridCol w:w="919"/>
        <w:gridCol w:w="919"/>
        <w:gridCol w:w="919"/>
        <w:gridCol w:w="919"/>
        <w:gridCol w:w="919"/>
        <w:gridCol w:w="920"/>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合计</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年产量(万m³)</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544</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外购原材料</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外购辅助材料</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267.38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外购燃料及动力</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2471.94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人工工资</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1986.60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折旧费</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1087.52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修理费</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345.17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其他制造费</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79.52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摊销费</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财务费用</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管理费用</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5764.50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其中: 安全费</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2088.96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企业管理费</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3675.54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采矿权出让收益</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957.44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矿山地质环境治理恢复基金</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421.33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绿色矿山建设费</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252.69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销售费用</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84.32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总成本费用</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13780.71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15.1</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固定成本</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11041.39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412.79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412.79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412.79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412.79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412.79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15.2</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变动成本</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2739.32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12630.89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7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单位矿石总成本费用</w:t>
            </w:r>
          </w:p>
        </w:tc>
        <w:tc>
          <w:tcPr>
            <w:tcW w:w="124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25.33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25.68 </w:t>
            </w:r>
          </w:p>
        </w:tc>
        <w:tc>
          <w:tcPr>
            <w:tcW w:w="89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25.68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91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92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r>
    </w:tbl>
    <w:p>
      <w:pPr>
        <w:pStyle w:val="217"/>
        <w:rPr>
          <w:rFonts w:hint="eastAsia"/>
          <w:color w:val="auto"/>
          <w:lang w:val="zh-CN" w:eastAsia="zh-CN"/>
        </w:rPr>
      </w:pPr>
    </w:p>
    <w:tbl>
      <w:tblPr>
        <w:tblStyle w:val="53"/>
        <w:tblW w:w="14168"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6"/>
        <w:gridCol w:w="3363"/>
        <w:gridCol w:w="1010"/>
        <w:gridCol w:w="1010"/>
        <w:gridCol w:w="1010"/>
        <w:gridCol w:w="1010"/>
        <w:gridCol w:w="1010"/>
        <w:gridCol w:w="1010"/>
        <w:gridCol w:w="1010"/>
        <w:gridCol w:w="997"/>
        <w:gridCol w:w="1051"/>
        <w:gridCol w:w="1051"/>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年产量(万m³)</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外购原材料</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外购辅助材料</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外购燃料及动力</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人工工资</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折旧费</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修理费</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其他制造费</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摊销费</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财务费用</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管理费用</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其中: 安全费</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企业管理费</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采矿权出让收益</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矿山地质环境治理恢复基金</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绿色矿山建设费</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销售费用</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总成本费用</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15.1</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固定成本</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15.2</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变动成本</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6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单位矿石总成本费用</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1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9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r>
    </w:tbl>
    <w:p>
      <w:pPr>
        <w:pStyle w:val="217"/>
        <w:rPr>
          <w:rFonts w:hint="eastAsia"/>
          <w:color w:val="auto"/>
          <w:lang w:val="zh-CN" w:eastAsia="zh-CN"/>
        </w:rPr>
      </w:pPr>
    </w:p>
    <w:p>
      <w:pPr>
        <w:pStyle w:val="217"/>
        <w:rPr>
          <w:rFonts w:hint="eastAsia"/>
          <w:color w:val="auto"/>
          <w:lang w:val="zh-CN" w:eastAsia="zh-CN"/>
        </w:rPr>
      </w:pPr>
    </w:p>
    <w:tbl>
      <w:tblPr>
        <w:tblStyle w:val="53"/>
        <w:tblW w:w="1416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6"/>
        <w:gridCol w:w="3448"/>
        <w:gridCol w:w="1097"/>
        <w:gridCol w:w="1123"/>
        <w:gridCol w:w="1123"/>
        <w:gridCol w:w="1123"/>
        <w:gridCol w:w="1123"/>
        <w:gridCol w:w="1123"/>
        <w:gridCol w:w="1123"/>
        <w:gridCol w:w="1123"/>
        <w:gridCol w:w="1123"/>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28</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年产量(万m³)</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外购原材料</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外购辅助材料</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9.83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外购燃料及动力</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90.88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18.18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人工工资</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70.95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折旧费</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38.84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修理费</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其他制造费</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摊销费</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财务费用</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管理费用</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211.93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42.39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其中: 安全费</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76.80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15.36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企业管理费</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135.13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27.03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采矿权出让收益</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矿山地质环境治理恢复基金</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绿色矿山建设费</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9.29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销售费用</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总成本费用</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190.33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15.1</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固定成本</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400.33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170.18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15.2</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    变动成本</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100.71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20.15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151.49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4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单位矿石总成本费用</w:t>
            </w:r>
          </w:p>
        </w:tc>
        <w:tc>
          <w:tcPr>
            <w:tcW w:w="109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25.05 </w:t>
            </w:r>
          </w:p>
        </w:tc>
        <w:tc>
          <w:tcPr>
            <w:tcW w:w="112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47.58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r>
        <w:rPr>
          <w:rFonts w:hint="eastAsia" w:ascii="宋体" w:hAnsi="宋体" w:eastAsia="宋体" w:cs="宋体"/>
          <w:b/>
          <w:bCs w:val="0"/>
          <w:color w:val="auto"/>
          <w:sz w:val="24"/>
          <w:szCs w:val="24"/>
          <w:lang w:val="zh-CN" w:eastAsia="zh-CN"/>
        </w:rPr>
        <w:t>附表 6-3                             销售收入和销售税金及附加估算表              单位：万元</w:t>
      </w:r>
    </w:p>
    <w:tbl>
      <w:tblPr>
        <w:tblStyle w:val="53"/>
        <w:tblW w:w="14163"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00"/>
        <w:gridCol w:w="3333"/>
        <w:gridCol w:w="1289"/>
        <w:gridCol w:w="392"/>
        <w:gridCol w:w="1031"/>
        <w:gridCol w:w="1031"/>
        <w:gridCol w:w="1031"/>
        <w:gridCol w:w="1031"/>
        <w:gridCol w:w="1031"/>
        <w:gridCol w:w="1031"/>
        <w:gridCol w:w="1031"/>
        <w:gridCol w:w="103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合计</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产量</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万m³</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销售价格(含税)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元/m³</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19040.00</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销售税金及附加</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2529.60</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39.81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增值税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1805.12</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18.01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销项税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2190.42</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2.1.2</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进项税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335.10 </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2.1.3</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可抵扣的进项税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50.20</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50.20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抵扣设备进项税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40.94</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40.94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抵扣建筑工程及安装进项税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9.26</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9.26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城建税及教育费附加</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180.48</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2.2.1</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城市维护建设税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90.24</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0.90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2.2.2</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教育费附加</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90.24</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0.90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0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3333"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资源税</w:t>
            </w:r>
          </w:p>
        </w:tc>
        <w:tc>
          <w:tcPr>
            <w:tcW w:w="128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544.00</w:t>
            </w:r>
          </w:p>
        </w:tc>
        <w:tc>
          <w:tcPr>
            <w:tcW w:w="3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3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3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r>
    </w:tbl>
    <w:p>
      <w:pPr>
        <w:pStyle w:val="217"/>
        <w:rPr>
          <w:rFonts w:hint="eastAsia"/>
          <w:color w:val="auto"/>
          <w:lang w:val="zh-CN" w:eastAsia="zh-CN"/>
        </w:rPr>
      </w:pPr>
    </w:p>
    <w:tbl>
      <w:tblPr>
        <w:tblStyle w:val="53"/>
        <w:tblW w:w="14171"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819"/>
        <w:gridCol w:w="3030"/>
        <w:gridCol w:w="938"/>
        <w:gridCol w:w="938"/>
        <w:gridCol w:w="938"/>
        <w:gridCol w:w="938"/>
        <w:gridCol w:w="938"/>
        <w:gridCol w:w="938"/>
        <w:gridCol w:w="938"/>
        <w:gridCol w:w="939"/>
        <w:gridCol w:w="939"/>
        <w:gridCol w:w="939"/>
        <w:gridCol w:w="939"/>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产量</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销售价格(含税)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销售税金及附加</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增值税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销项税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2.1.2</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进项税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2.1.3</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可抵扣的进项税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抵扣设备进项税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抵扣建筑工程及安装进项税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城建税及教育费附加</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2.2.1</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城市维护建设税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2.2.2</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教育费附加</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819"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3030"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资源税</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r>
    </w:tbl>
    <w:p>
      <w:pPr>
        <w:pStyle w:val="217"/>
        <w:rPr>
          <w:rFonts w:hint="eastAsia"/>
          <w:color w:val="auto"/>
          <w:lang w:val="zh-CN" w:eastAsia="zh-CN"/>
        </w:rPr>
      </w:pPr>
    </w:p>
    <w:p>
      <w:pPr>
        <w:pStyle w:val="217"/>
        <w:rPr>
          <w:rFonts w:hint="eastAsia"/>
          <w:color w:val="auto"/>
          <w:lang w:val="zh-CN" w:eastAsia="zh-CN"/>
        </w:rPr>
      </w:pPr>
    </w:p>
    <w:tbl>
      <w:tblPr>
        <w:tblStyle w:val="53"/>
        <w:tblW w:w="14168"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98"/>
        <w:gridCol w:w="3708"/>
        <w:gridCol w:w="1146"/>
        <w:gridCol w:w="1146"/>
        <w:gridCol w:w="1146"/>
        <w:gridCol w:w="1004"/>
        <w:gridCol w:w="1004"/>
        <w:gridCol w:w="1004"/>
        <w:gridCol w:w="1004"/>
        <w:gridCol w:w="1004"/>
        <w:gridCol w:w="1004"/>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28</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产量</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销售价格(含税)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销售税金及附加</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增值税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13.65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销项税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80.53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16.11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2.1.2</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进项税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2.1.3</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可抵扣的进项税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抵扣设备进项税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抵扣建筑工程及安装进项税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城建税及教育费附加</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2.2.1</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城市维护建设税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2.2.2</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教育费附加</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3.41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510" w:hRule="exact"/>
        </w:trPr>
        <w:tc>
          <w:tcPr>
            <w:tcW w:w="99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3708" w:type="dxa"/>
            <w:tcBorders>
              <w:tl2br w:val="nil"/>
              <w:tr2bl w:val="nil"/>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资源税</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4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00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r>
        <w:rPr>
          <w:rFonts w:hint="eastAsia" w:ascii="宋体" w:hAnsi="宋体" w:eastAsia="宋体" w:cs="宋体"/>
          <w:b/>
          <w:bCs w:val="0"/>
          <w:color w:val="auto"/>
          <w:sz w:val="24"/>
          <w:szCs w:val="24"/>
          <w:lang w:val="zh-CN" w:eastAsia="zh-CN"/>
        </w:rPr>
        <w:t>附表 6-4                            利润及利润分配估算表                        单位：万元</w:t>
      </w:r>
    </w:p>
    <w:tbl>
      <w:tblPr>
        <w:tblStyle w:val="53"/>
        <w:tblW w:w="14168"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41"/>
        <w:gridCol w:w="2685"/>
        <w:gridCol w:w="1152"/>
        <w:gridCol w:w="956"/>
        <w:gridCol w:w="956"/>
        <w:gridCol w:w="1086"/>
        <w:gridCol w:w="956"/>
        <w:gridCol w:w="956"/>
        <w:gridCol w:w="956"/>
        <w:gridCol w:w="956"/>
        <w:gridCol w:w="956"/>
        <w:gridCol w:w="956"/>
        <w:gridCol w:w="956"/>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合计</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19040.00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销售税金及附加</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2529.60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39.81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总成本费用</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13780.71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513.50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利润总额</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2729.69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146.69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弥补以前年度亏损</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应纳税所得额</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2799.03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146.69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699.71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36.67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税后利润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2029.98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110.02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期末未分配利润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可供分配利润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2029.98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110.02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提取法定盈余公积金</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210.04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11.00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6.86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利润分配</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应付股利</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未分配利润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1819.94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99.02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61.74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61.74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61.74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61.74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累计未分配利润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26472.01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99.02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160.76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222.50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284.24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345.98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416.13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486.28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556.43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626.58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息税前利润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2729.69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146.69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91.47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6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268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息税折旧摊销前利润</w:t>
            </w:r>
          </w:p>
        </w:tc>
        <w:tc>
          <w:tcPr>
            <w:tcW w:w="11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3879.51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197.99 </w:t>
            </w:r>
          </w:p>
        </w:tc>
        <w:tc>
          <w:tcPr>
            <w:tcW w:w="108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9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tbl>
      <w:tblPr>
        <w:tblStyle w:val="53"/>
        <w:tblW w:w="14168"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05"/>
        <w:gridCol w:w="2950"/>
        <w:gridCol w:w="1051"/>
        <w:gridCol w:w="1051"/>
        <w:gridCol w:w="1051"/>
        <w:gridCol w:w="1051"/>
        <w:gridCol w:w="1051"/>
        <w:gridCol w:w="1051"/>
        <w:gridCol w:w="1051"/>
        <w:gridCol w:w="1052"/>
        <w:gridCol w:w="1052"/>
        <w:gridCol w:w="105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销售税金及附加</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总成本费用</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利润总额</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弥补以前年度亏损</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应纳税所得额</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税后利润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期末未分配利润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可供分配利润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提取法定盈余公积金</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利润分配</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应付股利</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未分配利润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累计未分配利润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696.73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766.88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837.03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907.18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977.33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1047.48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1117.63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1187.78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1257.93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1328.08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息税前利润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0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295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息税折旧摊销前利润</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05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tbl>
      <w:tblPr>
        <w:tblStyle w:val="53"/>
        <w:tblW w:w="1416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60"/>
        <w:gridCol w:w="3190"/>
        <w:gridCol w:w="1135"/>
        <w:gridCol w:w="1135"/>
        <w:gridCol w:w="1135"/>
        <w:gridCol w:w="1135"/>
        <w:gridCol w:w="1135"/>
        <w:gridCol w:w="1135"/>
        <w:gridCol w:w="1135"/>
        <w:gridCol w:w="1135"/>
        <w:gridCol w:w="1135"/>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28</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销售税金及附加</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总成本费用</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501.04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190.33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利润总额</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-69.34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弥补以前年度亏损</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应纳税所得额</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税后利润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-69.34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期末未分配利润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可供分配利润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77.95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-69.34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提取法定盈余公积金</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7.80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利润分配</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应付股利</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未分配利润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70.15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-69.34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累计未分配利润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1398.23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1468.38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1538.53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1608.68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1678.83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1748.98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1819.13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1889.28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1819.94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息税前利润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103.93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-69.34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5" w:hRule="atLeast"/>
        </w:trPr>
        <w:tc>
          <w:tcPr>
            <w:tcW w:w="76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31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息税折旧摊销前利润</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35"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-30.50 </w:t>
            </w:r>
          </w:p>
        </w:tc>
      </w:tr>
    </w:tbl>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r>
        <w:rPr>
          <w:rFonts w:hint="eastAsia" w:ascii="宋体" w:hAnsi="宋体" w:eastAsia="宋体" w:cs="宋体"/>
          <w:b/>
          <w:bCs w:val="0"/>
          <w:color w:val="auto"/>
          <w:sz w:val="24"/>
          <w:szCs w:val="24"/>
          <w:lang w:val="zh-CN" w:eastAsia="zh-CN"/>
        </w:rPr>
        <w:t>附表6-5                     项目投资现金流量估算表                      单位：万元</w:t>
      </w:r>
    </w:p>
    <w:tbl>
      <w:tblPr>
        <w:tblStyle w:val="53"/>
        <w:tblW w:w="1416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36"/>
        <w:gridCol w:w="2526"/>
        <w:gridCol w:w="1057"/>
        <w:gridCol w:w="43"/>
        <w:gridCol w:w="1013"/>
        <w:gridCol w:w="87"/>
        <w:gridCol w:w="898"/>
        <w:gridCol w:w="202"/>
        <w:gridCol w:w="854"/>
        <w:gridCol w:w="247"/>
        <w:gridCol w:w="704"/>
        <w:gridCol w:w="396"/>
        <w:gridCol w:w="558"/>
        <w:gridCol w:w="542"/>
        <w:gridCol w:w="445"/>
        <w:gridCol w:w="655"/>
        <w:gridCol w:w="332"/>
        <w:gridCol w:w="769"/>
        <w:gridCol w:w="218"/>
        <w:gridCol w:w="882"/>
        <w:gridCol w:w="108"/>
        <w:gridCol w:w="993"/>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合计</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19194.16</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19040.00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补贴收入</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回收固定资产余值</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129.76</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回收流动资金</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24.40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16711.80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567.74</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固定资产投资</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24.40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65.73</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12630.89</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税金及附加</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2529.60</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39.81</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维持营运投资</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749.16</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所得税前净现金流量</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2482.36</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132.26</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累计所得税前净现金流量</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-645.49</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-502.72</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-359.95</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-217.18</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-74.41</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68.36</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211.13</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353.90</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496.67</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调整所得税</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699.71</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36.67</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22.87</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22.87</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22.87</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22.87</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所得税后净现金流量</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1782.65</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95.59</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119.90</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119.90</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119.90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119.90</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116.79</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116.79</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116.79</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116.79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累计所得税后净现金流量</w:t>
            </w: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-777.75</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-682.16</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-562.26</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-442.36</w:t>
            </w: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-322.46</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-202.56</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-85.77</w:t>
            </w: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31.02</w:t>
            </w: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147.81</w:t>
            </w: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264.60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583"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计算指标：</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583"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财务内部收益率（%）：</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12.15</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16.10</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583"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财务净现值（Ic=10%）（万元）</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113.54</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332.39</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9" w:hRule="exac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583"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投资回收期（年）：</w:t>
            </w: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7.73</w:t>
            </w:r>
          </w:p>
        </w:tc>
        <w:tc>
          <w:tcPr>
            <w:tcW w:w="985"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56"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6.52</w:t>
            </w:r>
          </w:p>
        </w:tc>
        <w:tc>
          <w:tcPr>
            <w:tcW w:w="95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54"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7"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700.00</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补贴收入</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回收固定资产余值</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回收流动资金</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931.81</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557.23</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固定资产投资</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462.20</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税金及附加</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95.03</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维持营运投资</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374.58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所得税前净现金流量</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-231.81</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142.77</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累计所得税前净现金流量</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639.44</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407.63</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550.40</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693.17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835.94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978.71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1121.48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1264.25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1407.02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1549.79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调整所得税</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所得税后净现金流量</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116.79</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-257.79</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116.79</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3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累计所得税后净现金流量</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381.39</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123.60</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240.39</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357.18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473.97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590.76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707.55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824.34 </w:t>
            </w:r>
          </w:p>
        </w:tc>
        <w:tc>
          <w:tcPr>
            <w:tcW w:w="1100"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941.13 </w:t>
            </w:r>
          </w:p>
        </w:tc>
        <w:tc>
          <w:tcPr>
            <w:tcW w:w="1101" w:type="dxa"/>
            <w:gridSpan w:val="2"/>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1057.92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tbl>
      <w:tblPr>
        <w:tblStyle w:val="53"/>
        <w:tblW w:w="14171"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48"/>
        <w:gridCol w:w="2526"/>
        <w:gridCol w:w="1221"/>
        <w:gridCol w:w="1222"/>
        <w:gridCol w:w="1222"/>
        <w:gridCol w:w="1222"/>
        <w:gridCol w:w="1222"/>
        <w:gridCol w:w="1222"/>
        <w:gridCol w:w="1222"/>
        <w:gridCol w:w="1222"/>
        <w:gridCol w:w="122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生产负荷（%）</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100</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294.16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补贴收入</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回收固定资产余值</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129.76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回收流动资金</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24.40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931.81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557.23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129.17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固定资产投资</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151.49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税金及附加</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维持营运投资</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374.58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所得税前净现金流量</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-231.81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164.99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累计所得税前净现金流量</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1692.56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1835.33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1603.52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1746.29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1889.06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2031.83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2174.60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2317.37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2482.36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调整所得税</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25.98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所得税后净现金流量</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-257.79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164.99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0" w:hRule="atLeast"/>
        </w:trPr>
        <w:tc>
          <w:tcPr>
            <w:tcW w:w="64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25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累计所得税后净现金流量</w:t>
            </w:r>
          </w:p>
        </w:tc>
        <w:tc>
          <w:tcPr>
            <w:tcW w:w="122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1174.71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1291.50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1033.71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1150.50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1267.29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1384.08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1500.87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1617.66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1782.65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r>
        <w:rPr>
          <w:rFonts w:hint="eastAsia" w:ascii="宋体" w:hAnsi="宋体" w:eastAsia="宋体" w:cs="宋体"/>
          <w:b/>
          <w:bCs w:val="0"/>
          <w:color w:val="auto"/>
          <w:sz w:val="24"/>
          <w:szCs w:val="24"/>
          <w:lang w:val="zh-CN" w:eastAsia="zh-CN"/>
        </w:rPr>
        <w:t>附表 6-6                                财务计划现金流量估算表                        单位：万元</w:t>
      </w:r>
    </w:p>
    <w:tbl>
      <w:tblPr>
        <w:tblStyle w:val="53"/>
        <w:tblW w:w="14165"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751"/>
        <w:gridCol w:w="3426"/>
        <w:gridCol w:w="1072"/>
        <w:gridCol w:w="967"/>
        <w:gridCol w:w="859"/>
        <w:gridCol w:w="859"/>
        <w:gridCol w:w="859"/>
        <w:gridCol w:w="859"/>
        <w:gridCol w:w="859"/>
        <w:gridCol w:w="859"/>
        <w:gridCol w:w="859"/>
        <w:gridCol w:w="968"/>
        <w:gridCol w:w="968"/>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合计</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经营活动净现金流量</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3230.00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211.52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19090.20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750.20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19040.00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补贴收入</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其他流入(抵扣设备、建安增值税)</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50.20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50.20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15860.20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538.68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580.10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580.10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580.10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580.10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12630.89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城建税及教育费附加</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180.48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增值税</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1805.12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18.01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1.2.4</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资源税</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544.00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1.2.5</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699.71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36.67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22.87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1.2.6</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投资活动净现金流量</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-1551.31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1551.31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建设工程投资</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维持营运投资</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749.16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2.2.3</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24.40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2.2.4</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筹资活动净现金流量</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802.15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802.15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项目资本金投入</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802.15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65.73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建设工程借款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3.1.3</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3.1.4</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债券</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3.1.5</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3.1.6</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其他流入</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3.2.1</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建设期借款利息</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3.2.2</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流动资金借款利息</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3.2.3</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建设借款本利偿还</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3.2.4</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流动资金借款本金偿还</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3.2.5</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其他短期借款本金偿还</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3.2.6</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应付利润</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3.2.7</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净现金流量</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2480.84 </w:t>
            </w: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211.52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119.90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exact"/>
        </w:trPr>
        <w:tc>
          <w:tcPr>
            <w:tcW w:w="75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42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累计盈余资金</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211.52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331.42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451.32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571.22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691.12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807.91 </w:t>
            </w:r>
          </w:p>
        </w:tc>
        <w:tc>
          <w:tcPr>
            <w:tcW w:w="85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924.70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1041.49 </w:t>
            </w:r>
          </w:p>
        </w:tc>
        <w:tc>
          <w:tcPr>
            <w:tcW w:w="96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1158.28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tbl>
      <w:tblPr>
        <w:tblStyle w:val="53"/>
        <w:tblW w:w="1416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3503"/>
        <w:gridCol w:w="989"/>
        <w:gridCol w:w="989"/>
        <w:gridCol w:w="989"/>
        <w:gridCol w:w="989"/>
        <w:gridCol w:w="989"/>
        <w:gridCol w:w="989"/>
        <w:gridCol w:w="989"/>
        <w:gridCol w:w="989"/>
        <w:gridCol w:w="990"/>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经营活动净现金流量</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补贴收入</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其他流入(抵扣设备、建安增值税)</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城建税及教育费附加</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增值税</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1.2.4</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资源税</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1.2.5</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1.2.6</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投资活动净现金流量</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-374.58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374.58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建设工程投资</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维持营运投资</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374.58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2.2.3</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2.2.4</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筹资活动净现金流量</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项目资本金投入</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建设工程借款</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3.1.3</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3.1.4</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债券</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3.1.5</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3.1.6</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其他流入</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3.2.1</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建设期借款利息</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3.2.2</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流动资金借款利息</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3.2.3</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建设借款本利偿还</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3.2.4</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流动资金借款本金偿还</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3.2.5</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其他短期借款本金偿还</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3.2.6</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应付利润</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3.2.7</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净现金流量</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-257.79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7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5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累计盈余资金</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1275.07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1017.28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1134.07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1250.86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1367.65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1484.44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1601.23 </w:t>
            </w:r>
          </w:p>
        </w:tc>
        <w:tc>
          <w:tcPr>
            <w:tcW w:w="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1718.02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1834.81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1951.60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tbl>
      <w:tblPr>
        <w:tblStyle w:val="53"/>
        <w:tblW w:w="1416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3386"/>
        <w:gridCol w:w="1101"/>
        <w:gridCol w:w="1101"/>
        <w:gridCol w:w="1101"/>
        <w:gridCol w:w="1101"/>
        <w:gridCol w:w="1101"/>
        <w:gridCol w:w="1101"/>
        <w:gridCol w:w="1101"/>
        <w:gridCol w:w="1101"/>
        <w:gridCol w:w="11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28</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经营活动净现金流量</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-30.50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销售收入(含税)</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700.00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补贴收入</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其他流入(抵扣设备、建安增值税)</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583.21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170.50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经营成本</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462.20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151.49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城建税及教育费附加</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1.2.3</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增值税</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68.21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13.65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1.2.4</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资源税</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20.00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环境保护税</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1.2.5</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所得税</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25.98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1.2.6</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投资活动净现金流量</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-374.58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374.58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建设工程投资</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维持营运投资</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374.58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2.2.3</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2.2.4</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筹资活动净现金流量</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现金流入</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项目资本金投入</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-41.33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建设工程借款</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3.1.3</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3.1.4</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债券</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3.1.5</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3.1.6</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其他流入</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现金流出</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3.2.1</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建设期借款利息</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3.2.2</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流动资金借款利息</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3.2.3</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建设借款本利偿还</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3.2.4</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流动资金借款本金偿还</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3.2.5</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其他短期借款本金偿还</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3.2.6</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应付利润</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3.2.7</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其他流出</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净现金流量</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-257.79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-30.50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5" w:hRule="exact"/>
        </w:trPr>
        <w:tc>
          <w:tcPr>
            <w:tcW w:w="8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33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累计盈余资金</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2068.39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2185.18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1927.39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2044.18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2160.97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2277.76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2394.55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2511.34 </w:t>
            </w:r>
          </w:p>
        </w:tc>
        <w:tc>
          <w:tcPr>
            <w:tcW w:w="11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2480.84 </w:t>
            </w:r>
          </w:p>
        </w:tc>
      </w:tr>
    </w:tbl>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r>
        <w:rPr>
          <w:rFonts w:hint="eastAsia" w:ascii="宋体" w:hAnsi="宋体" w:eastAsia="宋体" w:cs="宋体"/>
          <w:b/>
          <w:bCs w:val="0"/>
          <w:color w:val="auto"/>
          <w:sz w:val="24"/>
          <w:szCs w:val="24"/>
          <w:lang w:val="zh-CN" w:eastAsia="zh-CN"/>
        </w:rPr>
        <w:t>附表 6-7                         资产负债估算表                                 单位：万元</w:t>
      </w:r>
    </w:p>
    <w:tbl>
      <w:tblPr>
        <w:tblStyle w:val="53"/>
        <w:tblW w:w="14168"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7"/>
        <w:gridCol w:w="2481"/>
        <w:gridCol w:w="1072"/>
        <w:gridCol w:w="1072"/>
        <w:gridCol w:w="1072"/>
        <w:gridCol w:w="1072"/>
        <w:gridCol w:w="1072"/>
        <w:gridCol w:w="1072"/>
        <w:gridCol w:w="1072"/>
        <w:gridCol w:w="1072"/>
        <w:gridCol w:w="1072"/>
        <w:gridCol w:w="107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资产</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961.89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1030.49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1099.09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1167.69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1236.29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1314.24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1392.19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1470.14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1548.09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流动资产</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285.64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405.54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525.44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645.34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765.24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882.03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998.82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1115.61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1232.40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货币资金</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1.1.2</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应收帐款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预付帐款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1.1.4</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存货</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1.1.5</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累计盈余资金</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331.42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451.32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571.22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691.12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807.91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924.70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1041.49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1158.28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建设工程投资</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固定资产净值</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429.28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390.44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351.60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312.76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273.92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235.08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196.24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157.40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118.56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无形及递延资产净值</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49.84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37.38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24.92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其他资产</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负债及所有者权益</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961.89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1030.49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1099.09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1167.69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1236.29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1314.24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1392.19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1470.14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1548.09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流动负债总额</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2.1.2</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应付帐款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2.1.3</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预收帐款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2.1.4</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建设工程借款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负债小计</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所有者权益</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953.50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1022.10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1090.70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1159.30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1227.90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1305.85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1383.80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1461.75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1539.70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2.5.1</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资本金</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777.75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2.5.2</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资本公积</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2.5.3</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累计盈余公积金</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11.00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17.86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24.72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31.58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38.44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46.24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54.04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61.84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69.64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2.5.4</w:t>
            </w: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累计未分配利润</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99.02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160.76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222.50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284.24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345.98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416.13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486.28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556.43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626.58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资产负债率（%）</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0.87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0.81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0.76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0.72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0.60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0.57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0.54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流动比率（%）</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3404.53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4833.61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6262.69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7691.78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9120.86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10512.87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11904.89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13296.90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14688.92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7"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48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速动比率（%）</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3264.24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4693.33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6122.41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7551.49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8980.57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10372.59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11764.60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13156.62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14548.63 </w:t>
            </w:r>
          </w:p>
        </w:tc>
      </w:tr>
    </w:tbl>
    <w:p>
      <w:pPr>
        <w:pStyle w:val="217"/>
        <w:rPr>
          <w:rFonts w:hint="eastAsia"/>
          <w:color w:val="auto"/>
          <w:lang w:val="zh-CN" w:eastAsia="zh-CN"/>
        </w:rPr>
      </w:pPr>
    </w:p>
    <w:p>
      <w:pPr>
        <w:pStyle w:val="217"/>
        <w:rPr>
          <w:rFonts w:hint="eastAsia"/>
          <w:color w:val="auto"/>
          <w:lang w:val="zh-CN" w:eastAsia="zh-CN"/>
        </w:rPr>
      </w:pPr>
    </w:p>
    <w:tbl>
      <w:tblPr>
        <w:tblStyle w:val="53"/>
        <w:tblW w:w="14163"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69"/>
        <w:gridCol w:w="2482"/>
        <w:gridCol w:w="1071"/>
        <w:gridCol w:w="1071"/>
        <w:gridCol w:w="1071"/>
        <w:gridCol w:w="1071"/>
        <w:gridCol w:w="1071"/>
        <w:gridCol w:w="1071"/>
        <w:gridCol w:w="1071"/>
        <w:gridCol w:w="1071"/>
        <w:gridCol w:w="1072"/>
        <w:gridCol w:w="107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16</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17</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18</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19</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资产</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1626.04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1703.99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1781.94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1859.89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1937.84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2015.79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2093.74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2171.69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2249.64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2327.59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流动资产</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1349.19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1091.40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1208.19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1324.98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1441.77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1558.56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1675.35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1792.14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1908.93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2025.72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货币资金</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1.1.2</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应收帐款</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预付帐款</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1.1.4</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存货</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1.1.5</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累计盈余资金</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1275.07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1017.28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1134.07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1250.86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1367.65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1484.44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1601.23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1718.02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1834.81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1951.60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建设工程投资</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固定资产净值</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79.72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415.46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376.62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337.78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298.94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260.10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221.26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182.42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143.58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104.74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无形及递延资产净值</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其他资产</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负债及所有者权益</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1626.04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1703.99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1781.94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1859.89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1937.84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2015.79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2093.74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2171.69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2249.64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2327.59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流动负债总额</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2.1.2</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应付帐款</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2.1.3</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预收帐款</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2.1.4</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建设工程借款</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负债小计</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所有者权益</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1617.65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1695.60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1773.55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1851.50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1929.45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2007.40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2085.35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2163.30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2241.25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2319.20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2.5.1</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资本金</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2.5.2</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资本公积</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2.5.3</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累计盈余公积金</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77.44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85.24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93.04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100.84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108.64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116.44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124.24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132.04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139.84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147.64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2.5.4</w:t>
            </w: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累计未分配利润</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696.73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766.88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837.03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907.18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977.33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1047.48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1117.63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1187.78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1257.93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1328.08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资产负债率（%）</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0.52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0.45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0.42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0.40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0.39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0.37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流动比率（%）</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16080.93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13008.34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14400.36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15792.37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17184.39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18576.40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19968.41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21360.43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22752.44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24144.46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96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48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速动比率（%）</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15940.64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12868.06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14260.07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15652.09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17044.10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18436.11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19828.13 </w:t>
            </w:r>
          </w:p>
        </w:tc>
        <w:tc>
          <w:tcPr>
            <w:tcW w:w="10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21220.14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22612.16 </w:t>
            </w:r>
          </w:p>
        </w:tc>
        <w:tc>
          <w:tcPr>
            <w:tcW w:w="107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24004.17 </w:t>
            </w:r>
          </w:p>
        </w:tc>
      </w:tr>
    </w:tbl>
    <w:p>
      <w:pPr>
        <w:pStyle w:val="217"/>
        <w:rPr>
          <w:rFonts w:hint="eastAsia"/>
          <w:color w:val="auto"/>
          <w:lang w:val="zh-CN" w:eastAsia="zh-CN"/>
        </w:rPr>
      </w:pPr>
    </w:p>
    <w:tbl>
      <w:tblPr>
        <w:tblStyle w:val="53"/>
        <w:tblW w:w="14168"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43"/>
        <w:gridCol w:w="2671"/>
        <w:gridCol w:w="1154"/>
        <w:gridCol w:w="1154"/>
        <w:gridCol w:w="1154"/>
        <w:gridCol w:w="1154"/>
        <w:gridCol w:w="1154"/>
        <w:gridCol w:w="1154"/>
        <w:gridCol w:w="1154"/>
        <w:gridCol w:w="1154"/>
        <w:gridCol w:w="1222"/>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26</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27</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28</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29</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资产</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2405.54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2483.49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2561.44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2639.39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2717.34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2795.29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2873.24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2951.19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2833.81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流动资产</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2142.51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2259.30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2001.51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2118.30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2235.09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2351.88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2468.67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2585.46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2506.92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1.1.1</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货币资金</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9.50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1.1.2</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应收帐款</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38.52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12.62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1.1.3</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预付帐款</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1.1.4</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存货</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11.77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3.96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1.1.5</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累计盈余资金</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2068.39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2185.18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1927.39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2044.18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2160.97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2277.76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2394.55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2511.34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2480.84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建设工程投资</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固定资产净值</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65.90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27.06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362.80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323.96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285.12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246.28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207.44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168.60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129.76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1.4</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无形及递延资产净值</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1.5</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其他资产</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197.13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负债及所有者权益</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2405.54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2483.49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2561.44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2639.39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2717.34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2795.29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2873.24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2951.19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2833.81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流动负债总额</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2.1.1</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其他短期借款</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2.1.2</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应付帐款</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2.1.3</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预收帐款</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2.1.4</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建设工程借款</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流动资金借款</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2.4</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负债小计</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8.39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1.68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所有者权益</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2397.15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2475.10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2553.05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2631.00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2708.95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2786.90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2864.85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2942.80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2832.13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2.5.1</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资本金</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843.48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802.15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2.5.2</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资本公积</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2.5.3</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累计盈余公积金</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155.44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163.24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171.04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178.84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186.64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194.44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202.24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210.04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210.04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2.5.4</w:t>
            </w: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累计未分配利润</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1398.23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1468.38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1538.53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1608.68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1678.83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1748.98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1819.13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1889.28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1819.94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资产负债率（%）</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0.35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0.32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0.31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0.30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0.28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0.06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流动比率（%）</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25536.47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26928.49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23855.90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25247.91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26639.93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28031.94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29423.96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30815.97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149221.43 </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3" w:hRule="exact"/>
        </w:trPr>
        <w:tc>
          <w:tcPr>
            <w:tcW w:w="1043"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267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速动比率（%）</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25396.19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26788.20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23715.61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25107.63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26499.64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27891.66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29283.67 </w:t>
            </w:r>
          </w:p>
        </w:tc>
        <w:tc>
          <w:tcPr>
            <w:tcW w:w="1154"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30675.69 </w:t>
            </w:r>
          </w:p>
        </w:tc>
        <w:tc>
          <w:tcPr>
            <w:tcW w:w="122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148985.71 </w:t>
            </w:r>
          </w:p>
        </w:tc>
      </w:tr>
    </w:tbl>
    <w:p>
      <w:pPr>
        <w:pStyle w:val="217"/>
        <w:rPr>
          <w:rFonts w:hint="eastAsia"/>
          <w:color w:val="auto"/>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4"/>
          <w:szCs w:val="24"/>
          <w:lang w:val="zh-CN" w:eastAsia="zh-CN"/>
        </w:rPr>
      </w:pPr>
      <w:r>
        <w:rPr>
          <w:rFonts w:hint="eastAsia" w:ascii="宋体" w:hAnsi="宋体" w:eastAsia="宋体" w:cs="宋体"/>
          <w:b/>
          <w:bCs w:val="0"/>
          <w:color w:val="auto"/>
          <w:sz w:val="24"/>
          <w:szCs w:val="24"/>
          <w:lang w:val="zh-CN" w:eastAsia="zh-CN"/>
        </w:rPr>
        <w:t>附表6-8               无形及其他资产摊销计算表              单位：万元</w:t>
      </w:r>
    </w:p>
    <w:p>
      <w:pPr>
        <w:pStyle w:val="217"/>
        <w:rPr>
          <w:rFonts w:hint="eastAsia" w:ascii="宋体" w:hAnsi="宋体" w:eastAsia="宋体" w:cs="宋体"/>
          <w:b/>
          <w:bCs w:val="0"/>
          <w:color w:val="auto"/>
          <w:sz w:val="24"/>
          <w:szCs w:val="24"/>
          <w:lang w:val="zh-CN" w:eastAsia="zh-CN"/>
        </w:rPr>
      </w:pPr>
    </w:p>
    <w:tbl>
      <w:tblPr>
        <w:tblStyle w:val="53"/>
        <w:tblW w:w="14168"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978"/>
        <w:gridCol w:w="3239"/>
        <w:gridCol w:w="1628"/>
        <w:gridCol w:w="492"/>
        <w:gridCol w:w="1141"/>
        <w:gridCol w:w="1141"/>
        <w:gridCol w:w="1141"/>
        <w:gridCol w:w="1141"/>
        <w:gridCol w:w="1141"/>
        <w:gridCol w:w="490"/>
        <w:gridCol w:w="490"/>
        <w:gridCol w:w="490"/>
        <w:gridCol w:w="656"/>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序号</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项            目</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摊销年限</w:t>
            </w: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4</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6</w:t>
            </w: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7</w:t>
            </w: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8</w:t>
            </w: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9</w:t>
            </w: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无形资产 </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1.1</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原值</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10</w:t>
            </w: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摊销</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1.3</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净值</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其他资产</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2.1</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原值</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5</w:t>
            </w: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2.2</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摊销</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12.46</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2.3</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净值</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49.84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37.38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24.92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无形和其他资产合计</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3.1</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原值</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62.30 </w:t>
            </w: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3.2</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摊销</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7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3.3</w:t>
            </w:r>
          </w:p>
        </w:tc>
        <w:tc>
          <w:tcPr>
            <w:tcW w:w="3239"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净值</w:t>
            </w:r>
          </w:p>
        </w:tc>
        <w:tc>
          <w:tcPr>
            <w:tcW w:w="1628"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2"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49.84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37.38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24.92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r>
              <w:rPr>
                <w:rFonts w:hint="eastAsia" w:ascii="宋体" w:hAnsi="宋体" w:eastAsia="宋体" w:cs="宋体"/>
                <w:b w:val="0"/>
                <w:bCs w:val="0"/>
                <w:color w:val="auto"/>
                <w:sz w:val="21"/>
                <w:szCs w:val="21"/>
                <w:lang w:val="en-US" w:eastAsia="zh-CN"/>
              </w:rPr>
              <w:t xml:space="preserve">12.46 </w:t>
            </w:r>
          </w:p>
        </w:tc>
        <w:tc>
          <w:tcPr>
            <w:tcW w:w="1141"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490"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c>
          <w:tcPr>
            <w:tcW w:w="656" w:type="dxa"/>
            <w:tcBorders>
              <w:tl2br w:val="nil"/>
              <w:tr2bl w:val="nil"/>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val="0"/>
                <w:bCs w:val="0"/>
                <w:color w:val="auto"/>
                <w:sz w:val="21"/>
                <w:szCs w:val="21"/>
                <w:lang w:val="en-US" w:eastAsia="zh-CN"/>
              </w:rPr>
            </w:pPr>
          </w:p>
        </w:tc>
      </w:tr>
    </w:tbl>
    <w:p>
      <w:pPr>
        <w:adjustRightInd w:val="0"/>
        <w:snapToGrid w:val="0"/>
        <w:spacing w:line="360" w:lineRule="auto"/>
        <w:ind w:firstLine="480" w:firstLineChars="200"/>
        <w:rPr>
          <w:rFonts w:ascii="宋体" w:hAnsi="宋体"/>
          <w:color w:val="auto"/>
          <w:sz w:val="24"/>
          <w:szCs w:val="24"/>
        </w:rPr>
        <w:sectPr>
          <w:pgSz w:w="16838" w:h="11906" w:orient="landscape"/>
          <w:pgMar w:top="1559" w:right="1440" w:bottom="1400" w:left="1440" w:header="851" w:footer="992" w:gutter="0"/>
          <w:pgBorders>
            <w:top w:val="none" w:sz="0" w:space="0"/>
            <w:left w:val="none" w:sz="0" w:space="0"/>
            <w:bottom w:val="none" w:sz="0" w:space="0"/>
            <w:right w:val="none" w:sz="0" w:space="0"/>
          </w:pgBorders>
          <w:cols w:space="0" w:num="1"/>
          <w:docGrid w:type="lines" w:linePitch="312" w:charSpace="0"/>
        </w:sectPr>
      </w:pPr>
    </w:p>
    <w:p>
      <w:pPr>
        <w:spacing w:line="360" w:lineRule="auto"/>
        <w:outlineLvl w:val="1"/>
        <w:rPr>
          <w:rFonts w:hint="eastAsia" w:ascii="宋体" w:hAnsi="宋体" w:eastAsia="宋体" w:cs="宋体"/>
          <w:b/>
          <w:color w:val="auto"/>
          <w:sz w:val="30"/>
          <w:szCs w:val="30"/>
        </w:rPr>
      </w:pPr>
      <w:bookmarkStart w:id="239" w:name="_Toc1416"/>
      <w:r>
        <w:rPr>
          <w:rFonts w:hint="eastAsia" w:ascii="宋体" w:hAnsi="宋体" w:eastAsia="宋体" w:cs="宋体"/>
          <w:b/>
          <w:color w:val="auto"/>
          <w:sz w:val="30"/>
          <w:szCs w:val="30"/>
        </w:rPr>
        <w:t>二、</w:t>
      </w:r>
      <w:bookmarkEnd w:id="234"/>
      <w:bookmarkEnd w:id="235"/>
      <w:bookmarkEnd w:id="236"/>
      <w:bookmarkEnd w:id="237"/>
      <w:bookmarkEnd w:id="238"/>
      <w:r>
        <w:rPr>
          <w:rFonts w:hint="eastAsia" w:ascii="宋体" w:hAnsi="宋体" w:eastAsia="宋体" w:cs="宋体"/>
          <w:b/>
          <w:color w:val="auto"/>
          <w:sz w:val="30"/>
          <w:szCs w:val="30"/>
        </w:rPr>
        <w:t>地质环境治理和土地复垦投资估算</w:t>
      </w:r>
      <w:bookmarkEnd w:id="239"/>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bookmarkStart w:id="240" w:name="_Toc3296"/>
      <w:bookmarkStart w:id="241" w:name="_Toc29788"/>
      <w:bookmarkStart w:id="242" w:name="_Toc25735"/>
      <w:bookmarkStart w:id="243" w:name="_Toc3903"/>
      <w:bookmarkStart w:id="244" w:name="_Toc27573"/>
      <w:r>
        <w:rPr>
          <w:rFonts w:hint="eastAsia"/>
          <w:color w:val="auto"/>
          <w:sz w:val="28"/>
          <w:szCs w:val="28"/>
          <w:lang w:eastAsia="zh-CN"/>
        </w:rPr>
        <w:t>（一）投资估算依据和方法</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本矿山服务年限</w:t>
      </w:r>
      <w:r>
        <w:rPr>
          <w:rFonts w:hint="eastAsia" w:ascii="宋体" w:hAnsi="宋体" w:cs="宋体"/>
          <w:color w:val="auto"/>
          <w:sz w:val="24"/>
          <w:szCs w:val="24"/>
          <w:lang w:val="en-US" w:eastAsia="zh-CN"/>
        </w:rPr>
        <w:t>27.2</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矿山基建期0.5年，</w:t>
      </w:r>
      <w:r>
        <w:rPr>
          <w:rFonts w:hint="eastAsia" w:ascii="宋体" w:hAnsi="宋体" w:eastAsia="宋体" w:cs="宋体"/>
          <w:color w:val="auto"/>
          <w:sz w:val="24"/>
          <w:szCs w:val="24"/>
        </w:rPr>
        <w:t>土地复垦计划工期为</w:t>
      </w:r>
      <w:r>
        <w:rPr>
          <w:rFonts w:hint="eastAsia" w:ascii="宋体" w:hAnsi="宋体" w:cs="宋体"/>
          <w:color w:val="auto"/>
          <w:sz w:val="24"/>
          <w:szCs w:val="24"/>
          <w:lang w:val="en-US" w:eastAsia="zh-CN"/>
        </w:rPr>
        <w:t>0.5</w:t>
      </w:r>
      <w:r>
        <w:rPr>
          <w:rFonts w:hint="eastAsia" w:ascii="宋体" w:hAnsi="宋体" w:eastAsia="宋体" w:cs="宋体"/>
          <w:color w:val="auto"/>
          <w:sz w:val="24"/>
          <w:szCs w:val="24"/>
        </w:rPr>
        <w:t>年，土地复垦利用方向为</w:t>
      </w:r>
      <w:r>
        <w:rPr>
          <w:rFonts w:hint="eastAsia" w:ascii="宋体" w:hAnsi="宋体" w:cs="宋体"/>
          <w:color w:val="auto"/>
          <w:sz w:val="24"/>
          <w:szCs w:val="24"/>
          <w:lang w:val="en-US" w:eastAsia="zh-CN"/>
        </w:rPr>
        <w:t>裸土地</w:t>
      </w:r>
      <w:r>
        <w:rPr>
          <w:rFonts w:hint="eastAsia" w:ascii="宋体" w:hAnsi="宋体" w:eastAsia="宋体" w:cs="宋体"/>
          <w:color w:val="auto"/>
          <w:sz w:val="24"/>
          <w:szCs w:val="24"/>
        </w:rPr>
        <w:t>。《方案》总服务年限为</w:t>
      </w:r>
      <w:r>
        <w:rPr>
          <w:rFonts w:hint="eastAsia" w:ascii="宋体" w:hAnsi="宋体" w:cs="宋体"/>
          <w:color w:val="auto"/>
          <w:sz w:val="24"/>
          <w:szCs w:val="24"/>
          <w:lang w:val="en-US" w:eastAsia="zh-CN"/>
        </w:rPr>
        <w:t>28.2</w:t>
      </w:r>
      <w:r>
        <w:rPr>
          <w:rFonts w:hint="eastAsia" w:ascii="宋体" w:hAnsi="宋体" w:eastAsia="宋体" w:cs="宋体"/>
          <w:color w:val="auto"/>
          <w:sz w:val="24"/>
          <w:szCs w:val="24"/>
        </w:rPr>
        <w:t>年。矿山从建设到闭坑后土地复垦工作结束共用时约</w:t>
      </w:r>
      <w:r>
        <w:rPr>
          <w:rFonts w:hint="eastAsia" w:ascii="宋体" w:hAnsi="宋体" w:cs="宋体"/>
          <w:color w:val="auto"/>
          <w:sz w:val="24"/>
          <w:szCs w:val="24"/>
          <w:lang w:val="en-US" w:eastAsia="zh-CN"/>
        </w:rPr>
        <w:t>28.2</w:t>
      </w:r>
      <w:r>
        <w:rPr>
          <w:rFonts w:hint="eastAsia" w:ascii="宋体" w:hAnsi="宋体" w:eastAsia="宋体" w:cs="宋体"/>
          <w:color w:val="auto"/>
          <w:sz w:val="24"/>
          <w:szCs w:val="24"/>
        </w:rPr>
        <w:t>年，矿区地质环境保护与治理恢复费用是根据当地物价水平，并结合调查访问结果对其进行估算，并结合调查访问结果对其进行估算，本估算包括环境保护与综合治理费用和土地复垦费用两个部分。其中环境保护与综合治理经费、土地复垦费用根据《土地开发整理项目预算定额标准》（财综[2011]128号）、《水利建筑工程预算定额》（水总[2002]116号）、相关建筑工程定额及其它相关预算定额结合当地物价水平进行估算。年度治理经费作为矿山运营期间对矿山环境问题的维护费用，可根据当地物价及行业标准进行估算。</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1、编制依据</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1）《土地复垦方案编制规程》（TD/T1031.1-2011）（通则）；</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2）《土地开发整理项目规划设计规范》（TD/T1012-2000）；</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3)《土地整治项目设计报告编制规程》（TD/T1038-2013）；</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4）财政部、国土资源部《土地开发整理项目预算编制规定》（2012年）；</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5）财政部、国土资源部《土地开发整理项目预算定额》（2012年）；</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6）财政部、国土资源部《土地开发整理项目施工机械台班费定额》（2012年）；</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7）国土资源部土地整理中心《土地复垦方案编制实务》（2011年）；</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8)水利部《开发建设项目水土保持工程概（估）算编制规定》（2003年）；</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9）《财政部、国土资源部关于印发土地开发整理项目预算定额标准的通知》，财综〔2011〕128号；</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10）《土地开发整理项目预算定额标准》（财综〔2011〕128号）；</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11）《关于加强基本建设大中型项目概算中“价差预备费”管理的有关通知》（计投资[1999]12309100号）；</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12）《新疆水利水电概（估）预算编制规定》（2005年订稿）；</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13）国土资源部办公厅《关于印发土地整理工程营业税改增值税计价依据调整过渡实施方案的通知》（国土资厅发[2017]19号）；</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14）《新疆维吾尔自治区公路工程建设项目估概预算编制办法补充规定》（新交</w:t>
      </w:r>
      <w:r>
        <w:rPr>
          <w:rFonts w:hint="eastAsia" w:ascii="宋体" w:hAnsi="宋体" w:cs="宋体"/>
          <w:color w:val="auto"/>
          <w:sz w:val="24"/>
          <w:szCs w:val="24"/>
          <w:lang w:val="en-US" w:eastAsia="zh-CN"/>
        </w:rPr>
        <w:t>规</w:t>
      </w:r>
      <w:r>
        <w:rPr>
          <w:rFonts w:hint="eastAsia" w:ascii="宋体" w:hAnsi="宋体" w:eastAsia="宋体" w:cs="宋体"/>
          <w:color w:val="auto"/>
          <w:sz w:val="24"/>
          <w:szCs w:val="24"/>
        </w:rPr>
        <w:t>[20</w:t>
      </w:r>
      <w:r>
        <w:rPr>
          <w:rFonts w:hint="eastAsia" w:ascii="宋体" w:hAnsi="宋体" w:cs="宋体"/>
          <w:color w:val="auto"/>
          <w:sz w:val="24"/>
          <w:szCs w:val="24"/>
          <w:lang w:val="en-US" w:eastAsia="zh-CN"/>
        </w:rPr>
        <w:t>21</w:t>
      </w:r>
      <w:r>
        <w:rPr>
          <w:rFonts w:hint="eastAsia" w:ascii="宋体" w:hAnsi="宋体" w:eastAsia="宋体" w:cs="宋体"/>
          <w:color w:val="auto"/>
          <w:sz w:val="24"/>
          <w:szCs w:val="24"/>
        </w:rPr>
        <w:t>]1号）；</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15）《202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月喀什地区</w:t>
      </w:r>
      <w:r>
        <w:rPr>
          <w:rFonts w:hint="eastAsia" w:ascii="宋体" w:hAnsi="宋体" w:cs="宋体"/>
          <w:color w:val="auto"/>
          <w:sz w:val="24"/>
          <w:szCs w:val="24"/>
          <w:lang w:val="en-US" w:eastAsia="zh-CN"/>
        </w:rPr>
        <w:t>伽师县</w:t>
      </w:r>
      <w:r>
        <w:rPr>
          <w:rFonts w:hint="eastAsia" w:ascii="宋体" w:hAnsi="宋体" w:eastAsia="宋体" w:cs="宋体"/>
          <w:color w:val="auto"/>
          <w:sz w:val="24"/>
          <w:szCs w:val="24"/>
        </w:rPr>
        <w:t>建设工程造价信息》</w:t>
      </w:r>
      <w:r>
        <w:rPr>
          <w:rFonts w:hint="eastAsia" w:ascii="宋体" w:hAnsi="宋体" w:cs="宋体"/>
          <w:color w:val="auto"/>
          <w:sz w:val="24"/>
          <w:szCs w:val="24"/>
          <w:lang w:eastAsia="zh-CN"/>
        </w:rPr>
        <w:t>。</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方案工程包括环境保护与综合治理工程及土地复垦工程两个部分组成，则本估算包括环境保护与综合治理费用和土地复垦费用两个部分，因此取费构成及计算标准分为矿山地质环境保护与治理取费构成和土地复垦取费构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矿山地质环境保护与治理取费构成：矿山地质环境保护与治理项目估算由工程施工费、设备购置费、其他费用（前期工作费、工程监理费、竣工验收费、业主管理费）组成。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山土地复垦取费构成：根据《土地复垦方案编制规程》和《土地复垦方案编制实务》中的土地复垦费用组成说明，土地复垦费用包括工程施工费、设备费、其他费用（前期工作费、工程监理费、竣工验收费、业主管理费）、监测与管护费以及预备费（基本预备费、价差预备费、风险金）。</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（1）工程施工费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工程施工费由直接费、间接费、利润和税金组成。</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1）直接费由直接工程费和措施费组成。</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①直接工程费由人工费、材料费、机械使用费组成。</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本矿区位于新疆维吾尔自治区</w:t>
      </w:r>
      <w:r>
        <w:rPr>
          <w:rFonts w:hint="eastAsia" w:ascii="宋体" w:hAnsi="宋体" w:cs="宋体"/>
          <w:bCs/>
          <w:color w:val="auto"/>
          <w:sz w:val="24"/>
          <w:szCs w:val="24"/>
          <w:lang w:val="en-US" w:eastAsia="zh-CN"/>
        </w:rPr>
        <w:t>伽师县</w:t>
      </w:r>
      <w:r>
        <w:rPr>
          <w:rFonts w:hint="eastAsia" w:ascii="宋体" w:hAnsi="宋体" w:eastAsia="宋体" w:cs="宋体"/>
          <w:color w:val="auto"/>
          <w:sz w:val="24"/>
          <w:szCs w:val="24"/>
          <w:highlight w:val="none"/>
        </w:rPr>
        <w:t>，属于十一类工资区</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类生活补贴区，</w:t>
      </w:r>
    </w:p>
    <w:p>
      <w:pPr>
        <w:autoSpaceDE w:val="0"/>
        <w:autoSpaceDN w:val="0"/>
        <w:adjustRightInd w:val="0"/>
        <w:snapToGrid w:val="0"/>
        <w:spacing w:line="360" w:lineRule="auto"/>
        <w:ind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其基本工资标准为甲类</w:t>
      </w:r>
      <w:r>
        <w:rPr>
          <w:rFonts w:hint="eastAsia" w:ascii="宋体" w:hAnsi="宋体" w:eastAsia="宋体" w:cs="宋体"/>
          <w:b w:val="0"/>
          <w:bCs w:val="0"/>
          <w:color w:val="auto"/>
          <w:sz w:val="24"/>
          <w:szCs w:val="24"/>
          <w:vertAlign w:val="baseline"/>
          <w:lang w:val="en-US" w:eastAsia="zh-CN"/>
        </w:rPr>
        <w:t>540</w:t>
      </w:r>
      <w:r>
        <w:rPr>
          <w:rFonts w:hint="eastAsia" w:ascii="宋体" w:hAnsi="宋体" w:eastAsia="宋体" w:cs="宋体"/>
          <w:color w:val="auto"/>
          <w:sz w:val="24"/>
          <w:szCs w:val="24"/>
          <w:highlight w:val="none"/>
        </w:rPr>
        <w:t>元/月，乙类</w:t>
      </w:r>
      <w:r>
        <w:rPr>
          <w:rFonts w:hint="eastAsia" w:ascii="宋体" w:hAnsi="宋体" w:cs="宋体"/>
          <w:bCs/>
          <w:color w:val="auto"/>
          <w:sz w:val="24"/>
          <w:szCs w:val="24"/>
          <w:highlight w:val="none"/>
          <w:lang w:val="en-US" w:eastAsia="zh-CN"/>
        </w:rPr>
        <w:t>445</w:t>
      </w:r>
      <w:r>
        <w:rPr>
          <w:rFonts w:hint="eastAsia" w:ascii="宋体" w:hAnsi="宋体" w:eastAsia="宋体" w:cs="宋体"/>
          <w:color w:val="auto"/>
          <w:sz w:val="24"/>
          <w:szCs w:val="24"/>
          <w:highlight w:val="none"/>
        </w:rPr>
        <w:t>元/月，地区工资系数为1.1304；地区生活补贴标准按</w:t>
      </w:r>
      <w:r>
        <w:rPr>
          <w:rFonts w:hint="eastAsia" w:ascii="宋体" w:hAnsi="宋体" w:cs="宋体"/>
          <w:color w:val="auto"/>
          <w:sz w:val="24"/>
          <w:szCs w:val="24"/>
          <w:highlight w:val="none"/>
          <w:lang w:val="en-US" w:eastAsia="zh-CN"/>
        </w:rPr>
        <w:t>四</w:t>
      </w:r>
      <w:r>
        <w:rPr>
          <w:rFonts w:hint="eastAsia" w:ascii="宋体" w:hAnsi="宋体" w:eastAsia="宋体" w:cs="宋体"/>
          <w:color w:val="auto"/>
          <w:sz w:val="24"/>
          <w:szCs w:val="24"/>
          <w:highlight w:val="none"/>
        </w:rPr>
        <w:t>类区为7</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rPr>
        <w:t>元/月。经计算，人工工资预算单价为：甲类工</w:t>
      </w:r>
      <w:r>
        <w:rPr>
          <w:rFonts w:hint="eastAsia" w:ascii="宋体" w:hAnsi="宋体" w:cs="宋体"/>
          <w:bCs/>
          <w:color w:val="auto"/>
          <w:sz w:val="24"/>
          <w:szCs w:val="24"/>
          <w:highlight w:val="none"/>
          <w:lang w:val="en-US" w:eastAsia="zh-CN"/>
        </w:rPr>
        <w:t>61.62</w:t>
      </w:r>
      <w:r>
        <w:rPr>
          <w:rFonts w:hint="eastAsia" w:ascii="宋体" w:hAnsi="宋体" w:eastAsia="宋体" w:cs="宋体"/>
          <w:color w:val="auto"/>
          <w:sz w:val="24"/>
          <w:szCs w:val="24"/>
          <w:highlight w:val="none"/>
        </w:rPr>
        <w:t>元/工日；乙类工</w:t>
      </w:r>
      <w:r>
        <w:rPr>
          <w:rFonts w:hint="eastAsia" w:ascii="宋体" w:hAnsi="宋体" w:cs="宋体"/>
          <w:bCs/>
          <w:color w:val="auto"/>
          <w:sz w:val="24"/>
          <w:szCs w:val="24"/>
          <w:highlight w:val="none"/>
          <w:lang w:val="en-US" w:eastAsia="zh-CN"/>
        </w:rPr>
        <w:t>48.55</w:t>
      </w:r>
      <w:r>
        <w:rPr>
          <w:rFonts w:hint="eastAsia" w:ascii="宋体" w:hAnsi="宋体" w:eastAsia="宋体" w:cs="宋体"/>
          <w:color w:val="auto"/>
          <w:sz w:val="24"/>
          <w:szCs w:val="24"/>
          <w:highlight w:val="none"/>
        </w:rPr>
        <w:t>元/工日。见表6-</w:t>
      </w:r>
      <w:r>
        <w:rPr>
          <w:rFonts w:hint="eastAsia" w:ascii="宋体" w:hAnsi="宋体" w:cs="宋体"/>
          <w:color w:val="auto"/>
          <w:sz w:val="24"/>
          <w:szCs w:val="24"/>
          <w:highlight w:val="none"/>
          <w:lang w:val="en-US" w:eastAsia="zh-CN"/>
        </w:rPr>
        <w:t>2-1</w:t>
      </w:r>
      <w:r>
        <w:rPr>
          <w:rFonts w:hint="eastAsia" w:ascii="宋体" w:hAnsi="宋体" w:eastAsia="宋体" w:cs="宋体"/>
          <w:color w:val="auto"/>
          <w:sz w:val="24"/>
          <w:szCs w:val="24"/>
          <w:highlight w:val="none"/>
        </w:rPr>
        <w:t>、6-</w:t>
      </w:r>
      <w:r>
        <w:rPr>
          <w:rFonts w:hint="eastAsia" w:ascii="宋体" w:hAnsi="宋体" w:cs="宋体"/>
          <w:color w:val="auto"/>
          <w:sz w:val="24"/>
          <w:szCs w:val="24"/>
          <w:highlight w:val="none"/>
          <w:lang w:val="en-US" w:eastAsia="zh-CN"/>
        </w:rPr>
        <w:t>2-2</w:t>
      </w:r>
      <w:r>
        <w:rPr>
          <w:rFonts w:hint="eastAsia" w:ascii="宋体" w:hAnsi="宋体" w:eastAsia="宋体" w:cs="宋体"/>
          <w:color w:val="auto"/>
          <w:sz w:val="24"/>
          <w:szCs w:val="24"/>
          <w:highlight w:val="none"/>
        </w:rPr>
        <w:t>、6-</w:t>
      </w:r>
      <w:r>
        <w:rPr>
          <w:rFonts w:hint="eastAsia" w:ascii="宋体" w:hAnsi="宋体" w:cs="宋体"/>
          <w:color w:val="auto"/>
          <w:sz w:val="24"/>
          <w:szCs w:val="24"/>
          <w:highlight w:val="none"/>
          <w:lang w:val="en-US" w:eastAsia="zh-CN"/>
        </w:rPr>
        <w:t>2-3</w:t>
      </w:r>
      <w:r>
        <w:rPr>
          <w:rFonts w:hint="eastAsia" w:ascii="宋体" w:hAnsi="宋体" w:eastAsia="宋体" w:cs="宋体"/>
          <w:color w:val="auto"/>
          <w:sz w:val="24"/>
          <w:szCs w:val="24"/>
          <w:highlight w:val="none"/>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2-1</w:t>
      </w:r>
      <w:r>
        <w:rPr>
          <w:rFonts w:hint="eastAsia" w:ascii="宋体" w:hAnsi="宋体" w:eastAsia="宋体" w:cs="宋体"/>
          <w:b/>
          <w:color w:val="auto"/>
          <w:sz w:val="21"/>
          <w:szCs w:val="21"/>
        </w:rPr>
        <w:t xml:space="preserve">   新疆维吾尔自治区生活补贴费地区分类表</w:t>
      </w:r>
    </w:p>
    <w:tbl>
      <w:tblPr>
        <w:tblStyle w:val="53"/>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7165"/>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trPr>
        <w:tc>
          <w:tcPr>
            <w:tcW w:w="1186" w:type="dxa"/>
            <w:vAlign w:val="center"/>
          </w:tcPr>
          <w:p>
            <w:pPr>
              <w:pStyle w:val="160"/>
              <w:spacing w:line="240" w:lineRule="auto"/>
              <w:rPr>
                <w:rFonts w:hint="eastAsia" w:ascii="宋体" w:hAnsi="宋体" w:eastAsia="宋体" w:cs="宋体"/>
                <w:color w:val="auto"/>
                <w:sz w:val="18"/>
                <w:szCs w:val="18"/>
              </w:rPr>
            </w:pPr>
            <w:r>
              <w:rPr>
                <w:rFonts w:hint="eastAsia" w:ascii="宋体" w:hAnsi="宋体" w:eastAsia="宋体" w:cs="宋体"/>
                <w:color w:val="auto"/>
                <w:sz w:val="18"/>
                <w:szCs w:val="18"/>
              </w:rPr>
              <w:t>地区类别</w:t>
            </w:r>
          </w:p>
        </w:tc>
        <w:tc>
          <w:tcPr>
            <w:tcW w:w="7165" w:type="dxa"/>
            <w:vAlign w:val="center"/>
          </w:tcPr>
          <w:p>
            <w:pPr>
              <w:pStyle w:val="160"/>
              <w:spacing w:line="240" w:lineRule="auto"/>
              <w:rPr>
                <w:rFonts w:hint="eastAsia" w:ascii="宋体" w:hAnsi="宋体" w:eastAsia="宋体" w:cs="宋体"/>
                <w:color w:val="auto"/>
                <w:sz w:val="18"/>
                <w:szCs w:val="18"/>
              </w:rPr>
            </w:pPr>
            <w:r>
              <w:rPr>
                <w:rFonts w:hint="eastAsia" w:ascii="宋体" w:hAnsi="宋体" w:eastAsia="宋体" w:cs="宋体"/>
                <w:color w:val="auto"/>
                <w:sz w:val="18"/>
                <w:szCs w:val="18"/>
              </w:rPr>
              <w:t>范围</w:t>
            </w:r>
          </w:p>
        </w:tc>
        <w:tc>
          <w:tcPr>
            <w:tcW w:w="816" w:type="dxa"/>
            <w:vAlign w:val="center"/>
          </w:tcPr>
          <w:p>
            <w:pPr>
              <w:pStyle w:val="160"/>
              <w:spacing w:line="240" w:lineRule="auto"/>
              <w:rPr>
                <w:rFonts w:hint="eastAsia" w:ascii="宋体" w:hAnsi="宋体" w:eastAsia="宋体" w:cs="宋体"/>
                <w:color w:val="auto"/>
                <w:sz w:val="18"/>
                <w:szCs w:val="18"/>
              </w:rPr>
            </w:pPr>
            <w:r>
              <w:rPr>
                <w:rFonts w:hint="eastAsia" w:ascii="宋体" w:hAnsi="宋体" w:eastAsia="宋体" w:cs="宋体"/>
                <w:color w:val="auto"/>
                <w:sz w:val="18"/>
                <w:szCs w:val="18"/>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6" w:type="dxa"/>
            <w:vAlign w:val="center"/>
          </w:tcPr>
          <w:p>
            <w:pPr>
              <w:pStyle w:val="160"/>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一类地区</w:t>
            </w:r>
          </w:p>
        </w:tc>
        <w:tc>
          <w:tcPr>
            <w:tcW w:w="7165" w:type="dxa"/>
            <w:vAlign w:val="center"/>
          </w:tcPr>
          <w:p>
            <w:pPr>
              <w:pStyle w:val="160"/>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乌鲁木齐市；石河子市；昌吉州：阜康市、米泉市、呼图壁县、玛纳斯县</w:t>
            </w:r>
          </w:p>
        </w:tc>
        <w:tc>
          <w:tcPr>
            <w:tcW w:w="816" w:type="dxa"/>
            <w:vAlign w:val="center"/>
          </w:tcPr>
          <w:p>
            <w:pPr>
              <w:pStyle w:val="160"/>
              <w:spacing w:line="240" w:lineRule="auto"/>
              <w:rPr>
                <w:rFonts w:hint="eastAsia" w:ascii="宋体" w:hAnsi="宋体" w:eastAsia="宋体" w:cs="宋体"/>
                <w:color w:val="auto"/>
                <w:sz w:val="18"/>
                <w:szCs w:val="18"/>
              </w:rPr>
            </w:pPr>
            <w:r>
              <w:rPr>
                <w:rFonts w:hint="eastAsia" w:ascii="宋体" w:hAnsi="宋体" w:eastAsia="宋体" w:cs="宋体"/>
                <w:color w:val="auto"/>
                <w:sz w:val="18"/>
                <w:szCs w:val="18"/>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6" w:type="dxa"/>
            <w:vAlign w:val="center"/>
          </w:tcPr>
          <w:p>
            <w:pPr>
              <w:pStyle w:val="160"/>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二类地区</w:t>
            </w:r>
          </w:p>
        </w:tc>
        <w:tc>
          <w:tcPr>
            <w:tcW w:w="7165" w:type="dxa"/>
            <w:vAlign w:val="center"/>
          </w:tcPr>
          <w:p>
            <w:pPr>
              <w:pStyle w:val="160"/>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克拉玛依市；吐鲁番地区：吐鲁番市、鄯善县、托克逊县；哈密地区：哈密市；昌吉州：奇台县、吉木萨尔县；伊犁州直：奎屯市；伊犁州：伊宁市、伊宁县；伊犁州塔城地区：乌苏市、沙湾县；巴音郭楞州：库尔勒市、焉耆县、和硕县、博湖县；阿克苏地区阿克苏市</w:t>
            </w:r>
          </w:p>
        </w:tc>
        <w:tc>
          <w:tcPr>
            <w:tcW w:w="816" w:type="dxa"/>
            <w:vAlign w:val="center"/>
          </w:tcPr>
          <w:p>
            <w:pPr>
              <w:pStyle w:val="160"/>
              <w:spacing w:line="240" w:lineRule="auto"/>
              <w:rPr>
                <w:rFonts w:hint="eastAsia" w:ascii="宋体" w:hAnsi="宋体" w:eastAsia="宋体" w:cs="宋体"/>
                <w:color w:val="auto"/>
                <w:sz w:val="18"/>
                <w:szCs w:val="18"/>
              </w:rPr>
            </w:pPr>
            <w:r>
              <w:rPr>
                <w:rFonts w:hint="eastAsia" w:ascii="宋体" w:hAnsi="宋体" w:eastAsia="宋体" w:cs="宋体"/>
                <w:color w:val="auto"/>
                <w:sz w:val="18"/>
                <w:szCs w:val="18"/>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6" w:type="dxa"/>
            <w:vAlign w:val="center"/>
          </w:tcPr>
          <w:p>
            <w:pPr>
              <w:pStyle w:val="160"/>
              <w:spacing w:line="240" w:lineRule="auto"/>
              <w:jc w:val="center"/>
              <w:rPr>
                <w:rFonts w:hint="eastAsia" w:ascii="宋体" w:hAnsi="宋体" w:eastAsia="宋体" w:cs="宋体"/>
                <w:color w:val="auto"/>
                <w:sz w:val="18"/>
                <w:szCs w:val="18"/>
              </w:rPr>
            </w:pPr>
            <w:r>
              <w:rPr>
                <w:rFonts w:hint="eastAsia" w:ascii="宋体" w:hAnsi="宋体" w:eastAsia="宋体" w:cs="宋体"/>
                <w:b w:val="0"/>
                <w:bCs w:val="0"/>
                <w:color w:val="auto"/>
                <w:sz w:val="18"/>
                <w:szCs w:val="18"/>
              </w:rPr>
              <w:t>三类地区</w:t>
            </w:r>
          </w:p>
        </w:tc>
        <w:tc>
          <w:tcPr>
            <w:tcW w:w="7165" w:type="dxa"/>
            <w:vAlign w:val="center"/>
          </w:tcPr>
          <w:p>
            <w:pPr>
              <w:pStyle w:val="160"/>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哈密地区:巴里坤县；昌吉州:木垒县；伊犁州:察布察尔县、霍城县、巩留县、新源县、特克斯县、尼勒克县；伊犁州塔城地区：塔城市、额敏县、托里县；伊犁州阿勒泰地区：阿勒泰市、布尔津县、福海县、哈巴河县；博尔塔拉州：博乐市、精河县；巴音郭楞州：轮台县、和静县、尉犁县；阿克苏地区：温宿县、库车县、沙雅县、新和县、拜城县、阿瓦提县；喀什地区:</w:t>
            </w:r>
            <w:r>
              <w:rPr>
                <w:rFonts w:hint="eastAsia" w:ascii="宋体" w:hAnsi="宋体" w:eastAsia="宋体" w:cs="宋体"/>
                <w:b w:val="0"/>
                <w:bCs w:val="0"/>
                <w:color w:val="auto"/>
                <w:sz w:val="18"/>
                <w:szCs w:val="18"/>
              </w:rPr>
              <w:t>喀什市</w:t>
            </w:r>
            <w:r>
              <w:rPr>
                <w:rFonts w:hint="eastAsia" w:ascii="宋体" w:hAnsi="宋体" w:eastAsia="宋体" w:cs="宋体"/>
                <w:color w:val="auto"/>
                <w:sz w:val="18"/>
                <w:szCs w:val="18"/>
              </w:rPr>
              <w:t>、疏附县、疏勒县</w:t>
            </w:r>
          </w:p>
        </w:tc>
        <w:tc>
          <w:tcPr>
            <w:tcW w:w="816" w:type="dxa"/>
            <w:vAlign w:val="center"/>
          </w:tcPr>
          <w:p>
            <w:pPr>
              <w:pStyle w:val="160"/>
              <w:spacing w:line="240" w:lineRule="auto"/>
              <w:rPr>
                <w:rFonts w:hint="eastAsia" w:ascii="宋体" w:hAnsi="宋体" w:eastAsia="宋体" w:cs="宋体"/>
                <w:color w:val="auto"/>
                <w:sz w:val="18"/>
                <w:szCs w:val="18"/>
              </w:rPr>
            </w:pPr>
            <w:r>
              <w:rPr>
                <w:rFonts w:hint="eastAsia" w:ascii="宋体" w:hAnsi="宋体" w:eastAsia="宋体" w:cs="宋体"/>
                <w:b w:val="0"/>
                <w:bCs w:val="0"/>
                <w:color w:val="auto"/>
                <w:sz w:val="18"/>
                <w:szCs w:val="18"/>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186" w:type="dxa"/>
            <w:vAlign w:val="center"/>
          </w:tcPr>
          <w:p>
            <w:pPr>
              <w:pStyle w:val="160"/>
              <w:spacing w:line="240" w:lineRule="auto"/>
              <w:jc w:val="center"/>
              <w:rPr>
                <w:rFonts w:hint="eastAsia" w:ascii="宋体" w:hAnsi="宋体" w:eastAsia="宋体" w:cs="宋体"/>
                <w:color w:val="auto"/>
                <w:sz w:val="18"/>
                <w:szCs w:val="18"/>
              </w:rPr>
            </w:pPr>
            <w:r>
              <w:rPr>
                <w:rFonts w:hint="eastAsia" w:ascii="宋体" w:hAnsi="宋体" w:eastAsia="宋体" w:cs="宋体"/>
                <w:b/>
                <w:bCs/>
                <w:color w:val="auto"/>
                <w:sz w:val="18"/>
                <w:szCs w:val="18"/>
              </w:rPr>
              <w:t>四类地区</w:t>
            </w:r>
          </w:p>
        </w:tc>
        <w:tc>
          <w:tcPr>
            <w:tcW w:w="7165" w:type="dxa"/>
            <w:vAlign w:val="center"/>
          </w:tcPr>
          <w:p>
            <w:pPr>
              <w:pStyle w:val="160"/>
              <w:spacing w:line="240" w:lineRule="auto"/>
              <w:jc w:val="left"/>
              <w:rPr>
                <w:rFonts w:hint="eastAsia" w:ascii="宋体" w:hAnsi="宋体" w:eastAsia="宋体" w:cs="宋体"/>
                <w:color w:val="auto"/>
                <w:sz w:val="18"/>
                <w:szCs w:val="18"/>
              </w:rPr>
            </w:pPr>
            <w:r>
              <w:rPr>
                <w:rFonts w:hint="eastAsia" w:ascii="宋体" w:hAnsi="宋体" w:eastAsia="宋体" w:cs="宋体"/>
                <w:color w:val="auto"/>
                <w:sz w:val="18"/>
                <w:szCs w:val="18"/>
              </w:rPr>
              <w:t>伊犁州阿勒泰地区：富蕴县、青河县、吉木乃县；伊犁州塔地区：裕民县、和布克塞尔县；哈密地区：伊吾县；伊犁州：昭苏县；博尔塔拉州：温泉县；巴音郭楞州：若羌县、且末县；克孜勒苏州：阿合奇县、乌恰县、阿图什市、阿克陶县；阿克苏地区：柯坪县、乌什县;喀什地区：塔什库尔干县、英吉沙县、泽普县、莎车县、叶城县、麦盖提县、岳普湖县、</w:t>
            </w:r>
            <w:r>
              <w:rPr>
                <w:rFonts w:hint="eastAsia" w:ascii="宋体" w:hAnsi="宋体" w:eastAsia="宋体" w:cs="宋体"/>
                <w:b/>
                <w:bCs/>
                <w:color w:val="auto"/>
                <w:sz w:val="18"/>
                <w:szCs w:val="18"/>
              </w:rPr>
              <w:t>伽师县</w:t>
            </w:r>
            <w:r>
              <w:rPr>
                <w:rFonts w:hint="eastAsia" w:ascii="宋体" w:hAnsi="宋体" w:eastAsia="宋体" w:cs="宋体"/>
                <w:color w:val="auto"/>
                <w:sz w:val="18"/>
                <w:szCs w:val="18"/>
              </w:rPr>
              <w:t>、巴楚县；和田地区：民丰县、和田市(含和田县)、墨玉县、皮山县、洛浦县、策勒县、于田县</w:t>
            </w:r>
          </w:p>
        </w:tc>
        <w:tc>
          <w:tcPr>
            <w:tcW w:w="816" w:type="dxa"/>
            <w:vAlign w:val="center"/>
          </w:tcPr>
          <w:p>
            <w:pPr>
              <w:pStyle w:val="160"/>
              <w:spacing w:line="240" w:lineRule="auto"/>
              <w:rPr>
                <w:rFonts w:hint="eastAsia" w:ascii="宋体" w:hAnsi="宋体" w:eastAsia="宋体" w:cs="宋体"/>
                <w:color w:val="auto"/>
                <w:sz w:val="18"/>
                <w:szCs w:val="18"/>
              </w:rPr>
            </w:pPr>
            <w:r>
              <w:rPr>
                <w:rFonts w:hint="eastAsia" w:ascii="宋体" w:hAnsi="宋体" w:eastAsia="宋体" w:cs="宋体"/>
                <w:b/>
                <w:bCs/>
                <w:color w:val="auto"/>
                <w:sz w:val="18"/>
                <w:szCs w:val="18"/>
              </w:rPr>
              <w:t>78</w:t>
            </w:r>
          </w:p>
        </w:tc>
      </w:tr>
    </w:tbl>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2-2</w:t>
      </w:r>
      <w:r>
        <w:rPr>
          <w:rFonts w:hint="eastAsia" w:ascii="宋体" w:hAnsi="宋体" w:eastAsia="宋体" w:cs="宋体"/>
          <w:b/>
          <w:color w:val="auto"/>
          <w:sz w:val="21"/>
          <w:szCs w:val="21"/>
        </w:rPr>
        <w:t xml:space="preserve">    甲类人工费日单价计算表</w:t>
      </w:r>
    </w:p>
    <w:tbl>
      <w:tblPr>
        <w:tblStyle w:val="53"/>
        <w:tblW w:w="9044" w:type="dxa"/>
        <w:tblInd w:w="91" w:type="dxa"/>
        <w:tblLayout w:type="fixed"/>
        <w:tblCellMar>
          <w:top w:w="0" w:type="dxa"/>
          <w:left w:w="108" w:type="dxa"/>
          <w:bottom w:w="0" w:type="dxa"/>
          <w:right w:w="108" w:type="dxa"/>
        </w:tblCellMar>
      </w:tblPr>
      <w:tblGrid>
        <w:gridCol w:w="1080"/>
        <w:gridCol w:w="1920"/>
        <w:gridCol w:w="4528"/>
        <w:gridCol w:w="1516"/>
      </w:tblGrid>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地区类别</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十一类</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定额人工等级</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甲类</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计算式</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单价（元）</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基本工资</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540元/月×1.1304×12月÷(250天-10天)</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辅助工资</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c>
          <w:tcPr>
            <w:tcW w:w="151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地区津贴</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78元/月×12月÷(250天-10天)</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3.90</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施工津贴</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3.5元/天×365天×0.95÷(250天-10天)</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5.06</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夜餐津贴</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（4.5元/天+3.5元/天）÷2×0.2</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0.80</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节日加班津贴</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30.52元/工日×(3-1)×11÷250天×0.35</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0.94</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工资附加费</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c>
          <w:tcPr>
            <w:tcW w:w="151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职工福利基金</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（30.52元/工日+10.70元/工日)×14%</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5.77</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工会经费</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（30.52元/工日+10.70元/工日)×2%</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0.82</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养老保险费</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（30.52元/工日+10.70元/工日)×20%</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8.24</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医疗保险费</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（30.52元/工日+10.70元/工日)×4%</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1.65</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工伤保险费</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（30.52元/工日+10.70元/工日)×1.5%</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0.62</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职工失业保险基金</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（30.52元/工日+10.70元/工日)×2%</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0.82</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住房公积金</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（30.52元/工日+10.70元/工日)×6%</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2.47</w:t>
            </w:r>
          </w:p>
        </w:tc>
      </w:tr>
      <w:tr>
        <w:tblPrEx>
          <w:tblLayout w:type="fixed"/>
          <w:tblCellMar>
            <w:top w:w="0" w:type="dxa"/>
            <w:left w:w="108" w:type="dxa"/>
            <w:bottom w:w="0" w:type="dxa"/>
            <w:right w:w="108" w:type="dxa"/>
          </w:tblCellMar>
        </w:tblPrEx>
        <w:trPr>
          <w:trHeight w:val="340" w:hRule="atLeast"/>
        </w:trPr>
        <w:tc>
          <w:tcPr>
            <w:tcW w:w="108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920"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人工工日预算单价</w:t>
            </w:r>
          </w:p>
        </w:tc>
        <w:tc>
          <w:tcPr>
            <w:tcW w:w="45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（1）+（2）+（3）</w:t>
            </w:r>
          </w:p>
        </w:tc>
        <w:tc>
          <w:tcPr>
            <w:tcW w:w="151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bottom"/>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61.62</w:t>
            </w:r>
          </w:p>
        </w:tc>
      </w:tr>
    </w:tbl>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2-3</w:t>
      </w:r>
      <w:r>
        <w:rPr>
          <w:rFonts w:hint="eastAsia" w:ascii="宋体" w:hAnsi="宋体" w:eastAsia="宋体" w:cs="宋体"/>
          <w:b/>
          <w:color w:val="auto"/>
          <w:sz w:val="21"/>
          <w:szCs w:val="21"/>
        </w:rPr>
        <w:t xml:space="preserve">   乙类人工费日单价计算表</w:t>
      </w:r>
    </w:p>
    <w:tbl>
      <w:tblPr>
        <w:tblStyle w:val="53"/>
        <w:tblW w:w="9015" w:type="dxa"/>
        <w:jc w:val="center"/>
        <w:tblInd w:w="0" w:type="dxa"/>
        <w:tblLayout w:type="fixed"/>
        <w:tblCellMar>
          <w:top w:w="0" w:type="dxa"/>
          <w:left w:w="108" w:type="dxa"/>
          <w:bottom w:w="0" w:type="dxa"/>
          <w:right w:w="108" w:type="dxa"/>
        </w:tblCellMar>
      </w:tblPr>
      <w:tblGrid>
        <w:gridCol w:w="1064"/>
        <w:gridCol w:w="1827"/>
        <w:gridCol w:w="4591"/>
        <w:gridCol w:w="1533"/>
      </w:tblGrid>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地区类别</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十一类</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定额人工等级</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乙类</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项目</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计算式</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单价（元）</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基本工资</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445元/月×1.1304×12月÷(250天-10天)</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25.15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辅助工资</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地区津贴</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78元/月×12月÷(250天-10天)</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3.90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施工津贴</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2.0元/天×365天×0.95÷(250天-10天)</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2.89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夜餐津贴</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（4.5元/天+3.5元/天）÷2×0.05</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0.20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节日加班津贴</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25.15元/工日×(3-1)×11÷250天×0.15</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0.33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工资附加费</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c>
          <w:tcPr>
            <w:tcW w:w="1533"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color w:val="auto"/>
                <w:sz w:val="18"/>
                <w:szCs w:val="18"/>
              </w:rPr>
            </w:pP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职工福利基金</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（25.15元/工日+7.32元/工日)×14%</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4.55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工会经费</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（25.15元/工日+7.32元/工日)×2%</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0.65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养老保险费</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（25.15元/工日+7.32元/工日)×20%</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6.49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医疗保险费</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（25.15元/工日+7.32元/工日)×4%</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1.30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工伤保险费</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（25.15元/工日+7.32元/工日)×1.5%</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0.49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职工失业保险基金</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（25.15元/工日+7.32元/工日)×2%</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0.65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住房公积金</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（25.15元/工日+7.32元/工日)×6%</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1.95 </w:t>
            </w:r>
          </w:p>
        </w:tc>
      </w:tr>
      <w:tr>
        <w:tblPrEx>
          <w:tblLayout w:type="fixed"/>
          <w:tblCellMar>
            <w:top w:w="0" w:type="dxa"/>
            <w:left w:w="108" w:type="dxa"/>
            <w:bottom w:w="0" w:type="dxa"/>
            <w:right w:w="108" w:type="dxa"/>
          </w:tblCellMar>
        </w:tblPrEx>
        <w:trPr>
          <w:trHeight w:val="340" w:hRule="exact"/>
          <w:jc w:val="center"/>
        </w:trPr>
        <w:tc>
          <w:tcPr>
            <w:tcW w:w="1064"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1827" w:type="dxa"/>
            <w:tcBorders>
              <w:top w:val="single" w:color="000000" w:sz="4" w:space="0"/>
              <w:left w:val="single" w:color="000000" w:sz="4" w:space="0"/>
              <w:bottom w:val="single" w:color="000000" w:sz="4" w:space="0"/>
              <w:right w:val="single" w:color="000000" w:sz="4" w:space="0"/>
            </w:tcBorders>
            <w:noWrap/>
            <w:vAlign w:val="center"/>
          </w:tcPr>
          <w:p>
            <w:pPr>
              <w:pStyle w:val="160"/>
              <w:tabs>
                <w:tab w:val="left" w:pos="540"/>
                <w:tab w:val="left" w:pos="1080"/>
                <w:tab w:val="left" w:pos="1260"/>
                <w:tab w:val="left" w:pos="1440"/>
              </w:tabs>
              <w:spacing w:line="240" w:lineRule="auto"/>
              <w:jc w:val="center"/>
              <w:rPr>
                <w:rFonts w:hint="eastAsia" w:ascii="宋体" w:hAnsi="宋体" w:eastAsia="宋体" w:cs="宋体"/>
                <w:color w:val="auto"/>
                <w:sz w:val="18"/>
                <w:szCs w:val="18"/>
              </w:rPr>
            </w:pPr>
            <w:r>
              <w:rPr>
                <w:rFonts w:hint="eastAsia" w:ascii="宋体" w:hAnsi="宋体" w:eastAsia="宋体" w:cs="宋体"/>
                <w:color w:val="auto"/>
                <w:sz w:val="18"/>
                <w:szCs w:val="18"/>
              </w:rPr>
              <w:t>人工工日预算单价</w:t>
            </w:r>
          </w:p>
        </w:tc>
        <w:tc>
          <w:tcPr>
            <w:tcW w:w="45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（1）+（2）+（3）</w:t>
            </w:r>
          </w:p>
        </w:tc>
        <w:tc>
          <w:tcPr>
            <w:tcW w:w="153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color w:val="auto"/>
                <w:sz w:val="18"/>
                <w:szCs w:val="18"/>
              </w:rPr>
            </w:pPr>
            <w:r>
              <w:rPr>
                <w:rFonts w:hint="eastAsia" w:ascii="宋体" w:hAnsi="宋体" w:eastAsia="宋体" w:cs="宋体"/>
                <w:i w:val="0"/>
                <w:iCs w:val="0"/>
                <w:color w:val="auto"/>
                <w:kern w:val="0"/>
                <w:sz w:val="18"/>
                <w:szCs w:val="18"/>
                <w:u w:val="none"/>
                <w:lang w:val="en-US" w:eastAsia="zh-CN" w:bidi="ar"/>
              </w:rPr>
              <w:t xml:space="preserve">48.55 </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本工程所涉及的材料主要为燃油，92号汽油按9.81元/千克，0号柴油按8.24元/千克，水、电、铁丝、角钢、警示牌等均依据《关于发布202</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7</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喀什</w:t>
      </w:r>
      <w:r>
        <w:rPr>
          <w:rFonts w:hint="eastAsia" w:ascii="宋体" w:hAnsi="宋体" w:eastAsia="宋体" w:cs="宋体"/>
          <w:color w:val="auto"/>
          <w:sz w:val="24"/>
          <w:szCs w:val="24"/>
        </w:rPr>
        <w:t>地区</w:t>
      </w:r>
      <w:r>
        <w:rPr>
          <w:rFonts w:hint="eastAsia" w:ascii="宋体" w:hAnsi="宋体" w:cs="宋体"/>
          <w:color w:val="auto"/>
          <w:sz w:val="24"/>
          <w:szCs w:val="24"/>
          <w:lang w:val="en-US" w:eastAsia="zh-CN"/>
        </w:rPr>
        <w:t>伽师县</w:t>
      </w:r>
      <w:r>
        <w:rPr>
          <w:rFonts w:hint="eastAsia" w:ascii="宋体" w:hAnsi="宋体" w:eastAsia="宋体" w:cs="宋体"/>
          <w:color w:val="auto"/>
          <w:sz w:val="24"/>
          <w:szCs w:val="24"/>
        </w:rPr>
        <w:t>建设工程造价信息的通知》中工程建设标准造价信息及实地调查价格。详见表6-</w:t>
      </w:r>
      <w:r>
        <w:rPr>
          <w:rFonts w:hint="eastAsia" w:ascii="宋体" w:hAnsi="宋体" w:cs="宋体"/>
          <w:color w:val="auto"/>
          <w:sz w:val="24"/>
          <w:szCs w:val="24"/>
          <w:lang w:val="en-US" w:eastAsia="zh-CN"/>
        </w:rPr>
        <w:t>2-4</w:t>
      </w:r>
      <w:r>
        <w:rPr>
          <w:rFonts w:hint="eastAsia" w:ascii="宋体" w:hAnsi="宋体" w:eastAsia="宋体" w:cs="宋体"/>
          <w:color w:val="auto"/>
          <w:sz w:val="24"/>
          <w:szCs w:val="24"/>
        </w:rPr>
        <w:t>。</w:t>
      </w:r>
    </w:p>
    <w:p>
      <w:pPr>
        <w:pStyle w:val="15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在机械使用费定额的计算中，台班费依据《土地开发整理项目预算定额标准》（财综〔2011〕128号）确定。</w:t>
      </w:r>
    </w:p>
    <w:p>
      <w:pPr>
        <w:pStyle w:val="15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②措施费由临时设施费、施工辅助费和特殊地区施工增加费组成，取3.6%。</w:t>
      </w:r>
    </w:p>
    <w:p>
      <w:pPr>
        <w:pStyle w:val="15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2）间接费包括企业管理费和规费，取5%。</w:t>
      </w:r>
    </w:p>
    <w:p>
      <w:pPr>
        <w:pStyle w:val="15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3）利润依据《土地开发整理项目预算定额标准》财综〔2011〕128号规定，利润率取3%，计算基础为直接费与间接费之和。</w:t>
      </w:r>
    </w:p>
    <w:p>
      <w:pPr>
        <w:pStyle w:val="15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4）税金依据国土资源部办公室《新疆关于调整我区建设工程计价依据增值税税率的通知》，税率取9%，计算基础为直接费、间接费和利润之和。</w:t>
      </w:r>
    </w:p>
    <w:p>
      <w:pPr>
        <w:pStyle w:val="159"/>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（2）设备购置费：本次复垦均为利用矿山已有设备，不再另外购置，设备购置费不再计取。</w:t>
      </w:r>
    </w:p>
    <w:p>
      <w:pPr>
        <w:pStyle w:val="159"/>
        <w:pageBreakBefore w:val="0"/>
        <w:kinsoku/>
        <w:overflowPunct/>
        <w:bidi w:val="0"/>
        <w:adjustRightInd/>
        <w:snapToGrid/>
        <w:spacing w:line="240" w:lineRule="auto"/>
        <w:ind w:right="0" w:rightChars="0"/>
        <w:jc w:val="center"/>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rPr>
        <w:t>表6-</w:t>
      </w:r>
      <w:r>
        <w:rPr>
          <w:rFonts w:hint="eastAsia" w:ascii="宋体" w:hAnsi="宋体" w:eastAsia="宋体" w:cs="宋体"/>
          <w:b/>
          <w:bCs w:val="0"/>
          <w:color w:val="auto"/>
          <w:sz w:val="21"/>
          <w:szCs w:val="21"/>
          <w:lang w:val="en-US" w:eastAsia="zh-CN"/>
        </w:rPr>
        <w:t xml:space="preserve">2-4      </w:t>
      </w:r>
      <w:r>
        <w:rPr>
          <w:rFonts w:hint="eastAsia" w:ascii="宋体" w:hAnsi="宋体" w:eastAsia="宋体" w:cs="宋体"/>
          <w:b/>
          <w:bCs w:val="0"/>
          <w:color w:val="auto"/>
          <w:sz w:val="21"/>
          <w:szCs w:val="21"/>
        </w:rPr>
        <w:t xml:space="preserve"> </w:t>
      </w:r>
      <w:r>
        <w:rPr>
          <w:rFonts w:hint="eastAsia" w:ascii="宋体" w:hAnsi="宋体" w:eastAsia="宋体" w:cs="宋体"/>
          <w:b/>
          <w:bCs w:val="0"/>
          <w:color w:val="auto"/>
          <w:sz w:val="21"/>
          <w:szCs w:val="21"/>
          <w:lang w:val="en-US" w:eastAsia="zh-CN"/>
        </w:rPr>
        <w:t>喀什</w:t>
      </w:r>
      <w:r>
        <w:rPr>
          <w:rFonts w:hint="eastAsia" w:ascii="宋体" w:hAnsi="宋体" w:eastAsia="宋体" w:cs="宋体"/>
          <w:b/>
          <w:bCs w:val="0"/>
          <w:color w:val="auto"/>
          <w:sz w:val="21"/>
          <w:szCs w:val="21"/>
        </w:rPr>
        <w:t>地区</w:t>
      </w:r>
      <w:r>
        <w:rPr>
          <w:rFonts w:hint="eastAsia" w:ascii="宋体" w:hAnsi="宋体" w:eastAsia="宋体" w:cs="宋体"/>
          <w:b/>
          <w:bCs w:val="0"/>
          <w:color w:val="auto"/>
          <w:sz w:val="21"/>
          <w:szCs w:val="21"/>
          <w:lang w:val="en-US" w:eastAsia="zh-CN"/>
        </w:rPr>
        <w:t>伽师县</w:t>
      </w:r>
      <w:r>
        <w:rPr>
          <w:rFonts w:hint="eastAsia" w:ascii="宋体" w:hAnsi="宋体" w:eastAsia="宋体" w:cs="宋体"/>
          <w:b/>
          <w:bCs w:val="0"/>
          <w:color w:val="auto"/>
          <w:sz w:val="21"/>
          <w:szCs w:val="21"/>
        </w:rPr>
        <w:t>202</w:t>
      </w:r>
      <w:r>
        <w:rPr>
          <w:rFonts w:hint="eastAsia" w:ascii="宋体" w:hAnsi="宋体" w:eastAsia="宋体" w:cs="宋体"/>
          <w:b/>
          <w:bCs w:val="0"/>
          <w:color w:val="auto"/>
          <w:sz w:val="21"/>
          <w:szCs w:val="21"/>
          <w:lang w:val="en-US" w:eastAsia="zh-CN"/>
        </w:rPr>
        <w:t>4</w:t>
      </w:r>
      <w:r>
        <w:rPr>
          <w:rFonts w:hint="eastAsia" w:ascii="宋体" w:hAnsi="宋体" w:eastAsia="宋体" w:cs="宋体"/>
          <w:b/>
          <w:bCs w:val="0"/>
          <w:color w:val="auto"/>
          <w:sz w:val="21"/>
          <w:szCs w:val="21"/>
        </w:rPr>
        <w:t>年</w:t>
      </w:r>
      <w:r>
        <w:rPr>
          <w:rFonts w:hint="eastAsia" w:ascii="宋体" w:hAnsi="宋体" w:eastAsia="宋体" w:cs="宋体"/>
          <w:b/>
          <w:bCs w:val="0"/>
          <w:color w:val="auto"/>
          <w:sz w:val="21"/>
          <w:szCs w:val="21"/>
          <w:lang w:val="en-US" w:eastAsia="zh-CN"/>
        </w:rPr>
        <w:t>7</w:t>
      </w:r>
      <w:r>
        <w:rPr>
          <w:rFonts w:hint="eastAsia" w:ascii="宋体" w:hAnsi="宋体" w:eastAsia="宋体" w:cs="宋体"/>
          <w:b/>
          <w:bCs w:val="0"/>
          <w:color w:val="auto"/>
          <w:sz w:val="21"/>
          <w:szCs w:val="21"/>
        </w:rPr>
        <w:t>月建设工程除税综合价格信息</w:t>
      </w:r>
    </w:p>
    <w:tbl>
      <w:tblPr>
        <w:tblStyle w:val="53"/>
        <w:tblW w:w="867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4"/>
        <w:gridCol w:w="2820"/>
        <w:gridCol w:w="648"/>
        <w:gridCol w:w="1282"/>
        <w:gridCol w:w="1125"/>
        <w:gridCol w:w="1067"/>
        <w:gridCol w:w="12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blHeader/>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序号</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材料名称及规格型号</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单位</w:t>
            </w:r>
          </w:p>
        </w:tc>
        <w:tc>
          <w:tcPr>
            <w:tcW w:w="12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除税综合信息价（元）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当地是否有生产厂家</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包送运距（km）</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91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商品混凝土</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商品混凝土C15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388 </w:t>
            </w:r>
          </w:p>
        </w:tc>
        <w:tc>
          <w:tcPr>
            <w:tcW w:w="1125"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nil"/>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商品混凝土C20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408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商品混凝土C25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437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商品混凝土C30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476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商品混凝土C35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505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商品混凝土C40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525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商品混凝土C45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565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商品混凝土C50 （泵送）</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593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91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水泥</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auto"/>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普通硅酸盐水泥（R）42.5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603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普通硅酸盐水泥（R）52.5</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t</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674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391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0"/>
                <w:szCs w:val="20"/>
                <w:u w:val="none"/>
              </w:rPr>
            </w:pPr>
            <w:r>
              <w:rPr>
                <w:rFonts w:hint="eastAsia" w:ascii="宋体" w:hAnsi="宋体" w:eastAsia="宋体" w:cs="宋体"/>
                <w:b/>
                <w:bCs/>
                <w:i w:val="0"/>
                <w:iCs w:val="0"/>
                <w:color w:val="auto"/>
                <w:kern w:val="0"/>
                <w:sz w:val="20"/>
                <w:szCs w:val="20"/>
                <w:u w:val="none"/>
                <w:lang w:val="en-US" w:eastAsia="zh-CN" w:bidi="ar"/>
              </w:rPr>
              <w:t>砖砂石</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宋体" w:hAnsi="宋体" w:eastAsia="宋体" w:cs="宋体"/>
                <w:i w:val="0"/>
                <w:iCs w:val="0"/>
                <w:color w:val="auto"/>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0"/>
                <w:szCs w:val="20"/>
                <w:u w:val="none"/>
              </w:rPr>
            </w:pP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加气混凝土砌块</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310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页岩煤矸石多孔砖（矩形）</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千块</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620 </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70</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细砂</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粗砂</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中砂</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砾石 10mm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砾石 10mm以内</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砾石 20mm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砾石 20mm以内</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砾石 40mm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砾石 40mm以内</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5mm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10mm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14</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15mm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15</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20mm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16</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25mm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17</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30mm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18</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40mm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19</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50mm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20</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60mm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21</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碎石 70mm</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95</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4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22</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天然砂石</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m3</w:t>
            </w:r>
          </w:p>
        </w:tc>
        <w:tc>
          <w:tcPr>
            <w:tcW w:w="12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80</w:t>
            </w:r>
          </w:p>
        </w:tc>
        <w:tc>
          <w:tcPr>
            <w:tcW w:w="112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否</w:t>
            </w:r>
          </w:p>
        </w:tc>
        <w:tc>
          <w:tcPr>
            <w:tcW w:w="1067"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55</w:t>
            </w:r>
          </w:p>
        </w:tc>
        <w:tc>
          <w:tcPr>
            <w:tcW w:w="12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r>
    </w:tbl>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其它费用：依据《土地开发整理项目预算定额标准》财综〔2011〕128号规定，本项目包括前期工作费、工程监理费、拆迁补偿费、竣工验收费和业主管理费。根据本复垦工程特点，复垦工程可由矿山生产企业委托第三方复垦，复垦工程不涉及拆迁补偿，其它费用包括前期工作费、工程监理费、竣工验收费和业主管理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①前期工作费包括土地清查费、项目勘察费、项目设计与预算编制费和项目招标代理费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土地清查费按工程施工费的0.5%计算；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项目勘察费按工程施工费的1.5%计算；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项目设计与预算编制费以工程施工费与设备购置费之和作为计费基数，采用分档定额计算，各区间按内插法确定。</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项目招标代理费以工程施工费与设备购置费之和作为计费基数，采用差额定律累进法计算。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②工程监理费以工程施工费与设备购置费之和作为计费基数，采用分档定额计算方法。</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③竣工验收费=工程复核费+工程验收费+项目决算编制与审计费+整理后土地的重估与登记费+标识设定费。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④业主管理费以工程施工费、前期工作费、工程监理费和竣工验收费之和作为计费基数，采用差额定率累进法计算。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（4）土地复垦监测</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1）监测费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方案复垦监测内容为矿山各个设施土地损毁监测及复垦效果监测，通过对该项目的监测，确定土地利用及土壤改良对策。费用标准为一处监测点监测一次的费用按市场价；包括监测过程中发生的人工费、无人机航拍等费用。</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2）管护费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本项目复垦为</w:t>
      </w:r>
      <w:r>
        <w:rPr>
          <w:rFonts w:hint="eastAsia" w:ascii="宋体" w:hAnsi="宋体" w:cs="宋体"/>
          <w:color w:val="auto"/>
          <w:sz w:val="24"/>
          <w:szCs w:val="24"/>
          <w:lang w:val="en-US" w:eastAsia="zh-CN"/>
        </w:rPr>
        <w:t>裸土地</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不设管护期</w:t>
      </w:r>
      <w:r>
        <w:rPr>
          <w:rFonts w:hint="eastAsia" w:ascii="宋体" w:hAnsi="宋体" w:eastAsia="宋体" w:cs="宋体"/>
          <w:color w:val="auto"/>
          <w:sz w:val="24"/>
          <w:szCs w:val="24"/>
        </w:rPr>
        <w:t>。</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（5）预备费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预备费是在考虑了土地复垦期间可能发生的风险因素，从而导致复垦费用增加的一项费用。本方案预备费主要包括基本预备费和风险金。</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1）基本预备费</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指为解决在工程施工过程中因自然灾害、设计变更等所增加的费用。根据《土地复垦方案编制实务》及本方案土地复垦工程施工特点，可按工程施工费和其他费用之和的3%计取。</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）风险金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Cs/>
          <w:color w:val="auto"/>
          <w:kern w:val="0"/>
        </w:rPr>
      </w:pPr>
      <w:r>
        <w:rPr>
          <w:rFonts w:hint="eastAsia" w:ascii="宋体" w:hAnsi="宋体" w:eastAsia="宋体" w:cs="宋体"/>
          <w:color w:val="auto"/>
          <w:sz w:val="24"/>
          <w:szCs w:val="24"/>
        </w:rPr>
        <w:t>是指可预见而目前技术上无法完全避免的土地复垦过程中可能发生的风险的备用金。根据矿山开发利用方案中财务评价结论，结合《土地复垦方案编制规程》中对复垦工程风险金计取的要求：“金属矿山和开采年限较长的非金属矿等复垦工程按可能性大小，以复垦施工费为基数计取风险金”，根据本方案的特点，本风险金按工程施工费和其他费用之和的2％计算。</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highlight w:val="none"/>
          <w:lang w:eastAsia="zh-CN"/>
        </w:rPr>
      </w:pPr>
      <w:r>
        <w:rPr>
          <w:rFonts w:hint="eastAsia"/>
          <w:color w:val="auto"/>
          <w:sz w:val="28"/>
          <w:szCs w:val="28"/>
          <w:highlight w:val="none"/>
          <w:lang w:eastAsia="zh-CN"/>
        </w:rPr>
        <w:t>（</w:t>
      </w:r>
      <w:r>
        <w:rPr>
          <w:rFonts w:hint="eastAsia"/>
          <w:color w:val="auto"/>
          <w:sz w:val="28"/>
          <w:szCs w:val="28"/>
          <w:highlight w:val="none"/>
          <w:lang w:val="en-US" w:eastAsia="zh-CN"/>
        </w:rPr>
        <w:t>二</w:t>
      </w:r>
      <w:r>
        <w:rPr>
          <w:rFonts w:hint="eastAsia"/>
          <w:color w:val="auto"/>
          <w:sz w:val="28"/>
          <w:szCs w:val="28"/>
          <w:highlight w:val="none"/>
          <w:lang w:eastAsia="zh-CN"/>
        </w:rPr>
        <w:t>）地质环境治理投资估算</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1、总工程量与投资估算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1）工程量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yellow"/>
        </w:rPr>
      </w:pPr>
      <w:r>
        <w:rPr>
          <w:rFonts w:hint="eastAsia" w:ascii="宋体" w:hAnsi="宋体" w:eastAsia="宋体" w:cs="宋体"/>
          <w:color w:val="auto"/>
          <w:sz w:val="24"/>
          <w:szCs w:val="24"/>
        </w:rPr>
        <w:t>根据本次矿山地质环境治理工程的时间安排和工程量统计，依据上述费用组成和取费标准进行经费估算。本方案涉及矿山地质环境治理工程量包含矿山环境保护预防工程量和矿山环境监测工程量（详见表6-</w:t>
      </w:r>
      <w:r>
        <w:rPr>
          <w:rFonts w:hint="eastAsia" w:ascii="宋体" w:hAnsi="宋体" w:cs="宋体"/>
          <w:color w:val="auto"/>
          <w:sz w:val="24"/>
          <w:szCs w:val="24"/>
          <w:lang w:val="en-US" w:eastAsia="zh-CN"/>
        </w:rPr>
        <w:t>2-5</w:t>
      </w:r>
      <w:r>
        <w:rPr>
          <w:rFonts w:hint="eastAsia" w:ascii="宋体" w:hAnsi="宋体" w:eastAsia="宋体" w:cs="宋体"/>
          <w:color w:val="auto"/>
          <w:sz w:val="24"/>
          <w:szCs w:val="24"/>
        </w:rPr>
        <w:t>）。生产期内边生产，边治理，同时完成生铁丝围栏和警示牌等修建工作。</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2-5</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矿山地质环境治理总工程量统计表</w:t>
      </w:r>
    </w:p>
    <w:tbl>
      <w:tblPr>
        <w:tblStyle w:val="53"/>
        <w:tblW w:w="72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3029"/>
        <w:gridCol w:w="1136"/>
        <w:gridCol w:w="2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工程名称</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2027"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一</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地质灾害防治</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（一）</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cs="宋体"/>
                <w:b/>
                <w:color w:val="auto"/>
                <w:sz w:val="21"/>
                <w:szCs w:val="21"/>
                <w:lang w:val="en-US" w:eastAsia="zh-CN"/>
              </w:rPr>
              <w:t>规划</w:t>
            </w:r>
            <w:r>
              <w:rPr>
                <w:rFonts w:hint="eastAsia" w:ascii="宋体" w:hAnsi="宋体" w:eastAsia="宋体" w:cs="宋体"/>
                <w:b/>
                <w:color w:val="auto"/>
                <w:sz w:val="21"/>
                <w:szCs w:val="21"/>
              </w:rPr>
              <w:t>露天采矿场</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围栏、警示牌</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围栏</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米</w:t>
            </w:r>
          </w:p>
        </w:tc>
        <w:tc>
          <w:tcPr>
            <w:tcW w:w="2027"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2630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警示牌</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2027" w:type="dxa"/>
            <w:vAlign w:val="center"/>
          </w:tcPr>
          <w:p>
            <w:pPr>
              <w:widowControl w:val="0"/>
              <w:tabs>
                <w:tab w:val="left" w:pos="740"/>
              </w:tabs>
              <w:adjustRightInd w:val="0"/>
              <w:snapToGrid w:val="0"/>
              <w:jc w:val="center"/>
              <w:rPr>
                <w:rFonts w:hint="eastAsia" w:ascii="宋体" w:hAnsi="宋体" w:eastAsia="宋体" w:cs="宋体"/>
                <w:color w:val="auto"/>
                <w:sz w:val="21"/>
                <w:szCs w:val="21"/>
              </w:rPr>
            </w:pPr>
            <w:r>
              <w:rPr>
                <w:rFonts w:hint="eastAsia" w:ascii="宋体" w:hAnsi="宋体" w:cs="宋体"/>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水泥桩</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2027" w:type="dxa"/>
            <w:vAlign w:val="center"/>
          </w:tcPr>
          <w:p>
            <w:pPr>
              <w:widowControl w:val="0"/>
              <w:tabs>
                <w:tab w:val="left" w:pos="740"/>
              </w:tabs>
              <w:adjustRightInd w:val="0"/>
              <w:snapToGrid w:val="0"/>
              <w:jc w:val="center"/>
              <w:rPr>
                <w:rFonts w:hint="eastAsia" w:ascii="宋体" w:hAnsi="宋体" w:eastAsia="宋体" w:cs="宋体"/>
                <w:color w:val="auto"/>
                <w:sz w:val="21"/>
                <w:szCs w:val="21"/>
                <w:lang w:val="en-US" w:eastAsia="zh-CN" w:bidi="ar-SA"/>
              </w:rPr>
            </w:pPr>
            <w:r>
              <w:rPr>
                <w:rFonts w:hint="eastAsia" w:ascii="宋体" w:hAnsi="宋体" w:cs="宋体"/>
                <w:color w:val="auto"/>
                <w:sz w:val="21"/>
                <w:szCs w:val="21"/>
                <w:highlight w:val="none"/>
                <w:lang w:val="en-US" w:eastAsia="zh-CN"/>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二</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地质环境监测工程</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1</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地质灾害监测工作</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崩塌</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点次</w:t>
            </w:r>
          </w:p>
        </w:tc>
        <w:tc>
          <w:tcPr>
            <w:tcW w:w="2027"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kern w:val="0"/>
                <w:sz w:val="21"/>
                <w:szCs w:val="21"/>
                <w:lang w:val="en-US" w:eastAsia="zh-CN" w:bidi="ar-SA"/>
              </w:rPr>
            </w:pPr>
            <w:r>
              <w:rPr>
                <w:rFonts w:hint="eastAsia" w:ascii="宋体" w:hAnsi="宋体" w:eastAsia="宋体" w:cs="宋体"/>
                <w:color w:val="auto"/>
                <w:sz w:val="21"/>
                <w:szCs w:val="21"/>
                <w:lang w:val="en-US" w:eastAsia="zh-CN"/>
              </w:rPr>
              <w:t>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2</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地形地貌景观监测</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点次</w:t>
            </w: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Cs/>
                <w:color w:val="auto"/>
                <w:sz w:val="21"/>
                <w:szCs w:val="21"/>
                <w:lang w:val="en-US" w:eastAsia="zh-CN"/>
              </w:rPr>
            </w:pPr>
            <w:r>
              <w:rPr>
                <w:rFonts w:hint="eastAsia" w:ascii="宋体" w:hAnsi="宋体" w:cs="宋体"/>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3</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水土环境污染监测</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w:t>
            </w:r>
            <w:r>
              <w:rPr>
                <w:rFonts w:hint="eastAsia" w:ascii="宋体" w:hAnsi="宋体" w:cs="宋体"/>
                <w:bCs/>
                <w:color w:val="auto"/>
                <w:sz w:val="21"/>
                <w:szCs w:val="21"/>
                <w:lang w:val="en-US" w:eastAsia="zh-CN"/>
              </w:rPr>
              <w:t>1</w:t>
            </w:r>
            <w:r>
              <w:rPr>
                <w:rFonts w:hint="eastAsia" w:ascii="宋体" w:hAnsi="宋体" w:eastAsia="宋体" w:cs="宋体"/>
                <w:bCs/>
                <w:color w:val="auto"/>
                <w:sz w:val="21"/>
                <w:szCs w:val="21"/>
              </w:rPr>
              <w:t>）</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土壤</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点次</w:t>
            </w:r>
          </w:p>
        </w:tc>
        <w:tc>
          <w:tcPr>
            <w:tcW w:w="2027"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cs="宋体"/>
                <w:color w:val="auto"/>
                <w:sz w:val="21"/>
                <w:szCs w:val="21"/>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07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4</w:t>
            </w:r>
          </w:p>
        </w:tc>
        <w:tc>
          <w:tcPr>
            <w:tcW w:w="3029"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大气环境监测</w:t>
            </w:r>
          </w:p>
        </w:tc>
        <w:tc>
          <w:tcPr>
            <w:tcW w:w="1136"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点次</w:t>
            </w:r>
          </w:p>
        </w:tc>
        <w:tc>
          <w:tcPr>
            <w:tcW w:w="2027" w:type="dxa"/>
            <w:vAlign w:val="center"/>
          </w:tcPr>
          <w:p>
            <w:pPr>
              <w:pStyle w:val="201"/>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rPr>
            </w:pPr>
            <w:r>
              <w:rPr>
                <w:rFonts w:hint="eastAsia" w:ascii="宋体" w:hAnsi="宋体" w:eastAsia="宋体" w:cs="宋体"/>
                <w:color w:val="auto"/>
                <w:sz w:val="21"/>
                <w:szCs w:val="21"/>
                <w:lang w:val="en-US" w:eastAsia="zh-CN"/>
              </w:rPr>
              <w:t>109</w:t>
            </w:r>
          </w:p>
        </w:tc>
      </w:tr>
    </w:tbl>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2）投资估算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矿山服务期内矿山地质环境保护与恢复治理静态总投资为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万元。其中工程施工费为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万元，其他费用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val="en-US" w:eastAsia="zh-CN"/>
        </w:rPr>
        <w:t>监测费</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rPr>
        <w:t>预备费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万元。详见估表6-</w:t>
      </w:r>
      <w:r>
        <w:rPr>
          <w:rFonts w:hint="eastAsia" w:ascii="宋体" w:hAnsi="宋体" w:cs="宋体"/>
          <w:color w:val="auto"/>
          <w:sz w:val="24"/>
          <w:szCs w:val="24"/>
          <w:highlight w:val="none"/>
          <w:lang w:val="en-US" w:eastAsia="zh-CN"/>
        </w:rPr>
        <w:t>2-6</w:t>
      </w:r>
      <w:r>
        <w:rPr>
          <w:rFonts w:hint="eastAsia" w:ascii="宋体" w:hAnsi="宋体" w:eastAsia="宋体" w:cs="宋体"/>
          <w:color w:val="auto"/>
          <w:sz w:val="24"/>
          <w:szCs w:val="24"/>
          <w:highlight w:val="none"/>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2-6</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矿山服务年限内矿山地质环境治理工程费用估算表</w:t>
      </w:r>
    </w:p>
    <w:tbl>
      <w:tblPr>
        <w:tblStyle w:val="53"/>
        <w:tblW w:w="846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950"/>
        <w:gridCol w:w="2280"/>
        <w:gridCol w:w="1395"/>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blHeader/>
        </w:trPr>
        <w:tc>
          <w:tcPr>
            <w:tcW w:w="67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项目名称:新疆伽师县西克尔镇4号砖瓦用页岩矿矿产资源开发利用与生态保护修复方案</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费用名称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计算方法</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预算金额</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各费用比例（%）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其他费用</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前期工作费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土地清查费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项目勘察费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项目设计与预算编制费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分档定额计费（基数为工程施工费）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项目招标代理费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工程监理费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分档定额计费（基数为工程施工费）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竣工验收费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工程复核费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工程施工费×0.7%</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工程验收费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工程施工费×1.4%</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项目决算编制与审计费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整理后土地的重估与登记费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工程施工费×0.65%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标识设定费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工程施工费×0.11%</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业主管理费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(工程施工费+前期工作费+工程监理+竣工验收费)×2.8%</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监测费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75.60%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预备费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基本预备费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(工程施工费+其他费用)*3.0%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风险金</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(工程施工费+其他费用)*2.0%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5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矿山地质环境保护工程静态总投资</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r>
    </w:tbl>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单项工程量与投资估算</w:t>
      </w:r>
    </w:p>
    <w:p>
      <w:pPr>
        <w:pageBreakBefore w:val="0"/>
        <w:kinsoku/>
        <w:overflowPunct/>
        <w:bidi w:val="0"/>
        <w:adjustRightInd/>
        <w:snapToGrid/>
        <w:spacing w:line="360" w:lineRule="auto"/>
        <w:ind w:left="0" w:leftChars="0" w:right="0" w:rightChars="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矿山地质环境保护与地质灾害防治费用为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万元，矿山地质环境监测及维护费用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总计</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rPr>
        <w:t>。矿山地质环境治理单项工程量与投资估算见表6-</w:t>
      </w:r>
      <w:r>
        <w:rPr>
          <w:rFonts w:hint="eastAsia" w:ascii="宋体" w:hAnsi="宋体" w:cs="宋体"/>
          <w:color w:val="auto"/>
          <w:sz w:val="24"/>
          <w:szCs w:val="24"/>
          <w:highlight w:val="none"/>
          <w:lang w:val="en-US" w:eastAsia="zh-CN"/>
        </w:rPr>
        <w:t>2-7</w:t>
      </w:r>
      <w:r>
        <w:rPr>
          <w:rFonts w:hint="eastAsia" w:ascii="宋体" w:hAnsi="宋体" w:eastAsia="宋体" w:cs="宋体"/>
          <w:color w:val="auto"/>
          <w:sz w:val="24"/>
          <w:szCs w:val="24"/>
          <w:highlight w:val="none"/>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2-7</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矿山服务年限内地质环境保护与治理单项工程量及投资估算表</w:t>
      </w:r>
    </w:p>
    <w:tbl>
      <w:tblPr>
        <w:tblStyle w:val="53"/>
        <w:tblW w:w="768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750"/>
        <w:gridCol w:w="1485"/>
        <w:gridCol w:w="1080"/>
        <w:gridCol w:w="1080"/>
        <w:gridCol w:w="1080"/>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定额编号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4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矿山环境保护与地质灾害治理工程</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地质灾害预防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 xml:space="preserve">7.61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补充定额</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0.22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XB100010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100米</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0.74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二</w:t>
            </w:r>
          </w:p>
        </w:tc>
        <w:tc>
          <w:tcPr>
            <w:tcW w:w="472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矿山地质环境监测及维护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5.45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 xml:space="preserve">35.98 </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w:t>
      </w:r>
      <w:r>
        <w:rPr>
          <w:rFonts w:hint="eastAsia"/>
          <w:color w:val="auto"/>
          <w:sz w:val="28"/>
          <w:szCs w:val="28"/>
          <w:lang w:val="en-US" w:eastAsia="zh-CN"/>
        </w:rPr>
        <w:t>三</w:t>
      </w:r>
      <w:r>
        <w:rPr>
          <w:rFonts w:hint="eastAsia"/>
          <w:color w:val="auto"/>
          <w:sz w:val="28"/>
          <w:szCs w:val="28"/>
          <w:lang w:eastAsia="zh-CN"/>
        </w:rPr>
        <w:t>）土地复垦投资估算</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1、总工程量与投资估算</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根据本次矿山土地复垦工程的时间安排和工程量统计，依据上述费用组成和取费标准进行经费估算。</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1）总工程量</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矿山土地复垦工程包括：废石清运回填、削坡、拆除清运平整等工程。详见表6-</w:t>
      </w:r>
      <w:r>
        <w:rPr>
          <w:rFonts w:hint="eastAsia" w:ascii="宋体" w:hAnsi="宋体" w:cs="宋体"/>
          <w:color w:val="auto"/>
          <w:sz w:val="24"/>
          <w:szCs w:val="24"/>
          <w:lang w:val="en-US" w:eastAsia="zh-CN"/>
        </w:rPr>
        <w:t>2-8</w:t>
      </w:r>
      <w:r>
        <w:rPr>
          <w:rFonts w:hint="eastAsia" w:ascii="宋体" w:hAnsi="宋体" w:eastAsia="宋体" w:cs="宋体"/>
          <w:color w:val="auto"/>
          <w:sz w:val="24"/>
          <w:szCs w:val="24"/>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2-8</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土地复垦总工程量表</w:t>
      </w:r>
    </w:p>
    <w:tbl>
      <w:tblPr>
        <w:tblStyle w:val="53"/>
        <w:tblW w:w="864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3122"/>
        <w:gridCol w:w="2130"/>
        <w:gridCol w:w="2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blHeader/>
          <w:jc w:val="center"/>
        </w:trPr>
        <w:tc>
          <w:tcPr>
            <w:tcW w:w="907"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序号</w:t>
            </w:r>
          </w:p>
        </w:tc>
        <w:tc>
          <w:tcPr>
            <w:tcW w:w="3122"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工程内容</w:t>
            </w:r>
          </w:p>
        </w:tc>
        <w:tc>
          <w:tcPr>
            <w:tcW w:w="2130"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单位</w:t>
            </w:r>
          </w:p>
        </w:tc>
        <w:tc>
          <w:tcPr>
            <w:tcW w:w="2484" w:type="dxa"/>
            <w:shd w:val="clear" w:color="auto" w:fill="auto"/>
            <w:vAlign w:val="center"/>
          </w:tcPr>
          <w:p>
            <w:pPr>
              <w:pStyle w:val="131"/>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服务年限工程量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43" w:type="dxa"/>
            <w:gridSpan w:val="4"/>
            <w:shd w:val="clear" w:color="auto" w:fill="auto"/>
            <w:vAlign w:val="center"/>
          </w:tcPr>
          <w:p>
            <w:pPr>
              <w:pStyle w:val="131"/>
              <w:spacing w:line="240" w:lineRule="auto"/>
              <w:ind w:firstLine="0" w:firstLineChars="0"/>
              <w:jc w:val="left"/>
              <w:rPr>
                <w:rFonts w:hint="default" w:ascii="宋体" w:hAnsi="宋体" w:eastAsia="宋体" w:cs="宋体"/>
                <w:i w:val="0"/>
                <w:iCs w:val="0"/>
                <w:color w:val="auto"/>
                <w:sz w:val="21"/>
                <w:szCs w:val="21"/>
                <w:lang w:val="en-US"/>
              </w:rPr>
            </w:pPr>
            <w:r>
              <w:rPr>
                <w:rFonts w:hint="eastAsia" w:ascii="宋体" w:hAnsi="宋体" w:eastAsia="宋体" w:cs="宋体"/>
                <w:b/>
                <w:bCs/>
                <w:i w:val="0"/>
                <w:iCs w:val="0"/>
                <w:color w:val="auto"/>
                <w:sz w:val="21"/>
                <w:szCs w:val="21"/>
                <w:lang w:val="en-US" w:eastAsia="zh-CN"/>
              </w:rPr>
              <w:t>一、土地复垦工程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lang w:eastAsia="zh-CN"/>
              </w:rPr>
            </w:pPr>
            <w:r>
              <w:rPr>
                <w:rFonts w:hint="eastAsia" w:ascii="宋体" w:hAnsi="宋体" w:eastAsia="宋体" w:cs="宋体"/>
                <w:b/>
                <w:bCs/>
                <w:i w:val="0"/>
                <w:iCs w:val="0"/>
                <w:color w:val="auto"/>
                <w:sz w:val="21"/>
                <w:szCs w:val="21"/>
                <w:lang w:eastAsia="zh-CN"/>
              </w:rPr>
              <w:t>（</w:t>
            </w:r>
            <w:r>
              <w:rPr>
                <w:rFonts w:hint="eastAsia" w:ascii="宋体" w:hAnsi="宋体" w:eastAsia="宋体" w:cs="宋体"/>
                <w:b/>
                <w:bCs/>
                <w:i w:val="0"/>
                <w:iCs w:val="0"/>
                <w:color w:val="auto"/>
                <w:sz w:val="21"/>
                <w:szCs w:val="21"/>
                <w:lang w:val="en-US" w:eastAsia="zh-CN"/>
              </w:rPr>
              <w:t>一</w:t>
            </w:r>
            <w:r>
              <w:rPr>
                <w:rFonts w:hint="eastAsia" w:ascii="宋体" w:hAnsi="宋体" w:eastAsia="宋体" w:cs="宋体"/>
                <w:b/>
                <w:bCs/>
                <w:i w:val="0"/>
                <w:iCs w:val="0"/>
                <w:color w:val="auto"/>
                <w:sz w:val="21"/>
                <w:szCs w:val="21"/>
                <w:lang w:eastAsia="zh-CN"/>
              </w:rPr>
              <w:t>）</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露天采矿场土地复垦单元</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p>
        </w:tc>
        <w:tc>
          <w:tcPr>
            <w:tcW w:w="2484"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平整工程</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4"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b w:val="0"/>
                <w:bCs/>
                <w:i w:val="0"/>
                <w:iCs w:val="0"/>
                <w:color w:val="auto"/>
                <w:sz w:val="21"/>
                <w:szCs w:val="21"/>
                <w:lang w:val="en-US" w:eastAsia="zh-CN"/>
              </w:rPr>
              <w:t>151.56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lang w:eastAsia="zh-CN"/>
              </w:rPr>
            </w:pPr>
            <w:r>
              <w:rPr>
                <w:rFonts w:hint="eastAsia" w:ascii="宋体" w:hAnsi="宋体" w:eastAsia="宋体" w:cs="宋体"/>
                <w:b/>
                <w:bCs/>
                <w:i w:val="0"/>
                <w:iCs w:val="0"/>
                <w:color w:val="auto"/>
                <w:sz w:val="21"/>
                <w:szCs w:val="21"/>
                <w:lang w:eastAsia="zh-CN"/>
              </w:rPr>
              <w:t>（</w:t>
            </w:r>
            <w:r>
              <w:rPr>
                <w:rFonts w:hint="eastAsia" w:ascii="宋体" w:hAnsi="宋体" w:eastAsia="宋体" w:cs="宋体"/>
                <w:b/>
                <w:bCs/>
                <w:i w:val="0"/>
                <w:iCs w:val="0"/>
                <w:color w:val="auto"/>
                <w:sz w:val="21"/>
                <w:szCs w:val="21"/>
                <w:lang w:val="en-US" w:eastAsia="zh-CN"/>
              </w:rPr>
              <w:t>二</w:t>
            </w:r>
            <w:r>
              <w:rPr>
                <w:rFonts w:hint="eastAsia" w:ascii="宋体" w:hAnsi="宋体" w:eastAsia="宋体" w:cs="宋体"/>
                <w:b/>
                <w:bCs/>
                <w:i w:val="0"/>
                <w:iCs w:val="0"/>
                <w:color w:val="auto"/>
                <w:sz w:val="21"/>
                <w:szCs w:val="21"/>
                <w:lang w:eastAsia="zh-CN"/>
              </w:rPr>
              <w:t>）</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排土场土地复垦单元</w:t>
            </w:r>
          </w:p>
        </w:tc>
        <w:tc>
          <w:tcPr>
            <w:tcW w:w="2130"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c>
          <w:tcPr>
            <w:tcW w:w="2484"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平整工程</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4"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b w:val="0"/>
                <w:bCs/>
                <w:i w:val="0"/>
                <w:iCs w:val="0"/>
                <w:color w:val="auto"/>
                <w:sz w:val="21"/>
                <w:szCs w:val="21"/>
                <w:lang w:val="en-US" w:eastAsia="zh-CN"/>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eastAsia="zh-CN"/>
              </w:rPr>
            </w:pPr>
            <w:r>
              <w:rPr>
                <w:rFonts w:hint="eastAsia" w:ascii="宋体" w:hAnsi="宋体" w:eastAsia="宋体" w:cs="宋体"/>
                <w:b/>
                <w:bCs/>
                <w:i w:val="0"/>
                <w:iCs w:val="0"/>
                <w:color w:val="auto"/>
                <w:sz w:val="21"/>
                <w:szCs w:val="21"/>
                <w:lang w:eastAsia="zh-CN"/>
              </w:rPr>
              <w:t>（</w:t>
            </w:r>
            <w:r>
              <w:rPr>
                <w:rFonts w:hint="eastAsia" w:ascii="宋体" w:hAnsi="宋体" w:eastAsia="宋体" w:cs="宋体"/>
                <w:b/>
                <w:bCs/>
                <w:i w:val="0"/>
                <w:iCs w:val="0"/>
                <w:color w:val="auto"/>
                <w:sz w:val="21"/>
                <w:szCs w:val="21"/>
                <w:lang w:val="en-US" w:eastAsia="zh-CN"/>
              </w:rPr>
              <w:t>三</w:t>
            </w:r>
            <w:r>
              <w:rPr>
                <w:rFonts w:hint="eastAsia" w:ascii="宋体" w:hAnsi="宋体" w:eastAsia="宋体" w:cs="宋体"/>
                <w:b/>
                <w:bCs/>
                <w:i w:val="0"/>
                <w:iCs w:val="0"/>
                <w:color w:val="auto"/>
                <w:sz w:val="21"/>
                <w:szCs w:val="21"/>
                <w:lang w:eastAsia="zh-CN"/>
              </w:rPr>
              <w:t>）</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rPr>
            </w:pPr>
            <w:r>
              <w:rPr>
                <w:rFonts w:hint="eastAsia" w:ascii="宋体" w:hAnsi="宋体" w:cs="宋体"/>
                <w:b/>
                <w:bCs/>
                <w:i w:val="0"/>
                <w:iCs w:val="0"/>
                <w:color w:val="auto"/>
                <w:sz w:val="21"/>
                <w:szCs w:val="21"/>
                <w:lang w:val="en-US" w:eastAsia="zh-CN"/>
              </w:rPr>
              <w:t>生活区</w:t>
            </w:r>
            <w:r>
              <w:rPr>
                <w:rFonts w:hint="eastAsia" w:ascii="宋体" w:hAnsi="宋体" w:eastAsia="宋体" w:cs="宋体"/>
                <w:b/>
                <w:bCs/>
                <w:i w:val="0"/>
                <w:iCs w:val="0"/>
                <w:color w:val="auto"/>
                <w:sz w:val="21"/>
                <w:szCs w:val="21"/>
              </w:rPr>
              <w:t>土地复垦单元</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c>
          <w:tcPr>
            <w:tcW w:w="2484"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val="0"/>
                <w:bCs/>
                <w:i w:val="0"/>
                <w:iCs w:val="0"/>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1</w:t>
            </w:r>
          </w:p>
        </w:tc>
        <w:tc>
          <w:tcPr>
            <w:tcW w:w="3122"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val="0"/>
                <w:i w:val="0"/>
                <w:iCs w:val="0"/>
                <w:color w:val="auto"/>
                <w:sz w:val="21"/>
                <w:szCs w:val="21"/>
                <w:lang w:val="en-US" w:eastAsia="zh-CN" w:bidi="ar-SA"/>
              </w:rPr>
            </w:pPr>
            <w:r>
              <w:rPr>
                <w:rFonts w:hint="eastAsia" w:ascii="宋体" w:hAnsi="宋体" w:eastAsia="宋体" w:cs="宋体"/>
                <w:b w:val="0"/>
                <w:bCs w:val="0"/>
                <w:i w:val="0"/>
                <w:iCs w:val="0"/>
                <w:color w:val="auto"/>
                <w:sz w:val="21"/>
                <w:szCs w:val="21"/>
                <w:lang w:val="en-US" w:eastAsia="zh-CN" w:bidi="ar-SA"/>
              </w:rPr>
              <w:t>砌体拆除工程</w:t>
            </w:r>
          </w:p>
        </w:tc>
        <w:tc>
          <w:tcPr>
            <w:tcW w:w="2130"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100m</w:t>
            </w:r>
            <w:r>
              <w:rPr>
                <w:rFonts w:hint="eastAsia" w:ascii="宋体" w:hAnsi="宋体" w:eastAsia="宋体" w:cs="宋体"/>
                <w:b w:val="0"/>
                <w:bCs/>
                <w:i w:val="0"/>
                <w:iCs w:val="0"/>
                <w:color w:val="auto"/>
                <w:sz w:val="21"/>
                <w:szCs w:val="21"/>
                <w:vertAlign w:val="superscript"/>
              </w:rPr>
              <w:t>3</w:t>
            </w:r>
          </w:p>
        </w:tc>
        <w:tc>
          <w:tcPr>
            <w:tcW w:w="2484"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val="0"/>
                <w:bCs/>
                <w:i w:val="0"/>
                <w:iCs w:val="0"/>
                <w:color w:val="auto"/>
                <w:sz w:val="21"/>
                <w:szCs w:val="21"/>
                <w:lang w:val="en-US" w:eastAsia="zh-CN"/>
              </w:rPr>
            </w:pPr>
            <w:r>
              <w:rPr>
                <w:rFonts w:hint="eastAsia" w:ascii="宋体" w:hAnsi="宋体" w:eastAsia="宋体" w:cs="宋体"/>
                <w:b w:val="0"/>
                <w:bCs/>
                <w:i w:val="0"/>
                <w:i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val="0"/>
                <w:bCs w:val="0"/>
                <w:i w:val="0"/>
                <w:iCs w:val="0"/>
                <w:color w:val="auto"/>
                <w:kern w:val="2"/>
                <w:sz w:val="21"/>
                <w:szCs w:val="21"/>
                <w:lang w:val="en-US" w:eastAsia="zh-CN" w:bidi="ar-SA"/>
              </w:rPr>
            </w:pPr>
            <w:r>
              <w:rPr>
                <w:rFonts w:hint="eastAsia" w:ascii="宋体" w:hAnsi="宋体" w:eastAsia="宋体" w:cs="宋体"/>
                <w:b w:val="0"/>
                <w:bCs w:val="0"/>
                <w:i w:val="0"/>
                <w:iCs w:val="0"/>
                <w:color w:val="auto"/>
                <w:kern w:val="2"/>
                <w:sz w:val="21"/>
                <w:szCs w:val="21"/>
                <w:lang w:val="en-US" w:eastAsia="zh-CN" w:bidi="ar-SA"/>
              </w:rPr>
              <w:t>2</w:t>
            </w:r>
          </w:p>
        </w:tc>
        <w:tc>
          <w:tcPr>
            <w:tcW w:w="3122"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val="0"/>
                <w:i w:val="0"/>
                <w:iCs w:val="0"/>
                <w:color w:val="auto"/>
                <w:sz w:val="21"/>
                <w:szCs w:val="21"/>
                <w:lang w:val="en-US" w:eastAsia="zh-CN" w:bidi="ar-SA"/>
              </w:rPr>
            </w:pPr>
            <w:r>
              <w:rPr>
                <w:rFonts w:hint="eastAsia" w:ascii="宋体" w:hAnsi="宋体" w:eastAsia="宋体" w:cs="宋体"/>
                <w:b w:val="0"/>
                <w:bCs w:val="0"/>
                <w:i w:val="0"/>
                <w:iCs w:val="0"/>
                <w:color w:val="auto"/>
                <w:sz w:val="21"/>
                <w:szCs w:val="21"/>
                <w:lang w:val="en-US" w:eastAsia="zh-CN" w:bidi="ar-SA"/>
              </w:rPr>
              <w:t>废石清运工程</w:t>
            </w:r>
          </w:p>
        </w:tc>
        <w:tc>
          <w:tcPr>
            <w:tcW w:w="2130" w:type="dxa"/>
            <w:shd w:val="clear" w:color="auto" w:fill="auto"/>
            <w:vAlign w:val="center"/>
          </w:tcPr>
          <w:p>
            <w:pPr>
              <w:pStyle w:val="478"/>
              <w:tabs>
                <w:tab w:val="left" w:pos="540"/>
                <w:tab w:val="left" w:pos="1080"/>
                <w:tab w:val="left" w:pos="1260"/>
                <w:tab w:val="left" w:pos="1440"/>
              </w:tabs>
              <w:spacing w:line="240" w:lineRule="auto"/>
              <w:rPr>
                <w:rFonts w:hint="eastAsia" w:ascii="宋体" w:hAnsi="宋体" w:eastAsia="宋体" w:cs="宋体"/>
                <w:b w:val="0"/>
                <w:bCs/>
                <w:i w:val="0"/>
                <w:iCs w:val="0"/>
                <w:color w:val="auto"/>
                <w:sz w:val="21"/>
                <w:szCs w:val="21"/>
              </w:rPr>
            </w:pPr>
            <w:r>
              <w:rPr>
                <w:rFonts w:hint="eastAsia" w:ascii="宋体" w:hAnsi="宋体" w:eastAsia="宋体" w:cs="宋体"/>
                <w:b w:val="0"/>
                <w:bCs/>
                <w:i w:val="0"/>
                <w:iCs w:val="0"/>
                <w:color w:val="auto"/>
                <w:sz w:val="21"/>
                <w:szCs w:val="21"/>
              </w:rPr>
              <w:t>100m</w:t>
            </w:r>
            <w:r>
              <w:rPr>
                <w:rFonts w:hint="eastAsia" w:ascii="宋体" w:hAnsi="宋体" w:eastAsia="宋体" w:cs="宋体"/>
                <w:b w:val="0"/>
                <w:bCs/>
                <w:i w:val="0"/>
                <w:iCs w:val="0"/>
                <w:color w:val="auto"/>
                <w:sz w:val="21"/>
                <w:szCs w:val="21"/>
                <w:vertAlign w:val="superscript"/>
              </w:rPr>
              <w:t>3</w:t>
            </w:r>
          </w:p>
        </w:tc>
        <w:tc>
          <w:tcPr>
            <w:tcW w:w="2484"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val="0"/>
                <w:bCs/>
                <w:i w:val="0"/>
                <w:iCs w:val="0"/>
                <w:color w:val="auto"/>
                <w:sz w:val="21"/>
                <w:szCs w:val="21"/>
                <w:lang w:val="en-US" w:eastAsia="zh-CN"/>
              </w:rPr>
            </w:pPr>
            <w:r>
              <w:rPr>
                <w:rFonts w:hint="eastAsia" w:ascii="宋体" w:hAnsi="宋体" w:eastAsia="宋体" w:cs="宋体"/>
                <w:b w:val="0"/>
                <w:bCs/>
                <w:i w:val="0"/>
                <w:iCs w:val="0"/>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bidi="ar-SA"/>
              </w:rPr>
            </w:pPr>
            <w:r>
              <w:rPr>
                <w:rFonts w:hint="eastAsia" w:ascii="宋体" w:hAnsi="宋体" w:eastAsia="宋体" w:cs="宋体"/>
                <w:i w:val="0"/>
                <w:iCs w:val="0"/>
                <w:color w:val="auto"/>
                <w:sz w:val="21"/>
                <w:szCs w:val="21"/>
                <w:lang w:val="en-US" w:eastAsia="zh-CN"/>
              </w:rPr>
              <w:t>3</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bidi="ar-SA"/>
              </w:rPr>
            </w:pPr>
            <w:r>
              <w:rPr>
                <w:rFonts w:hint="eastAsia" w:ascii="宋体" w:hAnsi="宋体" w:eastAsia="宋体" w:cs="宋体"/>
                <w:i w:val="0"/>
                <w:iCs w:val="0"/>
                <w:color w:val="auto"/>
                <w:sz w:val="21"/>
                <w:szCs w:val="21"/>
              </w:rPr>
              <w:t>平整工程</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4"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val="0"/>
                <w:bCs/>
                <w:i w:val="0"/>
                <w:iCs w:val="0"/>
                <w:color w:val="auto"/>
                <w:sz w:val="21"/>
                <w:szCs w:val="21"/>
                <w:lang w:val="en-US" w:eastAsia="zh-CN"/>
              </w:rPr>
            </w:pPr>
            <w:r>
              <w:rPr>
                <w:rFonts w:hint="eastAsia" w:ascii="宋体" w:hAnsi="宋体" w:eastAsia="宋体" w:cs="宋体"/>
                <w:b w:val="0"/>
                <w:bCs/>
                <w:i w:val="0"/>
                <w:iCs w:val="0"/>
                <w:color w:val="auto"/>
                <w:sz w:val="21"/>
                <w:szCs w:val="21"/>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default" w:ascii="宋体" w:hAnsi="宋体" w:eastAsia="宋体" w:cs="宋体"/>
                <w:b/>
                <w:bCs/>
                <w:i w:val="0"/>
                <w:iCs w:val="0"/>
                <w:color w:val="auto"/>
                <w:sz w:val="21"/>
                <w:szCs w:val="21"/>
                <w:lang w:val="en-US" w:eastAsia="zh-CN"/>
              </w:rPr>
            </w:pPr>
            <w:r>
              <w:rPr>
                <w:rFonts w:hint="eastAsia" w:ascii="宋体" w:hAnsi="宋体" w:cs="宋体"/>
                <w:b/>
                <w:bCs/>
                <w:i w:val="0"/>
                <w:iCs w:val="0"/>
                <w:color w:val="auto"/>
                <w:sz w:val="21"/>
                <w:szCs w:val="21"/>
                <w:lang w:val="en-US" w:eastAsia="zh-CN"/>
              </w:rPr>
              <w:t>（四）</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b/>
                <w:bCs/>
                <w:i w:val="0"/>
                <w:iCs w:val="0"/>
                <w:color w:val="auto"/>
                <w:sz w:val="21"/>
                <w:szCs w:val="21"/>
              </w:rPr>
            </w:pPr>
            <w:r>
              <w:rPr>
                <w:rFonts w:hint="eastAsia" w:ascii="宋体" w:hAnsi="宋体" w:eastAsia="宋体" w:cs="宋体"/>
                <w:b/>
                <w:bCs/>
                <w:i w:val="0"/>
                <w:iCs w:val="0"/>
                <w:color w:val="auto"/>
                <w:sz w:val="21"/>
                <w:szCs w:val="21"/>
              </w:rPr>
              <w:t>矿山道路土地复垦单元</w:t>
            </w:r>
          </w:p>
        </w:tc>
        <w:tc>
          <w:tcPr>
            <w:tcW w:w="2130"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c>
          <w:tcPr>
            <w:tcW w:w="2484" w:type="dxa"/>
            <w:shd w:val="clear" w:color="auto" w:fill="auto"/>
            <w:noWrap/>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平整工程</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i w:val="0"/>
                <w:iCs w:val="0"/>
                <w:color w:val="auto"/>
                <w:sz w:val="21"/>
                <w:szCs w:val="21"/>
              </w:rPr>
              <w:t>100m</w:t>
            </w:r>
            <w:r>
              <w:rPr>
                <w:rFonts w:hint="eastAsia" w:ascii="宋体" w:hAnsi="宋体" w:eastAsia="宋体" w:cs="宋体"/>
                <w:i w:val="0"/>
                <w:iCs w:val="0"/>
                <w:color w:val="auto"/>
                <w:sz w:val="21"/>
                <w:szCs w:val="21"/>
                <w:vertAlign w:val="superscript"/>
              </w:rPr>
              <w:t>3</w:t>
            </w:r>
          </w:p>
        </w:tc>
        <w:tc>
          <w:tcPr>
            <w:tcW w:w="2484" w:type="dxa"/>
            <w:shd w:val="clear" w:color="auto" w:fill="auto"/>
            <w:vAlign w:val="center"/>
          </w:tcPr>
          <w:p>
            <w:pPr>
              <w:adjustRightInd w:val="0"/>
              <w:snapToGrid w:val="0"/>
              <w:spacing w:line="240" w:lineRule="auto"/>
              <w:ind w:firstLine="0" w:firstLineChars="0"/>
              <w:jc w:val="center"/>
              <w:rPr>
                <w:rFonts w:hint="default" w:ascii="宋体" w:hAnsi="宋体" w:eastAsia="宋体" w:cs="宋体"/>
                <w:i w:val="0"/>
                <w:iCs w:val="0"/>
                <w:color w:val="auto"/>
                <w:sz w:val="21"/>
                <w:szCs w:val="21"/>
                <w:lang w:val="en-US" w:eastAsia="zh-CN"/>
              </w:rPr>
            </w:pPr>
            <w:r>
              <w:rPr>
                <w:rFonts w:hint="eastAsia" w:ascii="宋体" w:hAnsi="宋体" w:cs="宋体"/>
                <w:i w:val="0"/>
                <w:iCs w:val="0"/>
                <w:color w:val="auto"/>
                <w:sz w:val="21"/>
                <w:szCs w:val="21"/>
                <w:lang w:val="en-US" w:eastAsia="zh-CN"/>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643" w:type="dxa"/>
            <w:gridSpan w:val="4"/>
            <w:shd w:val="clear" w:color="auto" w:fill="auto"/>
            <w:vAlign w:val="center"/>
          </w:tcPr>
          <w:p>
            <w:pPr>
              <w:adjustRightInd w:val="0"/>
              <w:snapToGrid w:val="0"/>
              <w:spacing w:line="240" w:lineRule="auto"/>
              <w:ind w:firstLine="0" w:firstLineChars="0"/>
              <w:jc w:val="left"/>
              <w:rPr>
                <w:rFonts w:hint="eastAsia" w:ascii="宋体" w:hAnsi="宋体" w:cs="宋体"/>
                <w:i w:val="0"/>
                <w:iCs w:val="0"/>
                <w:color w:val="auto"/>
                <w:sz w:val="21"/>
                <w:szCs w:val="21"/>
                <w:lang w:val="en-US" w:eastAsia="zh-CN"/>
              </w:rPr>
            </w:pPr>
            <w:r>
              <w:rPr>
                <w:rFonts w:hint="eastAsia" w:ascii="宋体" w:hAnsi="宋体" w:eastAsia="宋体" w:cs="宋体"/>
                <w:b/>
                <w:bCs/>
                <w:i w:val="0"/>
                <w:iCs w:val="0"/>
                <w:color w:val="auto"/>
                <w:sz w:val="21"/>
                <w:szCs w:val="21"/>
                <w:lang w:val="en-US" w:eastAsia="zh-CN"/>
              </w:rPr>
              <w:t>二、</w:t>
            </w:r>
            <w:r>
              <w:rPr>
                <w:rFonts w:hint="eastAsia" w:ascii="宋体" w:hAnsi="宋体" w:eastAsia="宋体" w:cs="宋体"/>
                <w:b/>
                <w:bCs/>
                <w:color w:val="auto"/>
                <w:sz w:val="21"/>
                <w:szCs w:val="21"/>
              </w:rPr>
              <w:t>土地复垦监测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rPr>
            </w:pPr>
            <w:r>
              <w:rPr>
                <w:rFonts w:hint="eastAsia" w:ascii="宋体" w:hAnsi="宋体" w:eastAsia="宋体" w:cs="宋体"/>
                <w:i w:val="0"/>
                <w:iCs w:val="0"/>
                <w:color w:val="auto"/>
                <w:sz w:val="21"/>
                <w:szCs w:val="21"/>
                <w:lang w:val="en-US" w:eastAsia="zh-CN"/>
              </w:rPr>
              <w:t>1</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rPr>
            </w:pPr>
            <w:r>
              <w:rPr>
                <w:rFonts w:hint="eastAsia" w:ascii="宋体" w:hAnsi="宋体" w:eastAsia="宋体" w:cs="宋体"/>
                <w:color w:val="auto"/>
                <w:sz w:val="21"/>
                <w:szCs w:val="21"/>
              </w:rPr>
              <w:t>土地损毁监测</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rPr>
            </w:pPr>
            <w:r>
              <w:rPr>
                <w:rFonts w:hint="eastAsia" w:ascii="宋体" w:hAnsi="宋体" w:eastAsia="宋体" w:cs="宋体"/>
                <w:i w:val="0"/>
                <w:iCs w:val="0"/>
                <w:color w:val="auto"/>
                <w:sz w:val="21"/>
                <w:szCs w:val="21"/>
                <w:lang w:val="en-US" w:eastAsia="zh-CN"/>
              </w:rPr>
              <w:t>次</w:t>
            </w:r>
          </w:p>
        </w:tc>
        <w:tc>
          <w:tcPr>
            <w:tcW w:w="2484" w:type="dxa"/>
            <w:shd w:val="clear" w:color="auto" w:fill="auto"/>
            <w:vAlign w:val="center"/>
          </w:tcPr>
          <w:p>
            <w:pPr>
              <w:adjustRightInd w:val="0"/>
              <w:snapToGrid w:val="0"/>
              <w:spacing w:line="240" w:lineRule="auto"/>
              <w:ind w:firstLine="0" w:firstLineChars="0"/>
              <w:jc w:val="center"/>
              <w:rPr>
                <w:rFonts w:hint="default" w:ascii="宋体" w:hAnsi="宋体" w:cs="宋体"/>
                <w:i w:val="0"/>
                <w:iCs w:val="0"/>
                <w:color w:val="auto"/>
                <w:sz w:val="21"/>
                <w:szCs w:val="21"/>
                <w:lang w:val="en-US" w:eastAsia="zh-CN"/>
              </w:rPr>
            </w:pPr>
            <w:r>
              <w:rPr>
                <w:rFonts w:hint="eastAsia" w:ascii="宋体" w:hAnsi="宋体" w:cs="宋体"/>
                <w:i w:val="0"/>
                <w:iCs w:val="0"/>
                <w:color w:val="auto"/>
                <w:sz w:val="21"/>
                <w:szCs w:val="21"/>
                <w:lang w:val="en-US" w:eastAsia="zh-CN"/>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07" w:type="dxa"/>
            <w:shd w:val="clear" w:color="auto" w:fill="auto"/>
            <w:vAlign w:val="center"/>
          </w:tcPr>
          <w:p>
            <w:pPr>
              <w:adjustRightInd w:val="0"/>
              <w:snapToGrid w:val="0"/>
              <w:spacing w:line="240" w:lineRule="auto"/>
              <w:ind w:firstLine="0" w:firstLineChars="0"/>
              <w:jc w:val="center"/>
              <w:rPr>
                <w:rFonts w:hint="default" w:ascii="宋体" w:hAnsi="宋体" w:eastAsia="宋体" w:cs="宋体"/>
                <w:i w:val="0"/>
                <w:iCs w:val="0"/>
                <w:color w:val="auto"/>
                <w:sz w:val="21"/>
                <w:szCs w:val="21"/>
                <w:lang w:val="en-US" w:eastAsia="zh-CN"/>
              </w:rPr>
            </w:pPr>
            <w:r>
              <w:rPr>
                <w:rFonts w:hint="eastAsia" w:ascii="宋体" w:hAnsi="宋体" w:eastAsia="宋体" w:cs="宋体"/>
                <w:i w:val="0"/>
                <w:iCs w:val="0"/>
                <w:color w:val="auto"/>
                <w:sz w:val="21"/>
                <w:szCs w:val="21"/>
                <w:lang w:val="en-US" w:eastAsia="zh-CN"/>
              </w:rPr>
              <w:t>2</w:t>
            </w:r>
          </w:p>
        </w:tc>
        <w:tc>
          <w:tcPr>
            <w:tcW w:w="3122"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highlight w:val="none"/>
              </w:rPr>
              <w:t>复垦效果监测</w:t>
            </w:r>
          </w:p>
        </w:tc>
        <w:tc>
          <w:tcPr>
            <w:tcW w:w="2130" w:type="dxa"/>
            <w:shd w:val="clear" w:color="auto" w:fill="auto"/>
            <w:vAlign w:val="center"/>
          </w:tcPr>
          <w:p>
            <w:pPr>
              <w:adjustRightInd w:val="0"/>
              <w:snapToGrid w:val="0"/>
              <w:spacing w:line="240" w:lineRule="auto"/>
              <w:ind w:firstLine="0" w:firstLineChars="0"/>
              <w:jc w:val="center"/>
              <w:rPr>
                <w:rFonts w:hint="eastAsia" w:ascii="宋体" w:hAnsi="宋体" w:eastAsia="宋体" w:cs="宋体"/>
                <w:i w:val="0"/>
                <w:iCs w:val="0"/>
                <w:color w:val="auto"/>
                <w:sz w:val="21"/>
                <w:szCs w:val="21"/>
                <w:lang w:val="en-US" w:eastAsia="zh-CN"/>
              </w:rPr>
            </w:pPr>
            <w:r>
              <w:rPr>
                <w:rFonts w:hint="eastAsia" w:ascii="宋体" w:hAnsi="宋体" w:eastAsia="宋体" w:cs="宋体"/>
                <w:i w:val="0"/>
                <w:iCs w:val="0"/>
                <w:color w:val="auto"/>
                <w:sz w:val="21"/>
                <w:szCs w:val="21"/>
                <w:lang w:val="en-US" w:eastAsia="zh-CN"/>
              </w:rPr>
              <w:t>次</w:t>
            </w:r>
          </w:p>
        </w:tc>
        <w:tc>
          <w:tcPr>
            <w:tcW w:w="2484" w:type="dxa"/>
            <w:shd w:val="clear" w:color="auto" w:fill="auto"/>
            <w:vAlign w:val="center"/>
          </w:tcPr>
          <w:p>
            <w:pPr>
              <w:adjustRightInd w:val="0"/>
              <w:snapToGrid w:val="0"/>
              <w:spacing w:line="240" w:lineRule="auto"/>
              <w:ind w:firstLine="0" w:firstLineChars="0"/>
              <w:jc w:val="center"/>
              <w:rPr>
                <w:rFonts w:hint="default" w:ascii="宋体" w:hAnsi="宋体" w:cs="宋体"/>
                <w:i w:val="0"/>
                <w:iCs w:val="0"/>
                <w:color w:val="auto"/>
                <w:sz w:val="21"/>
                <w:szCs w:val="21"/>
                <w:lang w:val="en-US" w:eastAsia="zh-CN"/>
              </w:rPr>
            </w:pPr>
            <w:r>
              <w:rPr>
                <w:rFonts w:hint="eastAsia" w:ascii="宋体" w:hAnsi="宋体" w:cs="宋体"/>
                <w:i w:val="0"/>
                <w:iCs w:val="0"/>
                <w:color w:val="auto"/>
                <w:sz w:val="21"/>
                <w:szCs w:val="21"/>
                <w:lang w:val="en-US" w:eastAsia="zh-CN"/>
              </w:rPr>
              <w:t>1</w:t>
            </w:r>
          </w:p>
        </w:tc>
      </w:tr>
    </w:tbl>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2）投资估算</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矿山服务期内土地复垦静态总投资为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万元。其中工程施工费为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万元，其他费用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lang w:val="en-US" w:eastAsia="zh-CN"/>
        </w:rPr>
        <w:t>监测费</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rPr>
        <w:t>预备费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万元。详见估表6-</w:t>
      </w:r>
      <w:r>
        <w:rPr>
          <w:rFonts w:hint="eastAsia" w:ascii="宋体" w:hAnsi="宋体" w:cs="宋体"/>
          <w:color w:val="auto"/>
          <w:sz w:val="24"/>
          <w:szCs w:val="24"/>
          <w:highlight w:val="none"/>
          <w:lang w:val="en-US" w:eastAsia="zh-CN"/>
        </w:rPr>
        <w:t>2-9</w:t>
      </w:r>
      <w:r>
        <w:rPr>
          <w:rFonts w:hint="eastAsia" w:ascii="宋体" w:hAnsi="宋体" w:eastAsia="宋体" w:cs="宋体"/>
          <w:color w:val="auto"/>
          <w:sz w:val="24"/>
          <w:szCs w:val="24"/>
          <w:highlight w:val="none"/>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2-9</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矿山服务年限内矿山土地复垦工程费用估算表</w:t>
      </w:r>
    </w:p>
    <w:tbl>
      <w:tblPr>
        <w:tblStyle w:val="53"/>
        <w:tblW w:w="805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755"/>
        <w:gridCol w:w="2205"/>
        <w:gridCol w:w="1320"/>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blHeader/>
          <w:jc w:val="center"/>
        </w:trPr>
        <w:tc>
          <w:tcPr>
            <w:tcW w:w="636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项目名称:新疆伽师县西克尔镇4号砖瓦用页岩矿矿产资源开发利用与生态保护修复方案</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blHeader/>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费用名称</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计算方法</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预算金额</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各费用比例（%）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其他费用</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前期工作费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土地清查费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项目勘察费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项目设计与预算编制费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分档定额计费（基数为工程施工费）</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项目招标代理费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工程施工费×0.3%</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工程监理费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分档定额计费（基数为工程施工费）</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竣工验收费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工程复核费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工程施工费×0.6%</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工程验收费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工程施工费×1.2%</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项目决算编制与审计费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工程施工费×0.8%</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整理后土地的重估与登记费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工程施工费×0.55%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标识设定费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工程施工费×0.09%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业主管理费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(工程施工费+前期工作费+工程监理+竣工验收费)×2.4%</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监测与管护费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预备费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基本预备费</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(工程施工费+其他费用)*3.0%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风险金</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(工程施工费+其他费用)*2.0%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50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静态总投资</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r>
    </w:tbl>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2、单项工程量与投资估算</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矿山土地复垦工程单项工程量与投资估算，详见表6-</w:t>
      </w:r>
      <w:r>
        <w:rPr>
          <w:rFonts w:hint="eastAsia" w:ascii="宋体" w:hAnsi="宋体" w:cs="宋体"/>
          <w:color w:val="auto"/>
          <w:sz w:val="24"/>
          <w:szCs w:val="24"/>
          <w:lang w:val="en-US" w:eastAsia="zh-CN"/>
        </w:rPr>
        <w:t>2-10</w:t>
      </w:r>
      <w:r>
        <w:rPr>
          <w:rFonts w:hint="eastAsia" w:ascii="宋体" w:hAnsi="宋体" w:eastAsia="宋体" w:cs="宋体"/>
          <w:color w:val="auto"/>
          <w:sz w:val="24"/>
          <w:szCs w:val="24"/>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cs="宋体"/>
          <w:b/>
          <w:color w:val="auto"/>
          <w:sz w:val="21"/>
          <w:szCs w:val="21"/>
          <w:lang w:val="en-US" w:eastAsia="zh-CN"/>
        </w:rPr>
        <w:t>2-10</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 xml:space="preserve"> 矿山服务年限内土地复垦工程单项工程量及投资估算表</w:t>
      </w:r>
    </w:p>
    <w:tbl>
      <w:tblPr>
        <w:tblStyle w:val="53"/>
        <w:tblW w:w="775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080"/>
        <w:gridCol w:w="1110"/>
        <w:gridCol w:w="1249"/>
        <w:gridCol w:w="911"/>
        <w:gridCol w:w="1080"/>
        <w:gridCol w:w="12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编号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定额编号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工程措施</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单位</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工程量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综合单价（元）</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54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一、土地复垦工程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规划露天采场</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清运平整</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100立方米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151.56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（二）</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拟建排土场</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清运平整</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100立方米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（三）</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拟建矿部生活区</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6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建筑物拆除清运平整</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100立方米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20345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废石清运</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100立方米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（四）</w:t>
            </w:r>
          </w:p>
        </w:tc>
        <w:tc>
          <w:tcPr>
            <w:tcW w:w="21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拟建矿山道路</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20285</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清运平整</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100立方米</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jc w:val="center"/>
        </w:trPr>
        <w:tc>
          <w:tcPr>
            <w:tcW w:w="54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二、土地复垦监测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11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土地损毁监测</w:t>
            </w:r>
          </w:p>
        </w:tc>
        <w:tc>
          <w:tcPr>
            <w:tcW w:w="124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总计</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u w:val="none"/>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u w:val="none"/>
              </w:rPr>
            </w:pPr>
          </w:p>
        </w:tc>
        <w:tc>
          <w:tcPr>
            <w:tcW w:w="12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21"/>
                <w:szCs w:val="21"/>
                <w:u w:val="none"/>
              </w:rPr>
            </w:pPr>
          </w:p>
        </w:tc>
        <w:tc>
          <w:tcPr>
            <w:tcW w:w="12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highlight w:val="none"/>
          <w:lang w:eastAsia="zh-CN"/>
        </w:rPr>
      </w:pPr>
      <w:r>
        <w:rPr>
          <w:rFonts w:hint="eastAsia"/>
          <w:color w:val="auto"/>
          <w:sz w:val="28"/>
          <w:szCs w:val="28"/>
          <w:highlight w:val="none"/>
          <w:lang w:eastAsia="zh-CN"/>
        </w:rPr>
        <w:t>（四）地质环境治理和土地复垦总投资</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1、静态总投资</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矿山地质环境治理与土地复垦工程经费由矿山地质环境治理工程经费和土地复垦工程经费两部分组成。详见表6-</w:t>
      </w:r>
      <w:r>
        <w:rPr>
          <w:rFonts w:hint="eastAsia" w:ascii="宋体" w:hAnsi="宋体" w:cs="宋体"/>
          <w:color w:val="auto"/>
          <w:sz w:val="24"/>
          <w:szCs w:val="24"/>
          <w:highlight w:val="none"/>
          <w:lang w:val="en-US" w:eastAsia="zh-CN"/>
        </w:rPr>
        <w:t>2-11</w:t>
      </w:r>
      <w:r>
        <w:rPr>
          <w:rFonts w:hint="eastAsia" w:ascii="宋体" w:hAnsi="宋体" w:eastAsia="宋体" w:cs="宋体"/>
          <w:color w:val="auto"/>
          <w:sz w:val="24"/>
          <w:szCs w:val="24"/>
          <w:highlight w:val="none"/>
        </w:rPr>
        <w:t>。</w:t>
      </w:r>
    </w:p>
    <w:p>
      <w:pPr>
        <w:tabs>
          <w:tab w:val="left" w:pos="4063"/>
        </w:tabs>
        <w:spacing w:before="2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表6-</w:t>
      </w:r>
      <w:r>
        <w:rPr>
          <w:rFonts w:hint="eastAsia" w:ascii="宋体" w:hAnsi="宋体" w:cs="宋体"/>
          <w:b/>
          <w:color w:val="auto"/>
          <w:sz w:val="21"/>
          <w:szCs w:val="21"/>
          <w:highlight w:val="none"/>
          <w:lang w:val="en-US" w:eastAsia="zh-CN"/>
        </w:rPr>
        <w:t>2-11</w:t>
      </w:r>
      <w:r>
        <w:rPr>
          <w:rFonts w:hint="eastAsia" w:ascii="宋体" w:hAnsi="宋体" w:eastAsia="宋体" w:cs="宋体"/>
          <w:b/>
          <w:color w:val="auto"/>
          <w:sz w:val="21"/>
          <w:szCs w:val="21"/>
          <w:highlight w:val="none"/>
        </w:rPr>
        <w:t xml:space="preserve"> </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矿山地质环境治理和土地复垦总费用汇总表</w:t>
      </w:r>
    </w:p>
    <w:tbl>
      <w:tblPr>
        <w:tblStyle w:val="53"/>
        <w:tblW w:w="83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8"/>
        <w:gridCol w:w="2063"/>
        <w:gridCol w:w="2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08" w:type="dxa"/>
            <w:vMerge w:val="restart"/>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工程项目名称</w:t>
            </w:r>
          </w:p>
        </w:tc>
        <w:tc>
          <w:tcPr>
            <w:tcW w:w="4647" w:type="dxa"/>
            <w:gridSpan w:val="2"/>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工程投资费用估算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08"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p>
        </w:tc>
        <w:tc>
          <w:tcPr>
            <w:tcW w:w="20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5年期</w:t>
            </w:r>
          </w:p>
        </w:tc>
        <w:tc>
          <w:tcPr>
            <w:tcW w:w="2584"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矿山服务年限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0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矿山地质环境保护与治理工程</w:t>
            </w:r>
          </w:p>
        </w:tc>
        <w:tc>
          <w:tcPr>
            <w:tcW w:w="2063"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auto"/>
                <w:sz w:val="21"/>
                <w:szCs w:val="21"/>
                <w:highlight w:val="none"/>
                <w:lang w:val="en-US" w:eastAsia="zh-CN"/>
              </w:rPr>
            </w:pPr>
            <w:r>
              <w:rPr>
                <w:rFonts w:hint="eastAsia" w:ascii="宋体" w:hAnsi="宋体" w:cs="宋体"/>
                <w:i w:val="0"/>
                <w:iCs w:val="0"/>
                <w:color w:val="auto"/>
                <w:kern w:val="0"/>
                <w:sz w:val="21"/>
                <w:szCs w:val="21"/>
                <w:u w:val="none"/>
                <w:lang w:val="en-US" w:eastAsia="zh-CN" w:bidi="ar"/>
              </w:rPr>
              <w:t>****</w:t>
            </w:r>
          </w:p>
        </w:tc>
        <w:tc>
          <w:tcPr>
            <w:tcW w:w="2584"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0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矿山土地复垦工程</w:t>
            </w:r>
          </w:p>
        </w:tc>
        <w:tc>
          <w:tcPr>
            <w:tcW w:w="206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 xml:space="preserve"> </w:t>
            </w:r>
          </w:p>
        </w:tc>
        <w:tc>
          <w:tcPr>
            <w:tcW w:w="2584"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0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合计</w:t>
            </w:r>
          </w:p>
        </w:tc>
        <w:tc>
          <w:tcPr>
            <w:tcW w:w="206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u w:val="none"/>
                <w:lang w:val="en-US" w:eastAsia="zh-CN" w:bidi="ar"/>
              </w:rPr>
              <w:t>****</w:t>
            </w:r>
          </w:p>
        </w:tc>
        <w:tc>
          <w:tcPr>
            <w:tcW w:w="2584"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cs="宋体"/>
                <w:i w:val="0"/>
                <w:iCs w:val="0"/>
                <w:color w:val="auto"/>
                <w:kern w:val="0"/>
                <w:sz w:val="21"/>
                <w:szCs w:val="21"/>
                <w:u w:val="none"/>
                <w:lang w:val="en-US" w:eastAsia="zh-CN" w:bidi="ar"/>
              </w:rPr>
              <w:t>****</w:t>
            </w:r>
          </w:p>
        </w:tc>
      </w:tr>
    </w:tbl>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bookmarkStart w:id="245" w:name="_Hlk96014526"/>
      <w:r>
        <w:rPr>
          <w:rFonts w:hint="eastAsia" w:ascii="宋体" w:hAnsi="宋体" w:eastAsia="宋体" w:cs="宋体"/>
          <w:color w:val="auto"/>
          <w:sz w:val="24"/>
          <w:szCs w:val="24"/>
          <w:highlight w:val="none"/>
        </w:rPr>
        <w:t>方案适用期5年内矿山地质环境保护与治理工程费用为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万元；土地复垦工程费用为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万元，费用合计为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bookmarkEnd w:id="245"/>
      <w:r>
        <w:rPr>
          <w:rFonts w:hint="eastAsia" w:ascii="宋体" w:hAnsi="宋体" w:eastAsia="宋体" w:cs="宋体"/>
          <w:color w:val="auto"/>
          <w:sz w:val="24"/>
          <w:szCs w:val="24"/>
          <w:highlight w:val="none"/>
        </w:rPr>
        <w:t>。</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矿山服务年限内矿山地质环境保护与治理工程费用为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万元；土地复垦工程费用为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万元，费用合计为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p>
    <w:p>
      <w:pPr>
        <w:pageBreakBefore w:val="0"/>
        <w:kinsoku/>
        <w:overflowPunct/>
        <w:autoSpaceDE w:val="0"/>
        <w:autoSpaceDN w:val="0"/>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2、动态总投资</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为合理计算动态资金，需合理确定复垦期内价格上涨指数。本方案取200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年的CPI增长率的平均值计算土地复垦动态投资资金。参照中国统计局发布的《国民经济和社会发展统计公报》公布的数据，计算出200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年的CPI增长率。200</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年的CPI增长率详见估表6-</w:t>
      </w:r>
      <w:r>
        <w:rPr>
          <w:rFonts w:hint="eastAsia" w:ascii="宋体" w:hAnsi="宋体" w:cs="宋体"/>
          <w:color w:val="auto"/>
          <w:sz w:val="24"/>
          <w:szCs w:val="24"/>
          <w:highlight w:val="none"/>
          <w:lang w:val="en-US" w:eastAsia="zh-CN"/>
        </w:rPr>
        <w:t>2-12</w:t>
      </w:r>
      <w:r>
        <w:rPr>
          <w:rFonts w:hint="eastAsia" w:ascii="宋体" w:hAnsi="宋体" w:eastAsia="宋体" w:cs="宋体"/>
          <w:color w:val="auto"/>
          <w:sz w:val="24"/>
          <w:szCs w:val="24"/>
          <w:highlight w:val="none"/>
        </w:rPr>
        <w:t>。</w:t>
      </w:r>
    </w:p>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200</w:t>
      </w: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年的CPI增长率的平均值约为2.54%。本方案考虑到经济的平稳发展，并参考上述资料，最终确定涨价预备费费率取3%。本方案最终确定涨价预备费费率为3%。</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eastAsia="宋体" w:cs="宋体"/>
          <w:b/>
          <w:color w:val="auto"/>
          <w:sz w:val="21"/>
          <w:szCs w:val="21"/>
          <w:lang w:val="en-US" w:eastAsia="zh-CN"/>
        </w:rPr>
        <w:t>2-12</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200</w:t>
      </w:r>
      <w:r>
        <w:rPr>
          <w:rFonts w:hint="eastAsia" w:ascii="宋体" w:hAnsi="宋体" w:eastAsia="宋体" w:cs="宋体"/>
          <w:b/>
          <w:color w:val="auto"/>
          <w:sz w:val="21"/>
          <w:szCs w:val="21"/>
          <w:lang w:val="en-US" w:eastAsia="zh-CN"/>
        </w:rPr>
        <w:t>4</w:t>
      </w:r>
      <w:r>
        <w:rPr>
          <w:rFonts w:hint="eastAsia" w:ascii="宋体" w:hAnsi="宋体" w:eastAsia="宋体" w:cs="宋体"/>
          <w:b/>
          <w:color w:val="auto"/>
          <w:sz w:val="21"/>
          <w:szCs w:val="21"/>
        </w:rPr>
        <w:t>-202</w:t>
      </w:r>
      <w:r>
        <w:rPr>
          <w:rFonts w:hint="eastAsia" w:ascii="宋体" w:hAnsi="宋体" w:eastAsia="宋体" w:cs="宋体"/>
          <w:b/>
          <w:color w:val="auto"/>
          <w:sz w:val="21"/>
          <w:szCs w:val="21"/>
          <w:lang w:val="en-US" w:eastAsia="zh-CN"/>
        </w:rPr>
        <w:t>3</w:t>
      </w:r>
      <w:r>
        <w:rPr>
          <w:rFonts w:hint="eastAsia" w:ascii="宋体" w:hAnsi="宋体" w:eastAsia="宋体" w:cs="宋体"/>
          <w:b/>
          <w:color w:val="auto"/>
          <w:sz w:val="21"/>
          <w:szCs w:val="21"/>
        </w:rPr>
        <w:t>年的CPI增长率</w:t>
      </w:r>
    </w:p>
    <w:tbl>
      <w:tblPr>
        <w:tblStyle w:val="53"/>
        <w:tblW w:w="91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14"/>
        <w:gridCol w:w="916"/>
        <w:gridCol w:w="916"/>
        <w:gridCol w:w="916"/>
        <w:gridCol w:w="916"/>
        <w:gridCol w:w="916"/>
        <w:gridCol w:w="916"/>
        <w:gridCol w:w="919"/>
        <w:gridCol w:w="919"/>
        <w:gridCol w:w="9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2009年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2010年</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2011年</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2012年</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w:t>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0.7</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-0.7</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2014年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2015年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2016年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2017年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2018年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2019年</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2020年</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2021年</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2022年</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w:t>
            </w:r>
            <w:r>
              <w:rPr>
                <w:rFonts w:hint="eastAsia" w:ascii="宋体" w:hAnsi="宋体" w:cs="宋体"/>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9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9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9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r>
    </w:tbl>
    <w:p>
      <w:pPr>
        <w:pageBreakBefore w:val="0"/>
        <w:kinsoku/>
        <w:overflowPunct/>
        <w:autoSpaceDE w:val="0"/>
        <w:autoSpaceDN w:val="0"/>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根据动态投资计算公式：动态投资=静态投资×（1+3%）</w:t>
      </w:r>
      <w:r>
        <w:rPr>
          <w:rFonts w:hint="eastAsia" w:ascii="宋体" w:hAnsi="宋体" w:eastAsia="宋体" w:cs="宋体"/>
          <w:color w:val="auto"/>
          <w:sz w:val="24"/>
          <w:szCs w:val="24"/>
          <w:highlight w:val="none"/>
          <w:vertAlign w:val="superscript"/>
        </w:rPr>
        <w:t>n-1</w:t>
      </w:r>
      <w:r>
        <w:rPr>
          <w:rFonts w:hint="eastAsia" w:ascii="宋体" w:hAnsi="宋体" w:eastAsia="宋体" w:cs="宋体"/>
          <w:color w:val="auto"/>
          <w:sz w:val="24"/>
          <w:szCs w:val="24"/>
          <w:highlight w:val="none"/>
        </w:rPr>
        <w:t>，其中n代表第n年复垦。本方案实施期为</w:t>
      </w:r>
      <w:r>
        <w:rPr>
          <w:rFonts w:hint="eastAsia" w:ascii="宋体" w:hAnsi="宋体" w:cs="宋体"/>
          <w:color w:val="auto"/>
          <w:sz w:val="24"/>
          <w:szCs w:val="24"/>
          <w:highlight w:val="none"/>
          <w:lang w:val="en-US" w:eastAsia="zh-CN"/>
        </w:rPr>
        <w:t>27.2</w:t>
      </w:r>
      <w:r>
        <w:rPr>
          <w:rFonts w:hint="eastAsia" w:ascii="宋体" w:hAnsi="宋体" w:eastAsia="宋体" w:cs="宋体"/>
          <w:color w:val="auto"/>
          <w:sz w:val="24"/>
          <w:szCs w:val="24"/>
          <w:highlight w:val="none"/>
        </w:rPr>
        <w:t>，因此n取</w:t>
      </w:r>
      <w:r>
        <w:rPr>
          <w:rFonts w:hint="eastAsia" w:ascii="宋体" w:hAnsi="宋体" w:cs="宋体"/>
          <w:color w:val="auto"/>
          <w:sz w:val="24"/>
          <w:szCs w:val="24"/>
          <w:highlight w:val="none"/>
          <w:lang w:val="en-US" w:eastAsia="zh-CN"/>
        </w:rPr>
        <w:t>28</w:t>
      </w:r>
      <w:r>
        <w:rPr>
          <w:rFonts w:hint="eastAsia" w:ascii="宋体" w:hAnsi="宋体" w:eastAsia="宋体" w:cs="宋体"/>
          <w:color w:val="auto"/>
          <w:sz w:val="24"/>
          <w:szCs w:val="24"/>
          <w:highlight w:val="none"/>
        </w:rPr>
        <w:t>。本方案矿山地质环境保护工程的静态投资总费用按</w:t>
      </w:r>
      <w:r>
        <w:rPr>
          <w:rFonts w:hint="eastAsia" w:ascii="宋体" w:hAnsi="宋体" w:cs="宋体"/>
          <w:color w:val="auto"/>
          <w:sz w:val="24"/>
          <w:szCs w:val="24"/>
          <w:highlight w:val="none"/>
          <w:lang w:val="en-US" w:eastAsia="zh-CN"/>
        </w:rPr>
        <w:t>28</w:t>
      </w:r>
      <w:r>
        <w:rPr>
          <w:rFonts w:hint="eastAsia" w:ascii="宋体" w:hAnsi="宋体" w:eastAsia="宋体" w:cs="宋体"/>
          <w:color w:val="auto"/>
          <w:sz w:val="24"/>
          <w:szCs w:val="24"/>
          <w:highlight w:val="none"/>
        </w:rPr>
        <w:t>年平均计提，将每年矿山环境保护和土地复垦的静态投入资金值带入上式，经计算本方案矿山环境保护工程动态总投资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万元。见表6-</w:t>
      </w:r>
      <w:r>
        <w:rPr>
          <w:rFonts w:hint="eastAsia" w:ascii="宋体" w:hAnsi="宋体" w:cs="宋体"/>
          <w:color w:val="auto"/>
          <w:sz w:val="24"/>
          <w:szCs w:val="24"/>
          <w:highlight w:val="none"/>
          <w:lang w:val="en-US" w:eastAsia="zh-CN"/>
        </w:rPr>
        <w:t>2-13</w:t>
      </w:r>
      <w:r>
        <w:rPr>
          <w:rFonts w:hint="eastAsia" w:ascii="宋体" w:hAnsi="宋体" w:eastAsia="宋体" w:cs="宋体"/>
          <w:color w:val="auto"/>
          <w:sz w:val="24"/>
          <w:szCs w:val="24"/>
          <w:highlight w:val="none"/>
        </w:rPr>
        <w:t>。矿山土地复垦工程动态总投资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万元，见表6-</w:t>
      </w:r>
      <w:r>
        <w:rPr>
          <w:rFonts w:hint="eastAsia" w:ascii="宋体" w:hAnsi="宋体" w:cs="宋体"/>
          <w:color w:val="auto"/>
          <w:sz w:val="24"/>
          <w:szCs w:val="24"/>
          <w:highlight w:val="none"/>
          <w:lang w:val="en-US" w:eastAsia="zh-CN"/>
        </w:rPr>
        <w:t>2-14</w:t>
      </w:r>
      <w:r>
        <w:rPr>
          <w:rFonts w:hint="eastAsia" w:ascii="宋体" w:hAnsi="宋体" w:eastAsia="宋体" w:cs="宋体"/>
          <w:color w:val="auto"/>
          <w:sz w:val="24"/>
          <w:szCs w:val="24"/>
          <w:highlight w:val="none"/>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eastAsia="宋体" w:cs="宋体"/>
          <w:b/>
          <w:color w:val="auto"/>
          <w:sz w:val="21"/>
          <w:szCs w:val="21"/>
          <w:lang w:val="en-US" w:eastAsia="zh-CN"/>
        </w:rPr>
        <w:t xml:space="preserve">2-13   </w:t>
      </w:r>
      <w:r>
        <w:rPr>
          <w:rFonts w:hint="eastAsia" w:ascii="宋体" w:hAnsi="宋体" w:eastAsia="宋体" w:cs="宋体"/>
          <w:b/>
          <w:color w:val="auto"/>
          <w:sz w:val="21"/>
          <w:szCs w:val="21"/>
        </w:rPr>
        <w:t xml:space="preserve"> 矿山服务年限内地质环境保护与治理工程动态投资对照表</w:t>
      </w:r>
    </w:p>
    <w:tbl>
      <w:tblPr>
        <w:tblStyle w:val="53"/>
        <w:tblW w:w="7978"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3"/>
        <w:gridCol w:w="1005"/>
        <w:gridCol w:w="1485"/>
        <w:gridCol w:w="1575"/>
        <w:gridCol w:w="1365"/>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65" w:hRule="atLeast"/>
          <w:tblHeader/>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编号</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年份</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平均静态投资</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价格上涨指数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价差预备费</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动态投资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2025年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2026年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0.04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2027年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0.08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2028年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0.12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2029年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0.17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2030年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0.21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2031年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0.26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2032年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0.31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2033年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0.36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2034年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0.41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2035年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0.46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2036年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0.52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2037年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0.57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2038年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0.63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2039年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0.69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2040年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0.75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2041年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0.81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2042年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0.88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2043年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0.94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2044年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1.01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2045年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1.08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2046年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1.15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2047年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1.23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2048年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1.31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2049年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2050年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1.47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2051年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1.55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2052年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1.64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5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7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bl>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eastAsia="宋体" w:cs="宋体"/>
          <w:b/>
          <w:color w:val="auto"/>
          <w:sz w:val="21"/>
          <w:szCs w:val="21"/>
          <w:lang w:val="en-US" w:eastAsia="zh-CN"/>
        </w:rPr>
        <w:t>2-14</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w:t>
      </w:r>
      <w:r>
        <w:rPr>
          <w:rFonts w:hint="eastAsia" w:ascii="宋体" w:hAnsi="宋体" w:eastAsia="宋体" w:cs="宋体"/>
          <w:b/>
          <w:color w:val="auto"/>
          <w:sz w:val="21"/>
          <w:szCs w:val="21"/>
        </w:rPr>
        <w:t>矿山服务年限内矿山土地复垦工程动态投资对照表</w:t>
      </w:r>
    </w:p>
    <w:tbl>
      <w:tblPr>
        <w:tblStyle w:val="53"/>
        <w:tblW w:w="801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0"/>
        <w:gridCol w:w="1020"/>
        <w:gridCol w:w="1500"/>
        <w:gridCol w:w="1545"/>
        <w:gridCol w:w="1365"/>
        <w:gridCol w:w="17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0"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编号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年份</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平均静态投资</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价格上涨指数</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价差预备费</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动态投资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2025年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2026年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0.12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2027年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0.24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2028年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0.37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2029年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0.50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2030年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0.63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2031年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0.77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2032年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0.92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2033年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1.06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2034年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1.21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2035年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1.37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2036年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1.53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2037年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2038年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2039年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2.04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2040年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2.22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2041年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2.41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2042年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2.60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2043年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2.80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2044年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3.00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21</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2045年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3.21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22</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2046年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3.42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2047年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3.65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24</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2048年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3.88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2049年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4.11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2050年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4.35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27</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2051年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4.60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2052年</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0.03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4.86 </w:t>
            </w: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合计</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21"/>
                <w:szCs w:val="21"/>
                <w:u w:val="none"/>
              </w:rPr>
            </w:pPr>
          </w:p>
        </w:tc>
        <w:tc>
          <w:tcPr>
            <w:tcW w:w="1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bl>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（五）近期费用安排</w:t>
      </w:r>
    </w:p>
    <w:p>
      <w:pPr>
        <w:pageBreakBefore w:val="0"/>
        <w:tabs>
          <w:tab w:val="left" w:pos="4320"/>
        </w:tabs>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cs="宋体"/>
          <w:b/>
          <w:bCs/>
          <w:color w:val="auto"/>
          <w:sz w:val="24"/>
          <w:szCs w:val="24"/>
          <w:highlight w:val="none"/>
          <w:lang w:val="en-US" w:eastAsia="zh-CN"/>
        </w:rPr>
        <w:t>近期</w:t>
      </w:r>
      <w:r>
        <w:rPr>
          <w:rFonts w:hint="eastAsia" w:ascii="宋体" w:hAnsi="宋体" w:eastAsia="宋体" w:cs="宋体"/>
          <w:b/>
          <w:bCs/>
          <w:color w:val="auto"/>
          <w:sz w:val="24"/>
          <w:szCs w:val="24"/>
          <w:highlight w:val="none"/>
        </w:rPr>
        <w:t>5年地质环境保护与综合治理经费安排</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color w:val="auto"/>
          <w:sz w:val="24"/>
          <w:szCs w:val="24"/>
          <w:highlight w:val="none"/>
          <w:lang w:val="en-US" w:eastAsia="zh-CN"/>
        </w:rPr>
        <w:t>近期</w:t>
      </w:r>
      <w:r>
        <w:rPr>
          <w:rFonts w:hint="eastAsia" w:ascii="宋体" w:hAnsi="宋体" w:eastAsia="宋体" w:cs="宋体"/>
          <w:color w:val="auto"/>
          <w:sz w:val="24"/>
          <w:szCs w:val="24"/>
          <w:highlight w:val="none"/>
        </w:rPr>
        <w:t>5年工作量</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近期5年，矿山主要进行矿山地质环境保护与综合治理工作，详见表6-</w:t>
      </w:r>
      <w:r>
        <w:rPr>
          <w:rFonts w:hint="eastAsia" w:ascii="宋体" w:hAnsi="宋体" w:cs="宋体"/>
          <w:color w:val="auto"/>
          <w:sz w:val="24"/>
          <w:szCs w:val="24"/>
          <w:highlight w:val="none"/>
          <w:lang w:val="en-US" w:eastAsia="zh-CN"/>
        </w:rPr>
        <w:t>2-15</w:t>
      </w:r>
      <w:r>
        <w:rPr>
          <w:rFonts w:hint="eastAsia" w:ascii="宋体" w:hAnsi="宋体" w:eastAsia="宋体" w:cs="宋体"/>
          <w:color w:val="auto"/>
          <w:sz w:val="24"/>
          <w:szCs w:val="24"/>
          <w:highlight w:val="none"/>
        </w:rPr>
        <w:t>。</w:t>
      </w:r>
    </w:p>
    <w:p>
      <w:pPr>
        <w:tabs>
          <w:tab w:val="left" w:pos="4063"/>
        </w:tabs>
        <w:spacing w:before="26"/>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表6-</w:t>
      </w:r>
      <w:r>
        <w:rPr>
          <w:rFonts w:hint="eastAsia" w:ascii="宋体" w:hAnsi="宋体" w:eastAsia="宋体" w:cs="宋体"/>
          <w:b/>
          <w:color w:val="auto"/>
          <w:sz w:val="21"/>
          <w:szCs w:val="21"/>
          <w:lang w:val="en-US" w:eastAsia="zh-CN"/>
        </w:rPr>
        <w:t>2-15</w:t>
      </w:r>
      <w:r>
        <w:rPr>
          <w:rFonts w:hint="eastAsia" w:ascii="宋体" w:hAnsi="宋体" w:eastAsia="宋体" w:cs="宋体"/>
          <w:b/>
          <w:color w:val="auto"/>
          <w:sz w:val="21"/>
          <w:szCs w:val="21"/>
        </w:rPr>
        <w:t xml:space="preserve"> </w:t>
      </w:r>
      <w:r>
        <w:rPr>
          <w:rFonts w:hint="eastAsia" w:ascii="宋体" w:hAnsi="宋体" w:eastAsia="宋体" w:cs="宋体"/>
          <w:b/>
          <w:color w:val="auto"/>
          <w:sz w:val="21"/>
          <w:szCs w:val="21"/>
          <w:lang w:val="en-US" w:eastAsia="zh-CN"/>
        </w:rPr>
        <w:t xml:space="preserve">      近期</w:t>
      </w:r>
      <w:r>
        <w:rPr>
          <w:rFonts w:hint="eastAsia" w:ascii="宋体" w:hAnsi="宋体" w:eastAsia="宋体" w:cs="宋体"/>
          <w:b/>
          <w:color w:val="auto"/>
          <w:sz w:val="21"/>
          <w:szCs w:val="21"/>
        </w:rPr>
        <w:t>5年矿山地质环境治理工程量表</w:t>
      </w:r>
    </w:p>
    <w:tbl>
      <w:tblPr>
        <w:tblStyle w:val="53"/>
        <w:tblW w:w="8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623"/>
        <w:gridCol w:w="1432"/>
        <w:gridCol w:w="2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362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工程名称</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2188" w:type="dxa"/>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01" w:type="dxa"/>
            <w:gridSpan w:val="4"/>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矿山环境保护与地质灾害治理工程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一</w:t>
            </w:r>
          </w:p>
        </w:tc>
        <w:tc>
          <w:tcPr>
            <w:tcW w:w="362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地质灾害预防</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218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1</w:t>
            </w:r>
          </w:p>
        </w:tc>
        <w:tc>
          <w:tcPr>
            <w:tcW w:w="362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警示牌</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个</w:t>
            </w:r>
          </w:p>
        </w:tc>
        <w:tc>
          <w:tcPr>
            <w:tcW w:w="2188" w:type="dxa"/>
            <w:vAlign w:val="center"/>
          </w:tcPr>
          <w:p>
            <w:pPr>
              <w:keepNext w:val="0"/>
              <w:keepLines w:val="0"/>
              <w:widowControl/>
              <w:suppressLineNumbers w:val="0"/>
              <w:jc w:val="center"/>
              <w:textAlignment w:val="center"/>
              <w:rPr>
                <w:rFonts w:hint="default" w:ascii="宋体" w:hAnsi="宋体" w:eastAsia="宋体" w:cs="宋体"/>
                <w:bCs/>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2</w:t>
            </w:r>
          </w:p>
        </w:tc>
        <w:tc>
          <w:tcPr>
            <w:tcW w:w="362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铁丝网围栏</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color w:val="auto"/>
                <w:sz w:val="21"/>
                <w:szCs w:val="21"/>
              </w:rPr>
              <w:t>100米</w:t>
            </w:r>
          </w:p>
        </w:tc>
        <w:tc>
          <w:tcPr>
            <w:tcW w:w="2188" w:type="dxa"/>
            <w:vAlign w:val="center"/>
          </w:tcPr>
          <w:p>
            <w:pPr>
              <w:keepNext w:val="0"/>
              <w:keepLines w:val="0"/>
              <w:widowControl/>
              <w:suppressLineNumbers w:val="0"/>
              <w:jc w:val="center"/>
              <w:textAlignment w:val="center"/>
              <w:rPr>
                <w:rFonts w:hint="default" w:ascii="宋体" w:hAnsi="宋体" w:eastAsia="宋体" w:cs="宋体"/>
                <w:bCs/>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 xml:space="preserve">26.30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3</w:t>
            </w:r>
          </w:p>
        </w:tc>
        <w:tc>
          <w:tcPr>
            <w:tcW w:w="3623"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水泥桩</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2188" w:type="dxa"/>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8401" w:type="dxa"/>
            <w:gridSpan w:val="4"/>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b/>
                <w:bCs/>
                <w:color w:val="auto"/>
                <w:sz w:val="21"/>
                <w:szCs w:val="21"/>
              </w:rPr>
              <w:t>矿山地质环境监测及维护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3623" w:type="dxa"/>
            <w:vAlign w:val="center"/>
          </w:tcPr>
          <w:p>
            <w:pPr>
              <w:keepNext w:val="0"/>
              <w:keepLines w:val="0"/>
              <w:widowControl/>
              <w:suppressLineNumbers w:val="0"/>
              <w:jc w:val="center"/>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崩塌地质灾害监测</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2188" w:type="dxa"/>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2</w:t>
            </w:r>
          </w:p>
        </w:tc>
        <w:tc>
          <w:tcPr>
            <w:tcW w:w="3623" w:type="dxa"/>
            <w:vAlign w:val="center"/>
          </w:tcPr>
          <w:p>
            <w:pPr>
              <w:keepNext w:val="0"/>
              <w:keepLines w:val="0"/>
              <w:widowControl/>
              <w:suppressLineNumbers w:val="0"/>
              <w:jc w:val="center"/>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地形地貌景观监测</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218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3</w:t>
            </w:r>
          </w:p>
        </w:tc>
        <w:tc>
          <w:tcPr>
            <w:tcW w:w="3623" w:type="dxa"/>
            <w:vAlign w:val="center"/>
          </w:tcPr>
          <w:p>
            <w:pPr>
              <w:keepNext w:val="0"/>
              <w:keepLines w:val="0"/>
              <w:widowControl/>
              <w:suppressLineNumbers w:val="0"/>
              <w:jc w:val="center"/>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土壤污染监测</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2188"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158" w:type="dxa"/>
            <w:vAlign w:val="center"/>
          </w:tcPr>
          <w:p>
            <w:pPr>
              <w:keepNext w:val="0"/>
              <w:keepLines w:val="0"/>
              <w:widowControl/>
              <w:suppressLineNumbers w:val="0"/>
              <w:jc w:val="center"/>
              <w:textAlignment w:val="center"/>
              <w:rPr>
                <w:rFonts w:hint="eastAsia" w:ascii="宋体" w:hAnsi="宋体" w:eastAsia="宋体" w:cs="宋体"/>
                <w:color w:val="auto"/>
                <w:sz w:val="21"/>
                <w:szCs w:val="21"/>
                <w:lang w:val="en-US" w:eastAsia="zh-CN"/>
              </w:rPr>
            </w:pPr>
            <w:r>
              <w:rPr>
                <w:rFonts w:hint="eastAsia" w:ascii="宋体" w:hAnsi="宋体" w:eastAsia="宋体" w:cs="宋体"/>
                <w:i w:val="0"/>
                <w:iCs w:val="0"/>
                <w:color w:val="auto"/>
                <w:kern w:val="0"/>
                <w:sz w:val="21"/>
                <w:szCs w:val="21"/>
                <w:u w:val="none"/>
                <w:lang w:val="en-US" w:eastAsia="zh-CN" w:bidi="ar"/>
              </w:rPr>
              <w:t>4</w:t>
            </w:r>
          </w:p>
        </w:tc>
        <w:tc>
          <w:tcPr>
            <w:tcW w:w="3623" w:type="dxa"/>
            <w:vAlign w:val="center"/>
          </w:tcPr>
          <w:p>
            <w:pPr>
              <w:keepNext w:val="0"/>
              <w:keepLines w:val="0"/>
              <w:widowControl/>
              <w:suppressLineNumbers w:val="0"/>
              <w:jc w:val="center"/>
              <w:textAlignment w:val="center"/>
              <w:rPr>
                <w:rFonts w:hint="eastAsia" w:ascii="宋体" w:hAnsi="宋体" w:eastAsia="宋体" w:cs="宋体"/>
                <w:bCs/>
                <w:color w:val="auto"/>
                <w:sz w:val="21"/>
                <w:szCs w:val="21"/>
              </w:rPr>
            </w:pPr>
            <w:r>
              <w:rPr>
                <w:rFonts w:hint="eastAsia" w:ascii="宋体" w:hAnsi="宋体" w:eastAsia="宋体" w:cs="宋体"/>
                <w:i w:val="0"/>
                <w:iCs w:val="0"/>
                <w:color w:val="auto"/>
                <w:kern w:val="0"/>
                <w:sz w:val="21"/>
                <w:szCs w:val="21"/>
                <w:u w:val="none"/>
                <w:lang w:val="en-US" w:eastAsia="zh-CN" w:bidi="ar"/>
              </w:rPr>
              <w:t>大气环境监测</w:t>
            </w:r>
          </w:p>
        </w:tc>
        <w:tc>
          <w:tcPr>
            <w:tcW w:w="1432" w:type="dxa"/>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2188" w:type="dxa"/>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20</w:t>
            </w:r>
          </w:p>
        </w:tc>
      </w:tr>
    </w:tbl>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2）投资估算</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w:t>
      </w:r>
      <w:r>
        <w:rPr>
          <w:rFonts w:hint="eastAsia" w:ascii="宋体" w:hAnsi="宋体" w:cs="宋体"/>
          <w:color w:val="auto"/>
          <w:sz w:val="24"/>
          <w:szCs w:val="24"/>
          <w:lang w:val="en-US" w:eastAsia="zh-CN"/>
        </w:rPr>
        <w:t>近期5年</w:t>
      </w:r>
      <w:r>
        <w:rPr>
          <w:rFonts w:hint="eastAsia" w:ascii="宋体" w:hAnsi="宋体" w:eastAsia="宋体" w:cs="宋体"/>
          <w:color w:val="auto"/>
          <w:sz w:val="24"/>
          <w:szCs w:val="24"/>
        </w:rPr>
        <w:t>内矿山地质环境保护与恢复治理静态总投资为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万元。其中工程施工费为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万元，其他费用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r>
        <w:rPr>
          <w:rFonts w:hint="eastAsia" w:ascii="宋体" w:hAnsi="宋体" w:eastAsia="宋体" w:cs="宋体"/>
          <w:color w:val="auto"/>
          <w:sz w:val="24"/>
          <w:szCs w:val="24"/>
          <w:lang w:val="en-US" w:eastAsia="zh-CN"/>
        </w:rPr>
        <w:t>监测费</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lang w:val="en-US" w:eastAsia="zh-CN"/>
        </w:rPr>
        <w:t>万元，</w:t>
      </w:r>
      <w:r>
        <w:rPr>
          <w:rFonts w:hint="eastAsia" w:ascii="宋体" w:hAnsi="宋体" w:eastAsia="宋体" w:cs="宋体"/>
          <w:color w:val="auto"/>
          <w:sz w:val="24"/>
          <w:szCs w:val="24"/>
        </w:rPr>
        <w:t>预备费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万元。详见估表6-</w:t>
      </w:r>
      <w:r>
        <w:rPr>
          <w:rFonts w:hint="eastAsia" w:ascii="宋体" w:hAnsi="宋体" w:cs="宋体"/>
          <w:color w:val="auto"/>
          <w:sz w:val="24"/>
          <w:szCs w:val="24"/>
          <w:lang w:val="en-US" w:eastAsia="zh-CN"/>
        </w:rPr>
        <w:t>2-16</w:t>
      </w:r>
      <w:r>
        <w:rPr>
          <w:rFonts w:hint="eastAsia" w:ascii="宋体" w:hAnsi="宋体" w:eastAsia="宋体" w:cs="宋体"/>
          <w:color w:val="auto"/>
          <w:sz w:val="24"/>
          <w:szCs w:val="24"/>
        </w:rPr>
        <w:t>。</w:t>
      </w: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cs="宋体"/>
          <w:b/>
          <w:bCs/>
          <w:color w:val="auto"/>
          <w:sz w:val="21"/>
          <w:szCs w:val="21"/>
          <w:lang w:val="en-US" w:eastAsia="zh-CN"/>
        </w:rPr>
        <w:t>2-16</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val="en-US" w:eastAsia="zh-CN"/>
        </w:rPr>
        <w:t xml:space="preserve">     近期</w:t>
      </w:r>
      <w:r>
        <w:rPr>
          <w:rFonts w:hint="eastAsia" w:ascii="宋体" w:hAnsi="宋体" w:eastAsia="宋体" w:cs="宋体"/>
          <w:b/>
          <w:bCs/>
          <w:color w:val="auto"/>
          <w:sz w:val="21"/>
          <w:szCs w:val="21"/>
        </w:rPr>
        <w:t>5年矿山地质环境治理工程费用估算表</w:t>
      </w:r>
    </w:p>
    <w:tbl>
      <w:tblPr>
        <w:tblStyle w:val="53"/>
        <w:tblW w:w="8460"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1950"/>
        <w:gridCol w:w="2280"/>
        <w:gridCol w:w="1395"/>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blHeader/>
          <w:jc w:val="center"/>
        </w:trPr>
        <w:tc>
          <w:tcPr>
            <w:tcW w:w="670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项目名称:新疆伽师县西克尔镇4号砖瓦用页岩矿矿产资源开发利用与生态保护修复方案</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tblHeader/>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费用名称</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计算方法</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预算金额</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各费用比例（%）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56.46%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其他费用</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（一）</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前期工作费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土地清查费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项目勘察费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项目设计与预算编制费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分档定额计费（基数为工程施工费）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项目招标代理费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（二）</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工程监理费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分档定额计费（基数为工程施工费）</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竣工验收费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工程复核费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工程施工费×0.7%</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工程验收费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工程施工费×1.4%</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项目决算编制与审计费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工程施工费×1.0%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整理后土地的重估与登记费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工程施工费×0.65%</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标识设定费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工程施工费×0.11%</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业主管理费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(工程施工费+前期工作费+工程监理+竣工验收费)×2.8%</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监测费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四</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预备费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2"/>
                <w:szCs w:val="22"/>
                <w:u w:val="none"/>
              </w:rPr>
            </w:pP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基本预备费</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(工程施工费+其他费用)*3.0%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4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风险金</w:t>
            </w:r>
          </w:p>
        </w:tc>
        <w:tc>
          <w:tcPr>
            <w:tcW w:w="22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(工程施工费+其他费用)*2.0%</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53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矿山地质环境保护工程静态总投资</w:t>
            </w:r>
          </w:p>
        </w:tc>
        <w:tc>
          <w:tcPr>
            <w:tcW w:w="13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cs="宋体"/>
                <w:i w:val="0"/>
                <w:iCs w:val="0"/>
                <w:color w:val="auto"/>
                <w:kern w:val="0"/>
                <w:sz w:val="21"/>
                <w:szCs w:val="21"/>
                <w:u w:val="none"/>
                <w:lang w:val="en-US" w:eastAsia="zh-CN" w:bidi="ar"/>
              </w:rPr>
              <w:t>****</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w:t>
            </w:r>
          </w:p>
        </w:tc>
      </w:tr>
    </w:tbl>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3）单项工程量与投资估算</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矿山地质环境保护与地质灾害防治费用为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万元，矿山地质环境监测及维护费用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合计</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lang w:val="en-US" w:eastAsia="zh-CN"/>
        </w:rPr>
        <w:t>万元</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近期</w:t>
      </w:r>
      <w:r>
        <w:rPr>
          <w:rFonts w:hint="eastAsia" w:ascii="宋体" w:hAnsi="宋体" w:eastAsia="宋体" w:cs="宋体"/>
          <w:color w:val="auto"/>
          <w:sz w:val="24"/>
          <w:szCs w:val="24"/>
        </w:rPr>
        <w:t>5年矿山地质环境治理单项工程量与投资估算见表6-</w:t>
      </w:r>
      <w:r>
        <w:rPr>
          <w:rFonts w:hint="eastAsia" w:ascii="宋体" w:hAnsi="宋体" w:cs="宋体"/>
          <w:color w:val="auto"/>
          <w:sz w:val="24"/>
          <w:szCs w:val="24"/>
          <w:lang w:val="en-US" w:eastAsia="zh-CN"/>
        </w:rPr>
        <w:t>2-17</w:t>
      </w:r>
      <w:r>
        <w:rPr>
          <w:rFonts w:hint="eastAsia" w:ascii="宋体" w:hAnsi="宋体" w:eastAsia="宋体" w:cs="宋体"/>
          <w:color w:val="auto"/>
          <w:sz w:val="24"/>
          <w:szCs w:val="24"/>
        </w:rPr>
        <w:t>。</w:t>
      </w: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eastAsia="宋体" w:cs="宋体"/>
          <w:b/>
          <w:bCs/>
          <w:color w:val="auto"/>
          <w:sz w:val="21"/>
          <w:szCs w:val="21"/>
          <w:lang w:val="en-US" w:eastAsia="zh-CN"/>
        </w:rPr>
        <w:t xml:space="preserve">2-17     </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近期</w:t>
      </w:r>
      <w:r>
        <w:rPr>
          <w:rFonts w:hint="eastAsia" w:ascii="宋体" w:hAnsi="宋体" w:eastAsia="宋体" w:cs="宋体"/>
          <w:b/>
          <w:bCs/>
          <w:color w:val="auto"/>
          <w:sz w:val="21"/>
          <w:szCs w:val="21"/>
        </w:rPr>
        <w:t>5年矿山地质环境治理单项工程量与投资估算</w:t>
      </w:r>
    </w:p>
    <w:tbl>
      <w:tblPr>
        <w:tblStyle w:val="53"/>
        <w:tblW w:w="7395"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750"/>
        <w:gridCol w:w="1485"/>
        <w:gridCol w:w="1080"/>
        <w:gridCol w:w="795"/>
        <w:gridCol w:w="1080"/>
        <w:gridCol w:w="11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定额编号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工程名称</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工程量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综合单价(元)</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444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矿山环境保护与地质灾害治理工程</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（一）</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地质灾害预防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补充定额</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警示牌</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XB100010</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铁丝网围栏</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100米</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水泥桩</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263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二</w:t>
            </w:r>
          </w:p>
        </w:tc>
        <w:tc>
          <w:tcPr>
            <w:tcW w:w="444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矿山地质环境监测及维护</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崩塌地质灾害监测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10"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地形地貌景观监测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土壤污染监测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市场价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大气环境监测</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次</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8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合计</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21"/>
                <w:szCs w:val="21"/>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1"/>
                <w:szCs w:val="21"/>
                <w:u w:val="none"/>
                <w:lang w:val="en-US" w:eastAsia="zh-CN" w:bidi="ar"/>
              </w:rPr>
              <w:t xml:space="preserve"> </w:t>
            </w:r>
          </w:p>
        </w:tc>
      </w:tr>
    </w:tbl>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）矿山地质环境治理年度经费安排</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lang w:val="en-US" w:eastAsia="zh-CN"/>
        </w:rPr>
        <w:sectPr>
          <w:pgSz w:w="11910" w:h="16840"/>
          <w:pgMar w:top="1440" w:right="1400" w:bottom="1440" w:left="1559" w:header="851" w:footer="992" w:gutter="0"/>
          <w:pgBorders>
            <w:top w:val="none" w:sz="0" w:space="0"/>
            <w:left w:val="none" w:sz="0" w:space="0"/>
            <w:bottom w:val="none" w:sz="0" w:space="0"/>
            <w:right w:val="none" w:sz="0" w:space="0"/>
          </w:pgBorders>
          <w:cols w:space="425" w:num="1"/>
          <w:docGrid w:linePitch="312" w:charSpace="0"/>
        </w:sectPr>
      </w:pPr>
      <w:r>
        <w:rPr>
          <w:rFonts w:hint="eastAsia" w:ascii="宋体" w:hAnsi="宋体" w:eastAsia="宋体" w:cs="宋体"/>
          <w:color w:val="auto"/>
          <w:sz w:val="24"/>
          <w:szCs w:val="24"/>
          <w:lang w:val="en-US" w:eastAsia="zh-CN"/>
        </w:rPr>
        <w:t>依据前述近期工程投资估算，方案近期5年矿山地质环境治理工程静态投资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万元。其中工程施工费为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万元，其他费用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万元，监测费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万元，预备费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lang w:val="en-US" w:eastAsia="zh-CN"/>
        </w:rPr>
        <w:t>万元。根据近期年度工作安排，近期矿山地质环境治理工程年度经费安排见表6-2-18。</w:t>
      </w: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6</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 xml:space="preserve">18        </w:t>
      </w:r>
      <w:r>
        <w:rPr>
          <w:rFonts w:hint="eastAsia" w:ascii="宋体" w:hAnsi="宋体" w:eastAsia="宋体" w:cs="宋体"/>
          <w:b/>
          <w:bCs/>
          <w:color w:val="auto"/>
          <w:sz w:val="21"/>
          <w:szCs w:val="21"/>
        </w:rPr>
        <w:t>近期5年矿山地质环境治理工程年度费用安排</w:t>
      </w:r>
    </w:p>
    <w:tbl>
      <w:tblPr>
        <w:tblStyle w:val="53"/>
        <w:tblW w:w="14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9"/>
        <w:gridCol w:w="1120"/>
        <w:gridCol w:w="583"/>
        <w:gridCol w:w="666"/>
        <w:gridCol w:w="759"/>
        <w:gridCol w:w="636"/>
        <w:gridCol w:w="666"/>
        <w:gridCol w:w="759"/>
        <w:gridCol w:w="636"/>
        <w:gridCol w:w="397"/>
        <w:gridCol w:w="759"/>
        <w:gridCol w:w="636"/>
        <w:gridCol w:w="519"/>
        <w:gridCol w:w="759"/>
        <w:gridCol w:w="636"/>
        <w:gridCol w:w="545"/>
        <w:gridCol w:w="759"/>
        <w:gridCol w:w="636"/>
        <w:gridCol w:w="545"/>
        <w:gridCol w:w="759"/>
        <w:gridCol w:w="6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7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序号</w:t>
            </w:r>
          </w:p>
        </w:tc>
        <w:tc>
          <w:tcPr>
            <w:tcW w:w="1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项目名称</w:t>
            </w:r>
          </w:p>
        </w:tc>
        <w:tc>
          <w:tcPr>
            <w:tcW w:w="58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计量单位</w:t>
            </w:r>
          </w:p>
        </w:tc>
        <w:tc>
          <w:tcPr>
            <w:tcW w:w="20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近期5年总投资</w:t>
            </w:r>
          </w:p>
        </w:tc>
        <w:tc>
          <w:tcPr>
            <w:tcW w:w="206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2025年</w:t>
            </w:r>
          </w:p>
        </w:tc>
        <w:tc>
          <w:tcPr>
            <w:tcW w:w="179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2026年</w:t>
            </w:r>
          </w:p>
        </w:tc>
        <w:tc>
          <w:tcPr>
            <w:tcW w:w="191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2027年</w:t>
            </w:r>
          </w:p>
        </w:tc>
        <w:tc>
          <w:tcPr>
            <w:tcW w:w="19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2028年</w:t>
            </w:r>
          </w:p>
        </w:tc>
        <w:tc>
          <w:tcPr>
            <w:tcW w:w="19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2029年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1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58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工程量</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综合单价（元）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合价（万元）</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工程量</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综合单价（元）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合价（万元）</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工程量</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综合单价（元）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合价（万元）</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工程量</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综合单价（元）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合价（万元）</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工程量</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综合单价（元）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合价（万元）</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工程量</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综合单价（元）</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矿山地质灾害治理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露天采场治理工程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警示牌</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铁丝围栏</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100米</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26.30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 xml:space="preserve">26.30 </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水泥桩</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个</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263</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矿山地质环境监测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地质灾害监测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崩塌监测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点次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180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36</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地形地貌景观监测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地形测绘</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水土环境污染监测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土环境污染监测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点次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5</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（四）</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水大气环境污染监测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大气环境污染监测</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点次</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工程施工费用合计</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auto"/>
                <w:sz w:val="24"/>
                <w:szCs w:val="24"/>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四</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监测费用合计</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五</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其他费用</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六</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预备费</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7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七</w:t>
            </w:r>
          </w:p>
        </w:tc>
        <w:tc>
          <w:tcPr>
            <w:tcW w:w="1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静态总投资</w:t>
            </w:r>
          </w:p>
        </w:tc>
        <w:tc>
          <w:tcPr>
            <w:tcW w:w="5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18"/>
                <w:szCs w:val="18"/>
                <w:u w:val="none"/>
                <w:lang w:val="en-US" w:eastAsia="zh-CN" w:bidi="ar"/>
              </w:rPr>
              <w:t xml:space="preserve"> </w:t>
            </w:r>
          </w:p>
        </w:tc>
        <w:tc>
          <w:tcPr>
            <w:tcW w:w="6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18"/>
                <w:szCs w:val="18"/>
                <w:u w:val="none"/>
                <w:lang w:val="en-US" w:eastAsia="zh-CN" w:bidi="ar"/>
              </w:rPr>
              <w:t xml:space="preserve"> </w:t>
            </w:r>
          </w:p>
        </w:tc>
        <w:tc>
          <w:tcPr>
            <w:tcW w:w="5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lang w:val="en-US" w:eastAsia="zh-CN"/>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18"/>
                <w:szCs w:val="18"/>
                <w:u w:val="none"/>
                <w:lang w:val="en-US" w:eastAsia="zh-CN" w:bidi="ar"/>
              </w:rPr>
              <w:t xml:space="preserve"> </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18"/>
                <w:szCs w:val="18"/>
                <w:u w:val="none"/>
                <w:lang w:val="en-US" w:eastAsia="zh-CN" w:bidi="ar"/>
              </w:rPr>
              <w:t xml:space="preserve"> </w:t>
            </w:r>
          </w:p>
        </w:tc>
        <w:tc>
          <w:tcPr>
            <w:tcW w:w="5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7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b/>
                <w:bCs/>
                <w:i w:val="0"/>
                <w:iCs w:val="0"/>
                <w:color w:val="auto"/>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r>
    </w:tbl>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 xml:space="preserve">  </w:t>
      </w: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lang w:val="en-US" w:eastAsia="zh-CN"/>
        </w:rPr>
        <w:sectPr>
          <w:pgSz w:w="16840" w:h="11910" w:orient="landscape"/>
          <w:pgMar w:top="1559" w:right="1440" w:bottom="1400" w:left="1440" w:header="851" w:footer="992" w:gutter="0"/>
          <w:pgBorders>
            <w:top w:val="none" w:sz="0" w:space="0"/>
            <w:left w:val="none" w:sz="0" w:space="0"/>
            <w:bottom w:val="none" w:sz="0" w:space="0"/>
            <w:right w:val="none" w:sz="0" w:space="0"/>
          </w:pgBorders>
          <w:cols w:space="425" w:num="1"/>
          <w:docGrid w:linePitch="312" w:charSpace="0"/>
        </w:sectPr>
      </w:pPr>
    </w:p>
    <w:p>
      <w:pPr>
        <w:pageBreakBefore w:val="0"/>
        <w:tabs>
          <w:tab w:val="left" w:pos="4320"/>
        </w:tabs>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2、</w:t>
      </w:r>
      <w:r>
        <w:rPr>
          <w:rFonts w:hint="eastAsia" w:ascii="宋体" w:hAnsi="宋体" w:cs="宋体"/>
          <w:b/>
          <w:bCs/>
          <w:color w:val="auto"/>
          <w:sz w:val="24"/>
          <w:szCs w:val="24"/>
          <w:lang w:val="en-US" w:eastAsia="zh-CN"/>
        </w:rPr>
        <w:t>近期</w:t>
      </w:r>
      <w:r>
        <w:rPr>
          <w:rFonts w:hint="eastAsia" w:ascii="宋体" w:hAnsi="宋体" w:eastAsia="宋体" w:cs="宋体"/>
          <w:b/>
          <w:bCs/>
          <w:color w:val="auto"/>
          <w:sz w:val="24"/>
          <w:szCs w:val="24"/>
        </w:rPr>
        <w:t>5年土地复垦经费安排</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矿山土地复垦工作近期5年，根据矿山土地复垦安排，该阶段的工作重点是对土地损毁情况、土壤质量进行监测。近期土地复垦工作主要工程量及费用安排如下：</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1）总工程量</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val="en-US" w:eastAsia="zh-CN"/>
        </w:rPr>
        <w:t>近期</w:t>
      </w:r>
      <w:r>
        <w:rPr>
          <w:rFonts w:hint="eastAsia" w:ascii="宋体" w:hAnsi="宋体" w:eastAsia="宋体" w:cs="宋体"/>
          <w:color w:val="auto"/>
          <w:sz w:val="24"/>
          <w:szCs w:val="24"/>
        </w:rPr>
        <w:t>5年主要工作量为土地损毁情况、土壤质量进行监测，详见表6-</w:t>
      </w:r>
      <w:r>
        <w:rPr>
          <w:rFonts w:hint="eastAsia" w:ascii="宋体" w:hAnsi="宋体" w:cs="宋体"/>
          <w:color w:val="auto"/>
          <w:sz w:val="24"/>
          <w:szCs w:val="24"/>
          <w:lang w:val="en-US" w:eastAsia="zh-CN"/>
        </w:rPr>
        <w:t>2-19</w:t>
      </w:r>
      <w:r>
        <w:rPr>
          <w:rFonts w:hint="eastAsia" w:ascii="宋体" w:hAnsi="宋体" w:eastAsia="宋体" w:cs="宋体"/>
          <w:color w:val="auto"/>
          <w:sz w:val="24"/>
          <w:szCs w:val="24"/>
        </w:rPr>
        <w:t>。</w:t>
      </w: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eastAsia="宋体" w:cs="宋体"/>
          <w:b/>
          <w:bCs/>
          <w:color w:val="auto"/>
          <w:sz w:val="21"/>
          <w:szCs w:val="21"/>
          <w:lang w:val="en-US" w:eastAsia="zh-CN"/>
        </w:rPr>
        <w:t>2-1</w:t>
      </w:r>
      <w:r>
        <w:rPr>
          <w:rFonts w:hint="eastAsia" w:ascii="宋体" w:hAnsi="宋体" w:cs="宋体"/>
          <w:b/>
          <w:bCs/>
          <w:color w:val="auto"/>
          <w:sz w:val="21"/>
          <w:szCs w:val="21"/>
          <w:lang w:val="en-US" w:eastAsia="zh-CN"/>
        </w:rPr>
        <w:t>9</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 xml:space="preserve">      近期</w:t>
      </w:r>
      <w:r>
        <w:rPr>
          <w:rFonts w:hint="eastAsia" w:ascii="宋体" w:hAnsi="宋体" w:eastAsia="宋体" w:cs="宋体"/>
          <w:b/>
          <w:bCs/>
          <w:color w:val="auto"/>
          <w:sz w:val="21"/>
          <w:szCs w:val="21"/>
        </w:rPr>
        <w:t>5年</w:t>
      </w:r>
      <w:bookmarkStart w:id="246" w:name="_Hlk96011863"/>
      <w:r>
        <w:rPr>
          <w:rFonts w:hint="eastAsia" w:ascii="宋体" w:hAnsi="宋体" w:eastAsia="宋体" w:cs="宋体"/>
          <w:b/>
          <w:bCs/>
          <w:color w:val="auto"/>
          <w:sz w:val="21"/>
          <w:szCs w:val="21"/>
        </w:rPr>
        <w:t>土地复垦</w:t>
      </w:r>
      <w:bookmarkEnd w:id="246"/>
      <w:r>
        <w:rPr>
          <w:rFonts w:hint="eastAsia" w:ascii="宋体" w:hAnsi="宋体" w:eastAsia="宋体" w:cs="宋体"/>
          <w:b/>
          <w:bCs/>
          <w:color w:val="auto"/>
          <w:sz w:val="21"/>
          <w:szCs w:val="21"/>
        </w:rPr>
        <w:t>工程量表</w:t>
      </w:r>
    </w:p>
    <w:tbl>
      <w:tblPr>
        <w:tblStyle w:val="53"/>
        <w:tblW w:w="8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3155"/>
        <w:gridCol w:w="1893"/>
        <w:gridCol w:w="1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1" w:type="dxa"/>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编号</w:t>
            </w:r>
          </w:p>
        </w:tc>
        <w:tc>
          <w:tcPr>
            <w:tcW w:w="3155" w:type="dxa"/>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工程措施</w:t>
            </w:r>
          </w:p>
        </w:tc>
        <w:tc>
          <w:tcPr>
            <w:tcW w:w="1893" w:type="dxa"/>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891" w:type="dxa"/>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8560" w:type="dxa"/>
            <w:gridSpan w:val="4"/>
            <w:shd w:val="clear" w:color="auto" w:fill="auto"/>
            <w:vAlign w:val="bottom"/>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二、土地复垦监测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2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1</w:t>
            </w:r>
          </w:p>
        </w:tc>
        <w:tc>
          <w:tcPr>
            <w:tcW w:w="315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土地损毁监测</w:t>
            </w:r>
          </w:p>
        </w:tc>
        <w:tc>
          <w:tcPr>
            <w:tcW w:w="1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2"/>
                <w:szCs w:val="22"/>
              </w:rPr>
            </w:pPr>
            <w:r>
              <w:rPr>
                <w:rFonts w:hint="eastAsia" w:ascii="宋体" w:hAnsi="宋体" w:eastAsia="宋体" w:cs="宋体"/>
                <w:color w:val="auto"/>
                <w:sz w:val="22"/>
                <w:szCs w:val="22"/>
              </w:rPr>
              <w:t>次</w:t>
            </w:r>
          </w:p>
        </w:tc>
        <w:tc>
          <w:tcPr>
            <w:tcW w:w="1891"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20</w:t>
            </w:r>
          </w:p>
        </w:tc>
      </w:tr>
    </w:tbl>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2）投资估算</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val="en-US" w:eastAsia="zh-CN"/>
        </w:rPr>
        <w:t>近期5年</w:t>
      </w:r>
      <w:r>
        <w:rPr>
          <w:rFonts w:hint="eastAsia" w:ascii="宋体" w:hAnsi="宋体" w:eastAsia="宋体" w:cs="宋体"/>
          <w:color w:val="auto"/>
          <w:sz w:val="24"/>
          <w:szCs w:val="24"/>
        </w:rPr>
        <w:t>矿山土地复垦静态总投资为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万元。详见估表6-</w:t>
      </w:r>
      <w:r>
        <w:rPr>
          <w:rFonts w:hint="eastAsia" w:ascii="宋体" w:hAnsi="宋体" w:cs="宋体"/>
          <w:color w:val="auto"/>
          <w:sz w:val="24"/>
          <w:szCs w:val="24"/>
          <w:lang w:val="en-US" w:eastAsia="zh-CN"/>
        </w:rPr>
        <w:t>2-20</w:t>
      </w:r>
      <w:r>
        <w:rPr>
          <w:rFonts w:hint="eastAsia" w:ascii="宋体" w:hAnsi="宋体" w:eastAsia="宋体" w:cs="宋体"/>
          <w:color w:val="auto"/>
          <w:sz w:val="24"/>
          <w:szCs w:val="24"/>
        </w:rPr>
        <w:t>。</w:t>
      </w: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eastAsia="宋体" w:cs="宋体"/>
          <w:b/>
          <w:bCs/>
          <w:color w:val="auto"/>
          <w:sz w:val="21"/>
          <w:szCs w:val="21"/>
          <w:lang w:val="en-US" w:eastAsia="zh-CN"/>
        </w:rPr>
        <w:t>2-</w:t>
      </w:r>
      <w:r>
        <w:rPr>
          <w:rFonts w:hint="eastAsia" w:ascii="宋体" w:hAnsi="宋体" w:cs="宋体"/>
          <w:b/>
          <w:bCs/>
          <w:color w:val="auto"/>
          <w:sz w:val="21"/>
          <w:szCs w:val="21"/>
          <w:lang w:val="en-US" w:eastAsia="zh-CN"/>
        </w:rPr>
        <w:t>20</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 xml:space="preserve"> </w:t>
      </w:r>
      <w:r>
        <w:rPr>
          <w:rFonts w:hint="eastAsia" w:ascii="宋体" w:hAnsi="宋体" w:eastAsia="宋体" w:cs="宋体"/>
          <w:b/>
          <w:bCs/>
          <w:color w:val="auto"/>
          <w:sz w:val="21"/>
          <w:szCs w:val="21"/>
          <w:lang w:val="en-US" w:eastAsia="zh-CN"/>
        </w:rPr>
        <w:t>近期</w:t>
      </w:r>
      <w:r>
        <w:rPr>
          <w:rFonts w:hint="eastAsia" w:ascii="宋体" w:hAnsi="宋体" w:eastAsia="宋体" w:cs="宋体"/>
          <w:b/>
          <w:bCs/>
          <w:color w:val="auto"/>
          <w:sz w:val="21"/>
          <w:szCs w:val="21"/>
        </w:rPr>
        <w:t>5年土地复垦工程费用估算表</w:t>
      </w:r>
    </w:p>
    <w:tbl>
      <w:tblPr>
        <w:tblStyle w:val="53"/>
        <w:tblW w:w="8645" w:type="dxa"/>
        <w:jc w:val="center"/>
        <w:tblInd w:w="0" w:type="dxa"/>
        <w:tblLayout w:type="fixed"/>
        <w:tblCellMar>
          <w:top w:w="0" w:type="dxa"/>
          <w:left w:w="108" w:type="dxa"/>
          <w:bottom w:w="0" w:type="dxa"/>
          <w:right w:w="108" w:type="dxa"/>
        </w:tblCellMar>
      </w:tblPr>
      <w:tblGrid>
        <w:gridCol w:w="906"/>
        <w:gridCol w:w="1008"/>
        <w:gridCol w:w="1492"/>
        <w:gridCol w:w="719"/>
        <w:gridCol w:w="1058"/>
        <w:gridCol w:w="1984"/>
        <w:gridCol w:w="1478"/>
      </w:tblGrid>
      <w:tr>
        <w:tblPrEx>
          <w:tblLayout w:type="fixed"/>
          <w:tblCellMar>
            <w:top w:w="0" w:type="dxa"/>
            <w:left w:w="108" w:type="dxa"/>
            <w:bottom w:w="0" w:type="dxa"/>
            <w:right w:w="108" w:type="dxa"/>
          </w:tblCellMar>
        </w:tblPrEx>
        <w:trPr>
          <w:trHeight w:val="340" w:hRule="atLeast"/>
          <w:jc w:val="center"/>
        </w:trPr>
        <w:tc>
          <w:tcPr>
            <w:tcW w:w="8645" w:type="dxa"/>
            <w:gridSpan w:val="7"/>
            <w:tcBorders>
              <w:top w:val="single" w:color="auto" w:sz="4" w:space="0"/>
              <w:left w:val="single" w:color="auto" w:sz="4" w:space="0"/>
              <w:bottom w:val="single" w:color="auto"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both"/>
              <w:rPr>
                <w:rFonts w:hint="eastAsia" w:ascii="宋体" w:hAnsi="宋体" w:eastAsia="宋体" w:cs="宋体"/>
                <w:color w:val="auto"/>
                <w:sz w:val="21"/>
                <w:szCs w:val="21"/>
              </w:rPr>
            </w:pPr>
            <w:r>
              <w:rPr>
                <w:rFonts w:hint="eastAsia" w:ascii="宋体" w:hAnsi="宋体" w:eastAsia="宋体" w:cs="宋体"/>
                <w:color w:val="auto"/>
                <w:sz w:val="21"/>
                <w:szCs w:val="21"/>
              </w:rPr>
              <w:t>项目名称：</w:t>
            </w:r>
            <w:r>
              <w:rPr>
                <w:rFonts w:hint="eastAsia" w:ascii="宋体" w:hAnsi="宋体" w:eastAsia="宋体" w:cs="宋体"/>
                <w:i w:val="0"/>
                <w:iCs w:val="0"/>
                <w:color w:val="auto"/>
                <w:kern w:val="0"/>
                <w:sz w:val="22"/>
                <w:szCs w:val="22"/>
                <w:u w:val="none"/>
                <w:lang w:val="en-US" w:eastAsia="zh-CN" w:bidi="ar"/>
              </w:rPr>
              <w:t>新疆伽师县西克尔镇4号砖瓦用页岩矿矿产资源开发利用与生态保护修复方案</w:t>
            </w:r>
          </w:p>
        </w:tc>
      </w:tr>
      <w:tr>
        <w:tblPrEx>
          <w:tblLayout w:type="fixed"/>
          <w:tblCellMar>
            <w:top w:w="0" w:type="dxa"/>
            <w:left w:w="108" w:type="dxa"/>
            <w:bottom w:w="0" w:type="dxa"/>
            <w:right w:w="108" w:type="dxa"/>
          </w:tblCellMar>
        </w:tblPrEx>
        <w:trPr>
          <w:trHeight w:val="340" w:hRule="atLeast"/>
          <w:jc w:val="center"/>
        </w:trPr>
        <w:tc>
          <w:tcPr>
            <w:tcW w:w="906"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编号</w:t>
            </w:r>
          </w:p>
        </w:tc>
        <w:tc>
          <w:tcPr>
            <w:tcW w:w="1008"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定额编号</w:t>
            </w:r>
          </w:p>
        </w:tc>
        <w:tc>
          <w:tcPr>
            <w:tcW w:w="1492"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工程措施</w:t>
            </w:r>
          </w:p>
        </w:tc>
        <w:tc>
          <w:tcPr>
            <w:tcW w:w="719"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单位</w:t>
            </w:r>
          </w:p>
        </w:tc>
        <w:tc>
          <w:tcPr>
            <w:tcW w:w="1058"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工程量</w:t>
            </w:r>
          </w:p>
        </w:tc>
        <w:tc>
          <w:tcPr>
            <w:tcW w:w="1984"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综合单价（元）</w:t>
            </w:r>
          </w:p>
        </w:tc>
        <w:tc>
          <w:tcPr>
            <w:tcW w:w="1478"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合价（万元）</w:t>
            </w:r>
          </w:p>
        </w:tc>
      </w:tr>
      <w:tr>
        <w:tblPrEx>
          <w:tblLayout w:type="fixed"/>
          <w:tblCellMar>
            <w:top w:w="0" w:type="dxa"/>
            <w:left w:w="108" w:type="dxa"/>
            <w:bottom w:w="0" w:type="dxa"/>
            <w:right w:w="108" w:type="dxa"/>
          </w:tblCellMar>
        </w:tblPrEx>
        <w:trPr>
          <w:trHeight w:val="340" w:hRule="atLeast"/>
          <w:jc w:val="center"/>
        </w:trPr>
        <w:tc>
          <w:tcPr>
            <w:tcW w:w="5183"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二、土地复垦监测</w:t>
            </w:r>
          </w:p>
        </w:tc>
        <w:tc>
          <w:tcPr>
            <w:tcW w:w="1984"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color w:val="auto"/>
                <w:sz w:val="21"/>
                <w:szCs w:val="21"/>
              </w:rPr>
            </w:pPr>
            <w:r>
              <w:rPr>
                <w:rFonts w:hint="eastAsia" w:ascii="宋体" w:hAnsi="宋体" w:eastAsia="宋体" w:cs="宋体"/>
                <w:i w:val="0"/>
                <w:iCs w:val="0"/>
                <w:color w:val="auto"/>
                <w:kern w:val="0"/>
                <w:sz w:val="21"/>
                <w:szCs w:val="21"/>
                <w:u w:val="none"/>
                <w:lang w:val="en-US" w:eastAsia="zh-CN" w:bidi="ar"/>
              </w:rPr>
              <w:t xml:space="preserve"> </w:t>
            </w:r>
          </w:p>
        </w:tc>
      </w:tr>
      <w:tr>
        <w:tblPrEx>
          <w:tblLayout w:type="fixed"/>
          <w:tblCellMar>
            <w:top w:w="0" w:type="dxa"/>
            <w:left w:w="108" w:type="dxa"/>
            <w:bottom w:w="0" w:type="dxa"/>
            <w:right w:w="108" w:type="dxa"/>
          </w:tblCellMar>
        </w:tblPrEx>
        <w:trPr>
          <w:trHeight w:val="340" w:hRule="atLeast"/>
          <w:jc w:val="center"/>
        </w:trPr>
        <w:tc>
          <w:tcPr>
            <w:tcW w:w="906" w:type="dxa"/>
            <w:tcBorders>
              <w:top w:val="nil"/>
              <w:left w:val="single" w:color="auto" w:sz="4" w:space="0"/>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008"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市场价</w:t>
            </w:r>
          </w:p>
        </w:tc>
        <w:tc>
          <w:tcPr>
            <w:tcW w:w="1492"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土地损毁监测</w:t>
            </w:r>
          </w:p>
        </w:tc>
        <w:tc>
          <w:tcPr>
            <w:tcW w:w="719"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次</w:t>
            </w:r>
          </w:p>
        </w:tc>
        <w:tc>
          <w:tcPr>
            <w:tcW w:w="1058"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0</w:t>
            </w:r>
          </w:p>
        </w:tc>
        <w:tc>
          <w:tcPr>
            <w:tcW w:w="1984" w:type="dxa"/>
            <w:tcBorders>
              <w:top w:val="nil"/>
              <w:left w:val="nil"/>
              <w:bottom w:val="single" w:color="auto" w:sz="4" w:space="0"/>
              <w:right w:val="single" w:color="auto" w:sz="4" w:space="0"/>
            </w:tcBorders>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w:t>
            </w:r>
          </w:p>
        </w:tc>
        <w:tc>
          <w:tcPr>
            <w:tcW w:w="1478" w:type="dxa"/>
            <w:tcBorders>
              <w:top w:val="nil"/>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 xml:space="preserve"> </w:t>
            </w:r>
          </w:p>
        </w:tc>
      </w:tr>
      <w:tr>
        <w:tblPrEx>
          <w:tblLayout w:type="fixed"/>
          <w:tblCellMar>
            <w:top w:w="0" w:type="dxa"/>
            <w:left w:w="108" w:type="dxa"/>
            <w:bottom w:w="0" w:type="dxa"/>
            <w:right w:w="108" w:type="dxa"/>
          </w:tblCellMar>
        </w:tblPrEx>
        <w:trPr>
          <w:trHeight w:val="340" w:hRule="atLeast"/>
          <w:jc w:val="center"/>
        </w:trPr>
        <w:tc>
          <w:tcPr>
            <w:tcW w:w="906" w:type="dxa"/>
            <w:tcBorders>
              <w:top w:val="nil"/>
              <w:left w:val="single" w:color="auto" w:sz="4" w:space="0"/>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总计</w:t>
            </w:r>
          </w:p>
        </w:tc>
        <w:tc>
          <w:tcPr>
            <w:tcW w:w="1008"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p>
        </w:tc>
        <w:tc>
          <w:tcPr>
            <w:tcW w:w="1492"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p>
        </w:tc>
        <w:tc>
          <w:tcPr>
            <w:tcW w:w="719"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p>
        </w:tc>
        <w:tc>
          <w:tcPr>
            <w:tcW w:w="1058"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p>
        </w:tc>
        <w:tc>
          <w:tcPr>
            <w:tcW w:w="1984"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21"/>
                <w:szCs w:val="21"/>
              </w:rPr>
            </w:pPr>
          </w:p>
        </w:tc>
        <w:tc>
          <w:tcPr>
            <w:tcW w:w="1478" w:type="dxa"/>
            <w:tcBorders>
              <w:top w:val="nil"/>
              <w:left w:val="nil"/>
              <w:bottom w:val="single" w:color="auto" w:sz="4" w:space="0"/>
              <w:right w:val="single" w:color="auto" w:sz="4" w:space="0"/>
            </w:tcBorders>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b/>
                <w:bCs/>
                <w:color w:val="auto"/>
                <w:sz w:val="21"/>
                <w:szCs w:val="21"/>
                <w:lang w:val="en-US"/>
              </w:rPr>
            </w:pPr>
            <w:r>
              <w:rPr>
                <w:rFonts w:hint="eastAsia" w:ascii="宋体" w:hAnsi="宋体" w:cs="宋体"/>
                <w:i w:val="0"/>
                <w:iCs w:val="0"/>
                <w:color w:val="auto"/>
                <w:kern w:val="0"/>
                <w:sz w:val="21"/>
                <w:szCs w:val="21"/>
                <w:u w:val="none"/>
                <w:lang w:val="en-US" w:eastAsia="zh-CN" w:bidi="ar"/>
              </w:rPr>
              <w:t>****</w:t>
            </w:r>
          </w:p>
        </w:tc>
      </w:tr>
    </w:tbl>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土地复垦</w:t>
      </w:r>
      <w:r>
        <w:rPr>
          <w:rFonts w:hint="eastAsia" w:ascii="宋体" w:hAnsi="宋体" w:eastAsia="宋体" w:cs="宋体"/>
          <w:color w:val="auto"/>
          <w:sz w:val="24"/>
          <w:szCs w:val="24"/>
        </w:rPr>
        <w:t>年度经费安排</w:t>
      </w: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b w:val="0"/>
          <w:bCs w:val="0"/>
          <w:color w:val="auto"/>
          <w:sz w:val="24"/>
          <w:szCs w:val="24"/>
        </w:rPr>
        <w:sectPr>
          <w:pgSz w:w="11910" w:h="16840"/>
          <w:pgMar w:top="1440" w:right="1400" w:bottom="1440" w:left="1559" w:header="851" w:footer="992" w:gutter="0"/>
          <w:pgBorders>
            <w:top w:val="none" w:sz="0" w:space="0"/>
            <w:left w:val="none" w:sz="0" w:space="0"/>
            <w:bottom w:val="none" w:sz="0" w:space="0"/>
            <w:right w:val="none" w:sz="0" w:space="0"/>
          </w:pgBorders>
          <w:cols w:space="425" w:num="1"/>
          <w:docGrid w:linePitch="312" w:charSpace="0"/>
        </w:sectPr>
      </w:pPr>
      <w:r>
        <w:rPr>
          <w:rFonts w:hint="eastAsia" w:ascii="宋体" w:hAnsi="宋体" w:eastAsia="宋体" w:cs="宋体"/>
          <w:b w:val="0"/>
          <w:bCs w:val="0"/>
          <w:color w:val="auto"/>
          <w:sz w:val="24"/>
          <w:szCs w:val="24"/>
        </w:rPr>
        <w:t>依据前述近期工程投资估算，方案近期5年土地复垦静态总投资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val="0"/>
          <w:bCs w:val="0"/>
          <w:color w:val="auto"/>
          <w:sz w:val="24"/>
          <w:szCs w:val="24"/>
        </w:rPr>
        <w:t>万元。根据近期年度工作安排，近期矿山土地复垦工程年度经费安排见表</w:t>
      </w:r>
      <w:r>
        <w:rPr>
          <w:rFonts w:hint="eastAsia" w:ascii="宋体" w:hAnsi="宋体" w:eastAsia="宋体" w:cs="宋体"/>
          <w:b w:val="0"/>
          <w:bCs w:val="0"/>
          <w:color w:val="auto"/>
          <w:sz w:val="24"/>
          <w:szCs w:val="24"/>
          <w:lang w:val="en-US" w:eastAsia="zh-CN"/>
        </w:rPr>
        <w:t>6</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21</w:t>
      </w:r>
      <w:r>
        <w:rPr>
          <w:rFonts w:hint="eastAsia" w:ascii="宋体" w:hAnsi="宋体" w:eastAsia="宋体" w:cs="宋体"/>
          <w:b w:val="0"/>
          <w:bCs w:val="0"/>
          <w:color w:val="auto"/>
          <w:sz w:val="24"/>
          <w:szCs w:val="24"/>
        </w:rPr>
        <w:t>。</w:t>
      </w: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w:t>
      </w:r>
      <w:r>
        <w:rPr>
          <w:rFonts w:hint="eastAsia" w:ascii="宋体" w:hAnsi="宋体" w:eastAsia="宋体" w:cs="宋体"/>
          <w:b/>
          <w:bCs/>
          <w:color w:val="auto"/>
          <w:sz w:val="21"/>
          <w:szCs w:val="21"/>
          <w:lang w:val="en-US" w:eastAsia="zh-CN"/>
        </w:rPr>
        <w:t>6</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2</w:t>
      </w:r>
      <w:r>
        <w:rPr>
          <w:rFonts w:hint="eastAsia" w:ascii="宋体" w:hAnsi="宋体" w:eastAsia="宋体" w:cs="宋体"/>
          <w:b/>
          <w:bCs/>
          <w:color w:val="auto"/>
          <w:sz w:val="21"/>
          <w:szCs w:val="21"/>
        </w:rPr>
        <w:t>-</w:t>
      </w:r>
      <w:r>
        <w:rPr>
          <w:rFonts w:hint="eastAsia" w:ascii="宋体" w:hAnsi="宋体" w:eastAsia="宋体" w:cs="宋体"/>
          <w:b/>
          <w:bCs/>
          <w:color w:val="auto"/>
          <w:sz w:val="21"/>
          <w:szCs w:val="21"/>
          <w:lang w:val="en-US" w:eastAsia="zh-CN"/>
        </w:rPr>
        <w:t xml:space="preserve">21        </w:t>
      </w:r>
      <w:r>
        <w:rPr>
          <w:rFonts w:hint="eastAsia" w:ascii="宋体" w:hAnsi="宋体" w:eastAsia="宋体" w:cs="宋体"/>
          <w:b/>
          <w:bCs/>
          <w:color w:val="auto"/>
          <w:sz w:val="21"/>
          <w:szCs w:val="21"/>
        </w:rPr>
        <w:t>近期5年</w:t>
      </w:r>
      <w:r>
        <w:rPr>
          <w:rFonts w:hint="eastAsia" w:ascii="宋体" w:hAnsi="宋体" w:eastAsia="宋体" w:cs="宋体"/>
          <w:b/>
          <w:bCs/>
          <w:color w:val="auto"/>
          <w:sz w:val="21"/>
          <w:szCs w:val="21"/>
          <w:lang w:val="en-US" w:eastAsia="zh-CN"/>
        </w:rPr>
        <w:t>土地复垦</w:t>
      </w:r>
      <w:r>
        <w:rPr>
          <w:rFonts w:hint="eastAsia" w:ascii="宋体" w:hAnsi="宋体" w:eastAsia="宋体" w:cs="宋体"/>
          <w:b/>
          <w:bCs/>
          <w:color w:val="auto"/>
          <w:sz w:val="21"/>
          <w:szCs w:val="21"/>
        </w:rPr>
        <w:t>工程年度费用安排</w:t>
      </w:r>
    </w:p>
    <w:tbl>
      <w:tblPr>
        <w:tblStyle w:val="53"/>
        <w:tblW w:w="140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36"/>
        <w:gridCol w:w="596"/>
        <w:gridCol w:w="436"/>
        <w:gridCol w:w="476"/>
        <w:gridCol w:w="907"/>
        <w:gridCol w:w="767"/>
        <w:gridCol w:w="485"/>
        <w:gridCol w:w="851"/>
        <w:gridCol w:w="757"/>
        <w:gridCol w:w="485"/>
        <w:gridCol w:w="851"/>
        <w:gridCol w:w="757"/>
        <w:gridCol w:w="485"/>
        <w:gridCol w:w="851"/>
        <w:gridCol w:w="757"/>
        <w:gridCol w:w="485"/>
        <w:gridCol w:w="851"/>
        <w:gridCol w:w="757"/>
        <w:gridCol w:w="485"/>
        <w:gridCol w:w="851"/>
        <w:gridCol w:w="7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59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费用名称</w:t>
            </w:r>
          </w:p>
        </w:tc>
        <w:tc>
          <w:tcPr>
            <w:tcW w:w="25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近期5年土地复垦</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第一年</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第二年</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第三年</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第四年</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第5年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258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工程投资</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（2025.5—2026.4）</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（2026.5—2027.4）</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（2027.5—2028.4）</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（2028.5—2029.4）</w:t>
            </w:r>
          </w:p>
        </w:tc>
        <w:tc>
          <w:tcPr>
            <w:tcW w:w="209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（2029.5—2030.4）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59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auto"/>
                <w:sz w:val="18"/>
                <w:szCs w:val="18"/>
                <w:u w:val="none"/>
              </w:rPr>
            </w:pP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单位</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工程量</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单价（元）</w:t>
            </w:r>
          </w:p>
        </w:tc>
        <w:tc>
          <w:tcPr>
            <w:tcW w:w="7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合价(万元)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103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二、土地复垦监测</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auto"/>
                <w:sz w:val="18"/>
                <w:szCs w:val="18"/>
                <w:u w:val="none"/>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auto"/>
                <w:sz w:val="18"/>
                <w:szCs w:val="18"/>
                <w:u w:val="none"/>
              </w:rPr>
            </w:pP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1</w:t>
            </w:r>
          </w:p>
        </w:tc>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土地损毁监测</w:t>
            </w:r>
          </w:p>
        </w:tc>
        <w:tc>
          <w:tcPr>
            <w:tcW w:w="43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次</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20</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7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4</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p>
        </w:tc>
        <w:tc>
          <w:tcPr>
            <w:tcW w:w="7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i w:val="0"/>
                <w:iCs w:val="0"/>
                <w:color w:val="auto"/>
                <w:kern w:val="0"/>
                <w:sz w:val="18"/>
                <w:szCs w:val="18"/>
                <w:u w:val="none"/>
                <w:lang w:val="en-US" w:eastAsia="zh-CN" w:bidi="ar"/>
              </w:rPr>
              <w:t xml:space="preserve"> </w:t>
            </w:r>
          </w:p>
        </w:tc>
      </w:tr>
    </w:tbl>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p>
    <w:p>
      <w:pPr>
        <w:pageBreakBefore w:val="0"/>
        <w:tabs>
          <w:tab w:val="left" w:pos="4320"/>
        </w:tabs>
        <w:kinsoku/>
        <w:overflowPunct/>
        <w:bidi w:val="0"/>
        <w:adjustRightInd/>
        <w:snapToGrid/>
        <w:spacing w:line="360" w:lineRule="auto"/>
        <w:ind w:left="0" w:leftChars="0" w:right="0" w:rightChars="0" w:firstLine="480" w:firstLineChars="200"/>
        <w:jc w:val="both"/>
        <w:rPr>
          <w:rFonts w:hint="eastAsia" w:ascii="宋体" w:hAnsi="宋体" w:eastAsia="宋体" w:cs="宋体"/>
          <w:b w:val="0"/>
          <w:bCs w:val="0"/>
          <w:color w:val="auto"/>
          <w:sz w:val="24"/>
          <w:szCs w:val="24"/>
        </w:rPr>
        <w:sectPr>
          <w:pgSz w:w="16840" w:h="11910" w:orient="landscape"/>
          <w:pgMar w:top="1559" w:right="1440" w:bottom="1400" w:left="1440" w:header="851" w:footer="992" w:gutter="0"/>
          <w:pgBorders>
            <w:top w:val="none" w:sz="0" w:space="0"/>
            <w:left w:val="none" w:sz="0" w:space="0"/>
            <w:bottom w:val="none" w:sz="0" w:space="0"/>
            <w:right w:val="none" w:sz="0" w:space="0"/>
          </w:pgBorders>
          <w:cols w:space="425" w:num="1"/>
          <w:docGrid w:linePitch="312" w:charSpace="0"/>
        </w:sectPr>
      </w:pP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eastAsia="宋体" w:cs="宋体"/>
          <w:b/>
          <w:bCs/>
          <w:color w:val="auto"/>
          <w:sz w:val="21"/>
          <w:szCs w:val="21"/>
          <w:lang w:val="en-US" w:eastAsia="zh-CN"/>
        </w:rPr>
        <w:t>2-2</w:t>
      </w:r>
      <w:r>
        <w:rPr>
          <w:rFonts w:hint="eastAsia" w:ascii="宋体" w:hAnsi="宋体" w:cs="宋体"/>
          <w:b/>
          <w:bCs/>
          <w:color w:val="auto"/>
          <w:sz w:val="21"/>
          <w:szCs w:val="21"/>
          <w:lang w:val="en-US" w:eastAsia="zh-CN"/>
        </w:rPr>
        <w:t>2</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工程综合单价计算表</w:t>
      </w:r>
    </w:p>
    <w:tbl>
      <w:tblPr>
        <w:tblStyle w:val="53"/>
        <w:tblW w:w="147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3"/>
        <w:gridCol w:w="2292"/>
        <w:gridCol w:w="952"/>
        <w:gridCol w:w="1207"/>
        <w:gridCol w:w="950"/>
        <w:gridCol w:w="929"/>
        <w:gridCol w:w="1207"/>
        <w:gridCol w:w="1015"/>
        <w:gridCol w:w="1482"/>
        <w:gridCol w:w="899"/>
        <w:gridCol w:w="902"/>
        <w:gridCol w:w="1059"/>
        <w:gridCol w:w="1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893"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序号</w:t>
            </w:r>
          </w:p>
        </w:tc>
        <w:tc>
          <w:tcPr>
            <w:tcW w:w="2292"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工程分类名称</w:t>
            </w:r>
          </w:p>
        </w:tc>
        <w:tc>
          <w:tcPr>
            <w:tcW w:w="952"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直接费</w:t>
            </w:r>
          </w:p>
        </w:tc>
        <w:tc>
          <w:tcPr>
            <w:tcW w:w="1207"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直接工程费</w:t>
            </w:r>
          </w:p>
        </w:tc>
        <w:tc>
          <w:tcPr>
            <w:tcW w:w="950"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人工费</w:t>
            </w:r>
          </w:p>
        </w:tc>
        <w:tc>
          <w:tcPr>
            <w:tcW w:w="929"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材料费</w:t>
            </w:r>
          </w:p>
        </w:tc>
        <w:tc>
          <w:tcPr>
            <w:tcW w:w="1207"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机械使用费</w:t>
            </w:r>
          </w:p>
        </w:tc>
        <w:tc>
          <w:tcPr>
            <w:tcW w:w="1015"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其他费用</w:t>
            </w:r>
          </w:p>
        </w:tc>
        <w:tc>
          <w:tcPr>
            <w:tcW w:w="148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措施费</w:t>
            </w:r>
          </w:p>
        </w:tc>
        <w:tc>
          <w:tcPr>
            <w:tcW w:w="899"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间接费</w:t>
            </w:r>
          </w:p>
        </w:tc>
        <w:tc>
          <w:tcPr>
            <w:tcW w:w="90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利润</w:t>
            </w:r>
          </w:p>
        </w:tc>
        <w:tc>
          <w:tcPr>
            <w:tcW w:w="1059"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税金</w:t>
            </w:r>
          </w:p>
        </w:tc>
        <w:tc>
          <w:tcPr>
            <w:tcW w:w="1003" w:type="dxa"/>
            <w:vMerge w:val="restart"/>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综合单价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89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2292"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952"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18"/>
                <w:szCs w:val="18"/>
              </w:rPr>
            </w:pPr>
          </w:p>
        </w:tc>
        <w:tc>
          <w:tcPr>
            <w:tcW w:w="1207"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950"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929"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1207"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1015"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148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3.60%</w:t>
            </w:r>
          </w:p>
        </w:tc>
        <w:tc>
          <w:tcPr>
            <w:tcW w:w="899"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w:t>
            </w:r>
          </w:p>
        </w:tc>
        <w:tc>
          <w:tcPr>
            <w:tcW w:w="902"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3.00%</w:t>
            </w:r>
          </w:p>
        </w:tc>
        <w:tc>
          <w:tcPr>
            <w:tcW w:w="1059"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9.00%</w:t>
            </w:r>
          </w:p>
        </w:tc>
        <w:tc>
          <w:tcPr>
            <w:tcW w:w="1003" w:type="dxa"/>
            <w:vMerge w:val="continue"/>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(9)</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(11)</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12728" w:type="dxa"/>
            <w:gridSpan w:val="11"/>
            <w:shd w:val="clear" w:color="auto" w:fill="auto"/>
            <w:noWrap/>
            <w:vAlign w:val="center"/>
          </w:tcPr>
          <w:p>
            <w:pPr>
              <w:pageBreakBefore w:val="0"/>
              <w:kinsoku/>
              <w:overflowPunct/>
              <w:bidi w:val="0"/>
              <w:adjustRightInd/>
              <w:snapToGrid/>
              <w:spacing w:line="240" w:lineRule="auto"/>
              <w:ind w:left="0" w:leftChars="0" w:right="0" w:rightChars="0" w:firstLine="361" w:firstLineChars="20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矿山地质环境保护综合单价表</w:t>
            </w:r>
          </w:p>
        </w:tc>
        <w:tc>
          <w:tcPr>
            <w:tcW w:w="2062" w:type="dxa"/>
            <w:gridSpan w:val="2"/>
            <w:shd w:val="clear" w:color="auto" w:fill="auto"/>
            <w:vAlign w:val="center"/>
          </w:tcPr>
          <w:p>
            <w:pPr>
              <w:pageBreakBefore w:val="0"/>
              <w:kinsoku/>
              <w:overflowPunct/>
              <w:bidi w:val="0"/>
              <w:adjustRightInd/>
              <w:snapToGrid/>
              <w:spacing w:line="240" w:lineRule="auto"/>
              <w:ind w:left="0" w:leftChars="0" w:right="0" w:rightChars="0" w:firstLine="361" w:firstLineChars="200"/>
              <w:jc w:val="center"/>
              <w:rPr>
                <w:rFonts w:hint="eastAsia" w:ascii="宋体" w:hAnsi="宋体" w:eastAsia="宋体" w:cs="宋体"/>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1</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地质灾害监测</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31.08</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1.08</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1.55</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0.98</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3.03</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cs="宋体"/>
                <w:color w:val="auto"/>
                <w:sz w:val="18"/>
                <w:szCs w:val="18"/>
                <w:lang w:val="en-US" w:eastAsia="zh-CN"/>
              </w:rPr>
              <w:t>2</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生活污水监测</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51.80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1.80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2.59</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1.63</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5.04</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3</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铁丝网维护</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51.00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1.00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2.55</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1.61</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1.81</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4</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地形地貌监测</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5180.00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180.00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259.00</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163.17</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504.20</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6106.37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5</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土壤污染监测</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800.00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800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6</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大气环境监测</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7</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生活污水处理</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155.40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150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150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5.40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7.77</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4.90</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15.13</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183.19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8</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生活垃圾处理</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6000.00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jc w:val="center"/>
        </w:trPr>
        <w:tc>
          <w:tcPr>
            <w:tcW w:w="12728" w:type="dxa"/>
            <w:gridSpan w:val="11"/>
            <w:shd w:val="clear" w:color="auto" w:fill="auto"/>
            <w:noWrap/>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18"/>
                <w:szCs w:val="18"/>
              </w:rPr>
            </w:pPr>
            <w:r>
              <w:rPr>
                <w:rFonts w:hint="eastAsia" w:ascii="宋体" w:hAnsi="宋体" w:eastAsia="宋体" w:cs="宋体"/>
                <w:b/>
                <w:bCs/>
                <w:color w:val="auto"/>
                <w:sz w:val="18"/>
                <w:szCs w:val="18"/>
              </w:rPr>
              <w:t>土地复垦工程综合单价表</w:t>
            </w:r>
          </w:p>
        </w:tc>
        <w:tc>
          <w:tcPr>
            <w:tcW w:w="2062" w:type="dxa"/>
            <w:gridSpan w:val="2"/>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b/>
                <w:bCs/>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1</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土地损毁监测</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5180.00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30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180.00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259.00</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163.17</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504.20</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6106.37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89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lang w:eastAsia="zh-CN"/>
              </w:rPr>
            </w:pPr>
            <w:r>
              <w:rPr>
                <w:rFonts w:hint="eastAsia" w:ascii="宋体" w:hAnsi="宋体" w:cs="宋体"/>
                <w:color w:val="auto"/>
                <w:sz w:val="18"/>
                <w:szCs w:val="18"/>
                <w:lang w:val="en-US" w:eastAsia="zh-CN"/>
              </w:rPr>
              <w:t>2</w:t>
            </w:r>
          </w:p>
        </w:tc>
        <w:tc>
          <w:tcPr>
            <w:tcW w:w="229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土壤质量监测</w:t>
            </w:r>
          </w:p>
        </w:tc>
        <w:tc>
          <w:tcPr>
            <w:tcW w:w="95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52.50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w:t>
            </w:r>
          </w:p>
        </w:tc>
        <w:tc>
          <w:tcPr>
            <w:tcW w:w="95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50.00</w:t>
            </w:r>
          </w:p>
        </w:tc>
        <w:tc>
          <w:tcPr>
            <w:tcW w:w="92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207"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01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0.00</w:t>
            </w:r>
          </w:p>
        </w:tc>
        <w:tc>
          <w:tcPr>
            <w:tcW w:w="148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2.50</w:t>
            </w:r>
          </w:p>
        </w:tc>
        <w:tc>
          <w:tcPr>
            <w:tcW w:w="89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2.63</w:t>
            </w:r>
          </w:p>
        </w:tc>
        <w:tc>
          <w:tcPr>
            <w:tcW w:w="902"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1.65</w:t>
            </w:r>
          </w:p>
        </w:tc>
        <w:tc>
          <w:tcPr>
            <w:tcW w:w="105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5.11</w:t>
            </w:r>
          </w:p>
        </w:tc>
        <w:tc>
          <w:tcPr>
            <w:tcW w:w="100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18"/>
                <w:szCs w:val="18"/>
              </w:rPr>
            </w:pPr>
            <w:r>
              <w:rPr>
                <w:rFonts w:hint="eastAsia" w:ascii="宋体" w:hAnsi="宋体" w:eastAsia="宋体" w:cs="宋体"/>
                <w:color w:val="auto"/>
                <w:sz w:val="18"/>
                <w:szCs w:val="18"/>
              </w:rPr>
              <w:t>61.89</w:t>
            </w:r>
          </w:p>
        </w:tc>
      </w:tr>
    </w:tbl>
    <w:p>
      <w:pPr>
        <w:pStyle w:val="34"/>
        <w:rPr>
          <w:rFonts w:hint="eastAsia" w:ascii="宋体" w:hAnsi="宋体" w:eastAsia="宋体" w:cs="宋体"/>
          <w:color w:val="auto"/>
          <w:highlight w:val="yellow"/>
        </w:rPr>
        <w:sectPr>
          <w:pgSz w:w="16840" w:h="11910" w:orient="landscape"/>
          <w:pgMar w:top="1559" w:right="1440" w:bottom="1400" w:left="1440" w:header="851" w:footer="992" w:gutter="0"/>
          <w:pgBorders>
            <w:top w:val="none" w:sz="0" w:space="0"/>
            <w:left w:val="none" w:sz="0" w:space="0"/>
            <w:bottom w:val="none" w:sz="0" w:space="0"/>
            <w:right w:val="none" w:sz="0" w:space="0"/>
          </w:pgBorders>
          <w:cols w:space="425" w:num="1"/>
          <w:docGrid w:linePitch="312" w:charSpace="0"/>
        </w:sectPr>
      </w:pPr>
    </w:p>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eastAsia="宋体" w:cs="宋体"/>
          <w:b/>
          <w:bCs/>
          <w:color w:val="auto"/>
          <w:sz w:val="21"/>
          <w:szCs w:val="21"/>
          <w:lang w:val="en-US" w:eastAsia="zh-CN"/>
        </w:rPr>
        <w:t>2-2</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工程综合单价计算表</w:t>
      </w:r>
    </w:p>
    <w:tbl>
      <w:tblPr>
        <w:tblStyle w:val="53"/>
        <w:tblW w:w="9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4"/>
        <w:gridCol w:w="2382"/>
        <w:gridCol w:w="1066"/>
        <w:gridCol w:w="1065"/>
        <w:gridCol w:w="1279"/>
        <w:gridCol w:w="1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901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定额编号：[20285]1m</w:t>
            </w:r>
            <w:r>
              <w:rPr>
                <w:rFonts w:hint="eastAsia" w:ascii="宋体" w:hAnsi="宋体" w:eastAsia="宋体" w:cs="宋体"/>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 xml:space="preserve"> 挖掘机自卸汽车运（1.5-2km） 单位:100m</w:t>
            </w:r>
            <w:r>
              <w:rPr>
                <w:rFonts w:hint="eastAsia" w:ascii="宋体" w:hAnsi="宋体" w:eastAsia="宋体" w:cs="宋体"/>
                <w:i w:val="0"/>
                <w:iCs w:val="0"/>
                <w:color w:val="auto"/>
                <w:kern w:val="0"/>
                <w:sz w:val="21"/>
                <w:szCs w:val="21"/>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39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工作内容:挖装、运输、卸载、空回</w:t>
            </w:r>
          </w:p>
        </w:tc>
        <w:tc>
          <w:tcPr>
            <w:tcW w:w="362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项目名称</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单价</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2101.96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直接工程费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2001.86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127.56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甲类工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0.1</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61.84</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乙类工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48.55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121.38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机械费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1829.30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挖掘机1立方米</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0.6</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783.65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470.19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推土机59千瓦</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0.3</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396.7</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119.01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自卸汽车10吨</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2.08</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596.2</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1240.10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其他费用</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2.3</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1956.86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45.01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2001.86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100.09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间接费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2101.96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105.10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利润</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2207.05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材料价差</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税金</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2273.27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225.05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432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2498.32 </w:t>
            </w:r>
          </w:p>
        </w:tc>
      </w:tr>
    </w:tbl>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p>
    <w:tbl>
      <w:tblPr>
        <w:tblStyle w:val="53"/>
        <w:tblW w:w="9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4"/>
        <w:gridCol w:w="2382"/>
        <w:gridCol w:w="1066"/>
        <w:gridCol w:w="1065"/>
        <w:gridCol w:w="1279"/>
        <w:gridCol w:w="1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01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定额编号：[20345]2m</w:t>
            </w:r>
            <w:r>
              <w:rPr>
                <w:rFonts w:hint="eastAsia" w:ascii="宋体" w:hAnsi="宋体" w:eastAsia="宋体" w:cs="宋体"/>
                <w:i w:val="0"/>
                <w:iCs w:val="0"/>
                <w:color w:val="auto"/>
                <w:kern w:val="0"/>
                <w:sz w:val="21"/>
                <w:szCs w:val="21"/>
                <w:u w:val="none"/>
                <w:vertAlign w:val="superscript"/>
                <w:lang w:val="en-US" w:eastAsia="zh-CN" w:bidi="ar"/>
              </w:rPr>
              <w:t>3</w:t>
            </w:r>
            <w:r>
              <w:rPr>
                <w:rFonts w:hint="eastAsia" w:ascii="宋体" w:hAnsi="宋体" w:eastAsia="宋体" w:cs="宋体"/>
                <w:i w:val="0"/>
                <w:iCs w:val="0"/>
                <w:color w:val="auto"/>
                <w:kern w:val="0"/>
                <w:sz w:val="21"/>
                <w:szCs w:val="21"/>
                <w:u w:val="none"/>
                <w:lang w:val="en-US" w:eastAsia="zh-CN" w:bidi="ar"/>
              </w:rPr>
              <w:t>装载机装石渣自卸汽车运输（1.5-2km） 单位:100m</w:t>
            </w:r>
            <w:r>
              <w:rPr>
                <w:rFonts w:hint="eastAsia" w:ascii="宋体" w:hAnsi="宋体" w:eastAsia="宋体" w:cs="宋体"/>
                <w:i w:val="0"/>
                <w:iCs w:val="0"/>
                <w:color w:val="auto"/>
                <w:kern w:val="0"/>
                <w:sz w:val="21"/>
                <w:szCs w:val="21"/>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392"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工作内容:挖装、运输、卸载、空回</w:t>
            </w:r>
          </w:p>
        </w:tc>
        <w:tc>
          <w:tcPr>
            <w:tcW w:w="3623"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项目名称</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单价</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1875.58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直接工程费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1786.27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甲类工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0.1</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61.84</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6.18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乙类工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48.55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53.41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机械费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1691.66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装载机2m</w:t>
            </w:r>
            <w:r>
              <w:rPr>
                <w:rFonts w:hint="eastAsia" w:ascii="宋体" w:hAnsi="宋体" w:eastAsia="宋体" w:cs="宋体"/>
                <w:i w:val="0"/>
                <w:iCs w:val="0"/>
                <w:color w:val="auto"/>
                <w:kern w:val="0"/>
                <w:sz w:val="21"/>
                <w:szCs w:val="21"/>
                <w:u w:val="none"/>
                <w:vertAlign w:val="superscript"/>
                <w:lang w:val="en-US" w:eastAsia="zh-CN" w:bidi="ar"/>
              </w:rPr>
              <w:t>3</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0.48</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849.62</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407.82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推土机74KW</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0.22</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578.23</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127.21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自卸汽车10t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1.94</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596.2</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1156.63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其他费用</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1751.25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35.02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1786.27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89.31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间接费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1875.58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93.78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利润</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1969.36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59.08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材料价差</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税金</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2028.44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200.82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432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2229.26 </w:t>
            </w:r>
          </w:p>
        </w:tc>
      </w:tr>
    </w:tbl>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p>
    <w:tbl>
      <w:tblPr>
        <w:tblStyle w:val="53"/>
        <w:tblW w:w="9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4"/>
        <w:gridCol w:w="2381"/>
        <w:gridCol w:w="1066"/>
        <w:gridCol w:w="1066"/>
        <w:gridCol w:w="1279"/>
        <w:gridCol w:w="12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901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定额编号：XB100010（铁丝围栏）                   单位:100m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5391"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工作内容:挖装、运输、卸载、空回</w:t>
            </w:r>
          </w:p>
        </w:tc>
        <w:tc>
          <w:tcPr>
            <w:tcW w:w="362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项目名称</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单价</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2124.09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直接工程费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2022.94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605.28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甲类工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3.46</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61.84</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213.97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乙类工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8.06</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48.55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391.31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1240.58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铁丝（5道）</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kg</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78.75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2.83</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222.86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混凝土柱</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36</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28.27</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1017.72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机械费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139.82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载重汽车5t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台班</w:t>
            </w:r>
          </w:p>
        </w:tc>
        <w:tc>
          <w:tcPr>
            <w:tcW w:w="106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0.49</w:t>
            </w:r>
          </w:p>
        </w:tc>
        <w:tc>
          <w:tcPr>
            <w:tcW w:w="12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285.35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139.82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其他费用</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745.10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37.26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2022.94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101.15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间接费</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2124.09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106.20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利润</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2230.29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66.91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材料价差</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w:t>
            </w:r>
          </w:p>
        </w:tc>
        <w:tc>
          <w:tcPr>
            <w:tcW w:w="23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税金</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2297.20 </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227.42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70" w:hRule="atLeast"/>
        </w:trPr>
        <w:tc>
          <w:tcPr>
            <w:tcW w:w="4325"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2524.62 </w:t>
            </w:r>
          </w:p>
        </w:tc>
      </w:tr>
    </w:tbl>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p>
    <w:tbl>
      <w:tblPr>
        <w:tblStyle w:val="53"/>
        <w:tblW w:w="901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44"/>
        <w:gridCol w:w="2382"/>
        <w:gridCol w:w="1065"/>
        <w:gridCol w:w="1065"/>
        <w:gridCol w:w="1279"/>
        <w:gridCol w:w="12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015"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定额编号：补充定额                   单位:个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5391" w:type="dxa"/>
            <w:gridSpan w:val="3"/>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工作内容:警示牌安装</w:t>
            </w:r>
          </w:p>
        </w:tc>
        <w:tc>
          <w:tcPr>
            <w:tcW w:w="3624"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金额单位：（元）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序号</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项目名称</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单位</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数量</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单价</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小计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115.59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(一)</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直接工程费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人工费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甲类工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61.84</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乙类工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工日</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48.55</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警示牌</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个</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110.09</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110.09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机械费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其他费用</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0.00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措施费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110.09 </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5.50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二</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间接费</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115.59 </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6.94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三</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利润</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122.53 </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3.68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四</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材料价差</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194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五</w:t>
            </w:r>
          </w:p>
        </w:tc>
        <w:tc>
          <w:tcPr>
            <w:tcW w:w="238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税金</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9.9</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126.21 </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12.49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432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合计</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0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79"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p>
        </w:tc>
        <w:tc>
          <w:tcPr>
            <w:tcW w:w="12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138.70 </w:t>
            </w:r>
          </w:p>
        </w:tc>
      </w:tr>
    </w:tbl>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eastAsia="宋体" w:cs="宋体"/>
          <w:b/>
          <w:bCs/>
          <w:color w:val="auto"/>
          <w:sz w:val="21"/>
          <w:szCs w:val="21"/>
          <w:lang w:val="en-US" w:eastAsia="zh-CN"/>
        </w:rPr>
        <w:t>2-2</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机械台班单价计算表</w:t>
      </w:r>
    </w:p>
    <w:tbl>
      <w:tblPr>
        <w:tblStyle w:val="53"/>
        <w:tblW w:w="883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720"/>
        <w:gridCol w:w="1410"/>
        <w:gridCol w:w="959"/>
        <w:gridCol w:w="727"/>
        <w:gridCol w:w="786"/>
        <w:gridCol w:w="810"/>
        <w:gridCol w:w="733"/>
        <w:gridCol w:w="870"/>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45" w:type="dxa"/>
            <w:vMerge w:val="restart"/>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720" w:type="dxa"/>
            <w:vMerge w:val="restart"/>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定额编号</w:t>
            </w:r>
          </w:p>
        </w:tc>
        <w:tc>
          <w:tcPr>
            <w:tcW w:w="1410" w:type="dxa"/>
            <w:vMerge w:val="restart"/>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机械名称</w:t>
            </w:r>
          </w:p>
        </w:tc>
        <w:tc>
          <w:tcPr>
            <w:tcW w:w="959" w:type="dxa"/>
            <w:vMerge w:val="restart"/>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一类费用</w:t>
            </w:r>
          </w:p>
        </w:tc>
        <w:tc>
          <w:tcPr>
            <w:tcW w:w="1513" w:type="dxa"/>
            <w:gridSpan w:val="2"/>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人工</w:t>
            </w:r>
          </w:p>
        </w:tc>
        <w:tc>
          <w:tcPr>
            <w:tcW w:w="1543" w:type="dxa"/>
            <w:gridSpan w:val="2"/>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柴油、汽油、电</w:t>
            </w:r>
          </w:p>
        </w:tc>
        <w:tc>
          <w:tcPr>
            <w:tcW w:w="870" w:type="dxa"/>
            <w:vMerge w:val="restart"/>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二类</w:t>
            </w:r>
          </w:p>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费用</w:t>
            </w:r>
          </w:p>
        </w:tc>
        <w:tc>
          <w:tcPr>
            <w:tcW w:w="1176" w:type="dxa"/>
            <w:vMerge w:val="restart"/>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45"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720"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10"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959"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727"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786"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单价</w:t>
            </w:r>
          </w:p>
        </w:tc>
        <w:tc>
          <w:tcPr>
            <w:tcW w:w="8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数量</w:t>
            </w:r>
          </w:p>
        </w:tc>
        <w:tc>
          <w:tcPr>
            <w:tcW w:w="733"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限价</w:t>
            </w:r>
          </w:p>
        </w:tc>
        <w:tc>
          <w:tcPr>
            <w:tcW w:w="870"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176"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645"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720"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1410"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c>
          <w:tcPr>
            <w:tcW w:w="959"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元</w:t>
            </w:r>
          </w:p>
        </w:tc>
        <w:tc>
          <w:tcPr>
            <w:tcW w:w="727"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工日</w:t>
            </w:r>
          </w:p>
        </w:tc>
        <w:tc>
          <w:tcPr>
            <w:tcW w:w="786"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元</w:t>
            </w:r>
          </w:p>
        </w:tc>
        <w:tc>
          <w:tcPr>
            <w:tcW w:w="8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千克</w:t>
            </w:r>
          </w:p>
        </w:tc>
        <w:tc>
          <w:tcPr>
            <w:tcW w:w="733"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元</w:t>
            </w:r>
          </w:p>
        </w:tc>
        <w:tc>
          <w:tcPr>
            <w:tcW w:w="87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元</w:t>
            </w:r>
          </w:p>
        </w:tc>
        <w:tc>
          <w:tcPr>
            <w:tcW w:w="1176" w:type="dxa"/>
            <w:vMerge w:val="continue"/>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1004</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挖掘机油动1m</w:t>
            </w:r>
            <w:r>
              <w:rPr>
                <w:rFonts w:hint="eastAsia" w:ascii="宋体" w:hAnsi="宋体" w:eastAsia="宋体" w:cs="宋体"/>
                <w:color w:val="auto"/>
                <w:sz w:val="21"/>
                <w:szCs w:val="21"/>
                <w:highlight w:val="none"/>
                <w:vertAlign w:val="superscript"/>
                <w:lang w:val="en-US" w:eastAsia="zh-CN"/>
              </w:rPr>
              <w:t>3</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336.41</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72</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447.24</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783.65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1003</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挖掘机油动0.5m³</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187.7</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48</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339.24</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526.94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1008</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装载机1m³</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98.21</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48</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339.24</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437.45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1010</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装载机2m³</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267.38</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102</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582.24</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849.62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1013</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推土机59kw</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75.46</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44</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321.24</w:t>
            </w:r>
          </w:p>
        </w:tc>
        <w:tc>
          <w:tcPr>
            <w:tcW w:w="1176"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396.7</w:t>
            </w:r>
            <w:r>
              <w:rPr>
                <w:rFonts w:hint="eastAsia" w:ascii="宋体" w:hAnsi="宋体" w:cs="宋体"/>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1014</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推土机74kw</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207.49</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55</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370.74</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578.23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4013</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自卸汽车10t</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234.46</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53</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361.74</w:t>
            </w:r>
          </w:p>
        </w:tc>
        <w:tc>
          <w:tcPr>
            <w:tcW w:w="1176"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596.2</w:t>
            </w:r>
            <w:r>
              <w:rPr>
                <w:rFonts w:hint="eastAsia" w:ascii="宋体" w:hAnsi="宋体" w:cs="宋体"/>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4004</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载重汽车5t</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88.73</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30</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196.62</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285.35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4039</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机动翻斗车1t</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11.21</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7</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93.12</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72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1045</w:t>
            </w:r>
          </w:p>
        </w:tc>
        <w:tc>
          <w:tcPr>
            <w:tcW w:w="1410" w:type="dxa"/>
            <w:shd w:val="clear" w:color="auto" w:fill="auto"/>
            <w:vAlign w:val="center"/>
          </w:tcPr>
          <w:p>
            <w:pPr>
              <w:pStyle w:val="315"/>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电钻1.5kw</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6.3</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0.55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3.3</w:t>
            </w:r>
          </w:p>
        </w:tc>
        <w:tc>
          <w:tcPr>
            <w:tcW w:w="1176" w:type="dxa"/>
            <w:shd w:val="clear" w:color="auto" w:fill="auto"/>
            <w:vAlign w:val="center"/>
          </w:tcPr>
          <w:p>
            <w:pPr>
              <w:keepNext w:val="0"/>
              <w:keepLines w:val="0"/>
              <w:widowControl/>
              <w:suppressLineNumbers w:val="0"/>
              <w:jc w:val="center"/>
              <w:textAlignment w:val="center"/>
              <w:rPr>
                <w:rFonts w:hint="default" w:ascii="宋体" w:hAnsi="宋体" w:eastAsia="宋体" w:cs="宋体"/>
                <w:color w:val="auto"/>
                <w:sz w:val="21"/>
                <w:szCs w:val="21"/>
                <w:lang w:val="en-US"/>
              </w:rPr>
            </w:pPr>
            <w:r>
              <w:rPr>
                <w:rFonts w:hint="eastAsia" w:ascii="宋体" w:hAnsi="宋体" w:eastAsia="宋体" w:cs="宋体"/>
                <w:i w:val="0"/>
                <w:iCs w:val="0"/>
                <w:color w:val="auto"/>
                <w:kern w:val="0"/>
                <w:sz w:val="21"/>
                <w:szCs w:val="21"/>
                <w:u w:val="none"/>
                <w:lang w:val="en-US" w:eastAsia="zh-CN" w:bidi="ar"/>
              </w:rPr>
              <w:t>9.6</w:t>
            </w:r>
            <w:r>
              <w:rPr>
                <w:rFonts w:hint="eastAsia" w:ascii="宋体" w:hAnsi="宋体" w:cs="宋体"/>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11</w:t>
            </w:r>
          </w:p>
        </w:tc>
        <w:tc>
          <w:tcPr>
            <w:tcW w:w="72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1039</w:t>
            </w:r>
          </w:p>
        </w:tc>
        <w:tc>
          <w:tcPr>
            <w:tcW w:w="14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蛙式打夯机</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6.89</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2</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18</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0.55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133.14</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140.03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45"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12</w:t>
            </w:r>
          </w:p>
        </w:tc>
        <w:tc>
          <w:tcPr>
            <w:tcW w:w="72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4040</w:t>
            </w:r>
          </w:p>
        </w:tc>
        <w:tc>
          <w:tcPr>
            <w:tcW w:w="14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双胶轮车</w:t>
            </w:r>
          </w:p>
        </w:tc>
        <w:tc>
          <w:tcPr>
            <w:tcW w:w="959"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3.22</w:t>
            </w:r>
          </w:p>
        </w:tc>
        <w:tc>
          <w:tcPr>
            <w:tcW w:w="727"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w:t>
            </w:r>
          </w:p>
        </w:tc>
        <w:tc>
          <w:tcPr>
            <w:tcW w:w="78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61.62</w:t>
            </w:r>
          </w:p>
        </w:tc>
        <w:tc>
          <w:tcPr>
            <w:tcW w:w="81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w:t>
            </w:r>
          </w:p>
        </w:tc>
        <w:tc>
          <w:tcPr>
            <w:tcW w:w="733"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0.55</w:t>
            </w:r>
          </w:p>
        </w:tc>
        <w:tc>
          <w:tcPr>
            <w:tcW w:w="870"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0</w:t>
            </w:r>
          </w:p>
        </w:tc>
        <w:tc>
          <w:tcPr>
            <w:tcW w:w="1176" w:type="dxa"/>
            <w:shd w:val="clear" w:color="auto" w:fill="auto"/>
            <w:vAlign w:val="center"/>
          </w:tcPr>
          <w:p>
            <w:pPr>
              <w:keepNext w:val="0"/>
              <w:keepLines w:val="0"/>
              <w:widowControl/>
              <w:suppressLineNumbers w:val="0"/>
              <w:jc w:val="center"/>
              <w:textAlignment w:val="center"/>
              <w:rPr>
                <w:rFonts w:hint="eastAsia" w:ascii="宋体" w:hAnsi="宋体" w:eastAsia="宋体" w:cs="宋体"/>
                <w:color w:val="auto"/>
                <w:sz w:val="21"/>
                <w:szCs w:val="21"/>
              </w:rPr>
            </w:pPr>
            <w:r>
              <w:rPr>
                <w:rFonts w:hint="eastAsia" w:ascii="宋体" w:hAnsi="宋体" w:eastAsia="宋体" w:cs="宋体"/>
                <w:i w:val="0"/>
                <w:iCs w:val="0"/>
                <w:color w:val="auto"/>
                <w:kern w:val="0"/>
                <w:sz w:val="21"/>
                <w:szCs w:val="21"/>
                <w:u w:val="none"/>
                <w:lang w:val="en-US" w:eastAsia="zh-CN" w:bidi="ar"/>
              </w:rPr>
              <w:t>3.22</w:t>
            </w:r>
          </w:p>
        </w:tc>
      </w:tr>
    </w:tbl>
    <w:p>
      <w:pPr>
        <w:pageBreakBefore w:val="0"/>
        <w:tabs>
          <w:tab w:val="left" w:pos="4320"/>
        </w:tabs>
        <w:kinsoku/>
        <w:overflowPunct/>
        <w:bidi w:val="0"/>
        <w:adjustRightInd/>
        <w:snapToGrid/>
        <w:spacing w:line="240" w:lineRule="auto"/>
        <w:ind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表6-</w:t>
      </w:r>
      <w:r>
        <w:rPr>
          <w:rFonts w:hint="eastAsia" w:ascii="宋体" w:hAnsi="宋体" w:eastAsia="宋体" w:cs="宋体"/>
          <w:b/>
          <w:bCs/>
          <w:color w:val="auto"/>
          <w:sz w:val="21"/>
          <w:szCs w:val="21"/>
          <w:lang w:val="en-US" w:eastAsia="zh-CN"/>
        </w:rPr>
        <w:t>2-2</w:t>
      </w:r>
      <w:r>
        <w:rPr>
          <w:rFonts w:hint="eastAsia" w:ascii="宋体" w:hAnsi="宋体" w:cs="宋体"/>
          <w:b/>
          <w:bCs/>
          <w:color w:val="auto"/>
          <w:sz w:val="21"/>
          <w:szCs w:val="21"/>
          <w:lang w:val="en-US" w:eastAsia="zh-CN"/>
        </w:rPr>
        <w:t>5</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rPr>
        <w:t>主要材料预算价格计算表</w:t>
      </w:r>
    </w:p>
    <w:tbl>
      <w:tblPr>
        <w:tblStyle w:val="53"/>
        <w:tblW w:w="950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270"/>
        <w:gridCol w:w="963"/>
        <w:gridCol w:w="846"/>
        <w:gridCol w:w="865"/>
        <w:gridCol w:w="963"/>
        <w:gridCol w:w="866"/>
        <w:gridCol w:w="1013"/>
        <w:gridCol w:w="939"/>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名称</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单位</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原价（元）</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运杂费（元）</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采购保管费（元）</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预算价格（元）</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扣除增值税（元）</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定额限价（元）</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材差（元）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0#柴油</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千克</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5.71</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5.71</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5.24</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4.50</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92#汽油</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千克</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6.83</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6.83</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6.27</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5.00</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水泥柱</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30.82</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30.82</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28.27</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28.27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警示牌</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120</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120</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110.09</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铁丝</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rPr>
              <w:t>千克</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3.08</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3.08</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2.83</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cs="宋体"/>
                <w:color w:val="auto"/>
                <w:sz w:val="21"/>
                <w:szCs w:val="21"/>
                <w:lang w:val="en-US" w:eastAsia="zh-CN"/>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千瓦时</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0.44</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0.55</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0.50</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7</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电钻钻头</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91.74</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8</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电钻钻杆</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kg</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50</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100</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91.74</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9</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炸药</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kg</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62</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56.88</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10</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电雷管</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个</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20</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30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52</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47.71</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47.71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11</w:t>
            </w:r>
          </w:p>
        </w:tc>
        <w:tc>
          <w:tcPr>
            <w:tcW w:w="1270"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导线</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m</w:t>
            </w:r>
          </w:p>
        </w:tc>
        <w:tc>
          <w:tcPr>
            <w:tcW w:w="84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w:t>
            </w:r>
          </w:p>
        </w:tc>
        <w:tc>
          <w:tcPr>
            <w:tcW w:w="865"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0</w:t>
            </w:r>
          </w:p>
        </w:tc>
        <w:tc>
          <w:tcPr>
            <w:tcW w:w="96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866"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17</w:t>
            </w:r>
          </w:p>
        </w:tc>
        <w:tc>
          <w:tcPr>
            <w:tcW w:w="1013"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15.60</w:t>
            </w:r>
          </w:p>
        </w:tc>
        <w:tc>
          <w:tcPr>
            <w:tcW w:w="939"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w:t>
            </w:r>
          </w:p>
        </w:tc>
        <w:tc>
          <w:tcPr>
            <w:tcW w:w="998" w:type="dxa"/>
            <w:shd w:val="clear" w:color="auto" w:fill="auto"/>
            <w:vAlign w:val="center"/>
          </w:tcPr>
          <w:p>
            <w:pPr>
              <w:pageBreakBefore w:val="0"/>
              <w:kinsoku/>
              <w:overflowPunct/>
              <w:bidi w:val="0"/>
              <w:adjustRightInd/>
              <w:snapToGrid/>
              <w:spacing w:line="240" w:lineRule="auto"/>
              <w:ind w:left="0" w:leftChars="0" w:right="0" w:rightChars="0" w:firstLine="0" w:firstLineChars="0"/>
              <w:jc w:val="center"/>
              <w:rPr>
                <w:rFonts w:hint="eastAsia" w:ascii="宋体" w:hAnsi="宋体" w:eastAsia="宋体" w:cs="宋体"/>
                <w:color w:val="auto"/>
                <w:sz w:val="21"/>
                <w:szCs w:val="21"/>
              </w:rPr>
            </w:pPr>
            <w:r>
              <w:rPr>
                <w:rFonts w:hint="eastAsia" w:ascii="宋体" w:hAnsi="宋体" w:eastAsia="宋体" w:cs="宋体"/>
                <w:color w:val="auto"/>
                <w:sz w:val="21"/>
                <w:szCs w:val="21"/>
              </w:rPr>
              <w:t>15.60</w:t>
            </w:r>
          </w:p>
        </w:tc>
      </w:tr>
    </w:tbl>
    <w:p>
      <w:pPr>
        <w:spacing w:line="360" w:lineRule="auto"/>
        <w:outlineLvl w:val="1"/>
        <w:rPr>
          <w:rFonts w:hint="eastAsia" w:ascii="宋体" w:hAnsi="宋体" w:eastAsia="宋体" w:cs="宋体"/>
          <w:b/>
          <w:color w:val="auto"/>
          <w:sz w:val="30"/>
          <w:szCs w:val="30"/>
        </w:rPr>
      </w:pPr>
      <w:bookmarkStart w:id="247" w:name="_Toc93920392"/>
      <w:bookmarkStart w:id="248" w:name="_Toc17794"/>
      <w:bookmarkStart w:id="249" w:name="_Toc27801"/>
      <w:r>
        <w:rPr>
          <w:rFonts w:hint="eastAsia" w:ascii="宋体" w:hAnsi="宋体" w:eastAsia="宋体" w:cs="宋体"/>
          <w:b/>
          <w:color w:val="auto"/>
          <w:sz w:val="30"/>
          <w:szCs w:val="30"/>
        </w:rPr>
        <w:t>三、保障措施</w:t>
      </w:r>
      <w:bookmarkEnd w:id="247"/>
      <w:bookmarkEnd w:id="248"/>
      <w:bookmarkEnd w:id="249"/>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eastAsia="zh-CN"/>
        </w:rPr>
      </w:pPr>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一</w:t>
      </w:r>
      <w:r>
        <w:rPr>
          <w:rFonts w:hint="eastAsia" w:ascii="Times New Roman" w:hAnsi="Times New Roman" w:eastAsia="宋体" w:cs="Times New Roman"/>
          <w:color w:val="auto"/>
          <w:sz w:val="28"/>
          <w:szCs w:val="28"/>
          <w:highlight w:val="none"/>
          <w:lang w:eastAsia="zh-CN"/>
        </w:rPr>
        <w:t>）组织保障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为确保矿山地质环境保护与土地复垦方案提出的各项措施的实施和落实，矿山企业成立环境保护与治理项目领导小组，负责解决矿山地质环境保护、土地复垦工作中的重大问题，齐抓共管，统一协调。选调责任心强、政策水平高、懂专业的技术人员，负责工程建设中的地质环境保护、土地复垦工程管理和实施工作，按照矿山地质环境保护、土地复垦实施方案的治理措施、进度安排、技术标准等，严格要求施工单位，保质保量地完成各项工作。为保障工作的顺利进行，制定出以下管理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1、贯彻执行国家和自治区有关矿山地质环境保护与土地复垦的方针政策，制定本单位矿山地质环境保护与土地复垦管理规章制度。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2、建立目标责任制，把矿山地质环境保护与土地复垦列为工程进度、质量考核的内容之一，制定阶段矿山地质环境保护与土地复垦计划与年度实施计划。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3、协调矿山地质环境保护与土地复垦工程与有关工程的关系，确保本项目工程正常施工，最大程度减少生产建设活动对土地的损毁，保证损毁土地及时复垦。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4、深入工程现场检查，掌握生产建设过程中土地损毁状况及矿山地质环境保护与土地复垦措施落实情况。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5、定期向主管领导汇报复垦进展情况。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6、定期培训矿山地质环境保护与土地复垦管理及技术人员，提高人员素质和管理水平。 </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eastAsia="zh-CN"/>
        </w:rPr>
      </w:pPr>
      <w:bookmarkStart w:id="250" w:name="_Toc118018484"/>
      <w:bookmarkStart w:id="251" w:name="_Toc119665072"/>
      <w:bookmarkStart w:id="252" w:name="_Toc119665224"/>
      <w:bookmarkStart w:id="253" w:name="_Toc118018350"/>
      <w:r>
        <w:rPr>
          <w:rFonts w:hint="eastAsia" w:ascii="Times New Roman" w:hAnsi="Times New Roman" w:eastAsia="宋体" w:cs="Times New Roman"/>
          <w:color w:val="auto"/>
          <w:sz w:val="28"/>
          <w:szCs w:val="28"/>
          <w:highlight w:val="none"/>
          <w:lang w:val="en-US" w:eastAsia="zh-CN"/>
        </w:rPr>
        <w:t>（二）</w:t>
      </w:r>
      <w:r>
        <w:rPr>
          <w:rFonts w:hint="eastAsia" w:ascii="Times New Roman" w:hAnsi="Times New Roman" w:eastAsia="宋体" w:cs="Times New Roman"/>
          <w:color w:val="auto"/>
          <w:sz w:val="28"/>
          <w:szCs w:val="28"/>
          <w:highlight w:val="none"/>
          <w:lang w:eastAsia="zh-CN"/>
        </w:rPr>
        <w:t>技术保障</w:t>
      </w:r>
      <w:bookmarkEnd w:id="250"/>
      <w:bookmarkEnd w:id="251"/>
      <w:bookmarkEnd w:id="252"/>
      <w:bookmarkEnd w:id="25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矿山环境保护与土地复垦工作定期培训技术人员、咨询相关专家、开展科学实验以及对土地损毁情况进行动态监测和评价。具体可采取以下技术保障措施：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1、加强与相关技术单位的合作，加强对国内外具有先进矿山地质环境治理与土地复垦单位的学习研究，及时吸取经验，完善复垦措施。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2、根据实际生产情况和土地损毁情况，进一步完善矿山地质环境保护与土地复垦方案，拓展复垦报告编制的深度和广度，做到所有复垦工程遵循复垦报告设计。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3、建设、施工等各项工作严格按照有关规定，按照年度有序进行。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4、选择有技术优势和社会责任感的监理单位，委派技术人员与监理单位密切合作，确保施工质量。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5、定期培训技术人员、咨询相关专家、开展科学实验以及对土地损毁情况进行动态监测和评价。 </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val="en-US" w:eastAsia="zh-CN"/>
        </w:rPr>
      </w:pPr>
      <w:bookmarkStart w:id="254" w:name="_Toc119665225"/>
      <w:bookmarkStart w:id="255" w:name="_Toc118018485"/>
      <w:bookmarkStart w:id="256" w:name="_Toc118018351"/>
      <w:bookmarkStart w:id="257" w:name="_Toc119665073"/>
      <w:r>
        <w:rPr>
          <w:rFonts w:hint="eastAsia" w:ascii="Times New Roman" w:hAnsi="Times New Roman" w:eastAsia="宋体" w:cs="Times New Roman"/>
          <w:color w:val="auto"/>
          <w:sz w:val="28"/>
          <w:szCs w:val="28"/>
          <w:highlight w:val="none"/>
          <w:lang w:val="en-US" w:eastAsia="zh-CN"/>
        </w:rPr>
        <w:t>（三）资金保障</w:t>
      </w:r>
      <w:bookmarkEnd w:id="254"/>
      <w:bookmarkEnd w:id="255"/>
      <w:bookmarkEnd w:id="256"/>
      <w:bookmarkEnd w:id="25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本次矿山地质环境保护与土地复垦费用静态总投资合计为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highlight w:val="none"/>
        </w:rPr>
        <w:t>万元，占矿山总利润的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highlight w:val="none"/>
        </w:rPr>
        <w:t>%（矿山开采</w:t>
      </w:r>
      <w:r>
        <w:rPr>
          <w:rFonts w:hint="eastAsia" w:ascii="宋体" w:hAnsi="宋体" w:eastAsia="宋体" w:cs="宋体"/>
          <w:bCs/>
          <w:color w:val="auto"/>
          <w:sz w:val="24"/>
          <w:szCs w:val="24"/>
          <w:highlight w:val="none"/>
          <w:lang w:val="en-US" w:eastAsia="zh-CN"/>
        </w:rPr>
        <w:t>27.2</w:t>
      </w:r>
      <w:r>
        <w:rPr>
          <w:rFonts w:hint="eastAsia" w:ascii="宋体" w:hAnsi="宋体" w:eastAsia="宋体" w:cs="宋体"/>
          <w:bCs/>
          <w:color w:val="auto"/>
          <w:sz w:val="24"/>
          <w:szCs w:val="24"/>
          <w:highlight w:val="none"/>
        </w:rPr>
        <w:t>年总利润为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highlight w:val="none"/>
        </w:rPr>
        <w:t>万元）。</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bookmarkStart w:id="258" w:name="_Toc119665074"/>
      <w:r>
        <w:rPr>
          <w:rFonts w:hint="eastAsia" w:ascii="宋体" w:hAnsi="宋体" w:eastAsia="宋体" w:cs="宋体"/>
          <w:b/>
          <w:bCs w:val="0"/>
          <w:color w:val="auto"/>
          <w:sz w:val="24"/>
          <w:szCs w:val="24"/>
          <w:lang w:val="en-US" w:eastAsia="zh-CN"/>
        </w:rPr>
        <w:t>1、</w:t>
      </w:r>
      <w:r>
        <w:rPr>
          <w:rFonts w:hint="eastAsia" w:ascii="宋体" w:hAnsi="宋体" w:eastAsia="宋体" w:cs="宋体"/>
          <w:b/>
          <w:bCs w:val="0"/>
          <w:color w:val="auto"/>
          <w:sz w:val="24"/>
          <w:szCs w:val="24"/>
        </w:rPr>
        <w:t>矿山地质环境治理恢复资金保障</w:t>
      </w:r>
      <w:bookmarkEnd w:id="25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根据《财政部、国土资源部、环境保护部关于取消矿山地质环境治理恢复保证金建立矿山地质环境治理恢复基金的指导意见》（财建〔2017〕638号），</w:t>
      </w:r>
      <w:r>
        <w:rPr>
          <w:rFonts w:hint="eastAsia" w:ascii="宋体" w:hAnsi="宋体" w:eastAsia="宋体" w:cs="宋体"/>
          <w:bCs/>
          <w:color w:val="auto"/>
          <w:sz w:val="24"/>
          <w:szCs w:val="24"/>
          <w:lang w:eastAsia="zh-CN"/>
        </w:rPr>
        <w:t>新疆伽师县西克尔镇4号砖瓦用页岩矿</w:t>
      </w:r>
      <w:r>
        <w:rPr>
          <w:rFonts w:hint="eastAsia" w:ascii="宋体" w:hAnsi="宋体" w:eastAsia="宋体" w:cs="宋体"/>
          <w:bCs/>
          <w:color w:val="auto"/>
          <w:sz w:val="24"/>
          <w:szCs w:val="24"/>
        </w:rPr>
        <w:t>矿业权人为本方案矿山地质环境治理恢复责任人。依据矿山地质环境保护与土地复垦方案和动态监测情况，边生产、边治理，对该矿在矿产资源勘查、开采活动中造成的矿山地质环境问题进行治理修复。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应按照满足实际需求的原则，根据本方案将矿山地质环境恢复治理费用按照企业会计准则相关规定预计弃置费用，计入相关资产的入账资本，在预计开采年限内按照产量比例等方法摊销，并计入生产成本。同时，</w:t>
      </w:r>
      <w:r>
        <w:rPr>
          <w:rFonts w:hint="eastAsia" w:ascii="宋体" w:hAnsi="宋体" w:eastAsia="宋体" w:cs="宋体"/>
          <w:bCs/>
          <w:color w:val="auto"/>
          <w:sz w:val="24"/>
          <w:szCs w:val="24"/>
          <w:lang w:eastAsia="zh-CN"/>
        </w:rPr>
        <w:t>新疆伽师县西克尔镇4号砖瓦用页岩矿</w:t>
      </w:r>
      <w:r>
        <w:rPr>
          <w:rFonts w:hint="eastAsia" w:ascii="宋体" w:hAnsi="宋体" w:eastAsia="宋体" w:cs="宋体"/>
          <w:bCs/>
          <w:color w:val="auto"/>
          <w:sz w:val="24"/>
          <w:szCs w:val="24"/>
        </w:rPr>
        <w:t>在本矿银行账户中设立矿山地质环境治理恢复基金账户，单独反映基金的提取情况。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基金由矿山自主使用，根据本方案确定的经费预算、工程实施计划、进度安排等专项用该矿在开采活动中造成的矿山地质环境问题。矿山应建立和完善矿山地质环境恢复治理基金的动态监督管理制度，定期或不定期地接收地方相关部门的监督和检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lang w:val="en-US" w:eastAsia="zh-CN"/>
        </w:rPr>
      </w:pPr>
      <w:bookmarkStart w:id="259" w:name="_Toc119665075"/>
      <w:r>
        <w:rPr>
          <w:rFonts w:hint="eastAsia" w:ascii="宋体" w:hAnsi="宋体" w:eastAsia="宋体" w:cs="宋体"/>
          <w:b/>
          <w:bCs w:val="0"/>
          <w:color w:val="auto"/>
          <w:sz w:val="24"/>
          <w:szCs w:val="24"/>
          <w:lang w:val="en-US" w:eastAsia="zh-CN"/>
        </w:rPr>
        <w:t>2、土地复垦资金保障</w:t>
      </w:r>
      <w:bookmarkEnd w:id="25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明确落实矿山地质环境保护与土地复垦费用来源、预存、管理、使用和审计等制度的措施。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根据《中华人民共和国土地管理法》、《中华人民共和国合同法》、《土地复垦条例》和其它有关法律法规的规定，为落实矿山地质环境保护与土地复垦费用，保障矿山地质环境保护与土地复垦的顺利开展，防止和避免费用被截留、挤占、挪用，</w:t>
      </w:r>
      <w:r>
        <w:rPr>
          <w:rFonts w:hint="eastAsia" w:ascii="宋体" w:hAnsi="宋体" w:eastAsia="宋体" w:cs="宋体"/>
          <w:bCs/>
          <w:color w:val="auto"/>
          <w:sz w:val="24"/>
          <w:szCs w:val="24"/>
          <w:lang w:eastAsia="zh-CN"/>
        </w:rPr>
        <w:t>新疆伽师县西克尔镇4号砖瓦用页岩矿</w:t>
      </w:r>
      <w:r>
        <w:rPr>
          <w:rFonts w:hint="eastAsia" w:ascii="宋体" w:hAnsi="宋体" w:eastAsia="宋体" w:cs="宋体"/>
          <w:bCs/>
          <w:color w:val="auto"/>
          <w:sz w:val="24"/>
          <w:szCs w:val="24"/>
        </w:rPr>
        <w:t>（义务人）应与和</w:t>
      </w:r>
      <w:r>
        <w:rPr>
          <w:rFonts w:hint="eastAsia" w:ascii="宋体" w:hAnsi="宋体" w:eastAsia="宋体" w:cs="宋体"/>
          <w:bCs/>
          <w:color w:val="auto"/>
          <w:sz w:val="24"/>
          <w:szCs w:val="24"/>
          <w:lang w:val="en-US" w:eastAsia="zh-CN"/>
        </w:rPr>
        <w:t>伽师县</w:t>
      </w:r>
      <w:r>
        <w:rPr>
          <w:rFonts w:hint="eastAsia" w:ascii="宋体" w:hAnsi="宋体" w:eastAsia="宋体" w:cs="宋体"/>
          <w:bCs/>
          <w:color w:val="auto"/>
          <w:sz w:val="24"/>
          <w:szCs w:val="24"/>
        </w:rPr>
        <w:t>自然资源局（生态修复科）以及约定银行应本着平等、自愿、诚实信用的原则，签订《土地复垦费用使用监管协议》。保证矿山地质环境治理和土地复垦所需费用，应尽快落实，费用不足时应及时追加，确定所需费用及时足额到位，保证方案按时保质保量完成，做好矿山地质环境保护与土地复垦费用的使用管理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资金渠道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（1）土地复垦费用纳入生产成本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我国《土地复垦条例》第十五条指出：土地复垦义务人应当将土地复垦费用列入生产成本或者建设项目总投资。按照国土资发[2006]225号规定：“土地复垦费要列入生产成本或建设项目总投资并足额预算”，矿山地质环境治理和土地复垦费用纳入生产成本。</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（2）复垦资金企业自筹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为了在最大程度上减少煤炭开采对土地造成的损毁，高度重视资源的开采，生产过程严格按照矿产资源开发规范进行，及时对生产过程中造成损毁的土地进行复垦，以改善项目区的生态环境。矿山地质环境治理和土地复垦项目土地复垦费用全部由矿山企业承担。确保矿山地质环境治理和土地复垦所需费用及时足额到位，费用不足时及时追加，保证方案按时保质保量完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预存方式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矿山地质环境治理和土地复垦费用遵行提前预存、分阶段足额预存的原则，依据矿山地质环境治理和土地复垦工作计划安排，对复垦专项资金进行提取与预存。具体如下：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rPr>
        <w:t>根据地质环境治理和土地复垦费用工作计划，按年度进行复垦资金提取，并分摊到生产成本预算，并将治理和复垦费用存入专用账户中；其次，为保证能够足额、提前计提复垦资金，并考虑存款利息、物价上涨、通货膨胀、国家宏观调控以及地方经济发展等因素，企业应将治理和复垦资金在本方案设计服务生产年限结束前1年预存完毕地质环境治理和土地复垦费用</w:t>
      </w:r>
      <w:r>
        <w:rPr>
          <w:rFonts w:hint="eastAsia" w:ascii="宋体" w:hAnsi="宋体" w:eastAsia="宋体" w:cs="宋体"/>
          <w:bCs/>
          <w:color w:val="auto"/>
          <w:sz w:val="24"/>
          <w:szCs w:val="24"/>
          <w:highlight w:val="none"/>
        </w:rPr>
        <w:t>，</w:t>
      </w:r>
      <w:r>
        <w:rPr>
          <w:rFonts w:hint="eastAsia" w:ascii="宋体" w:hAnsi="宋体" w:eastAsia="宋体" w:cs="宋体"/>
          <w:bCs/>
          <w:color w:val="auto"/>
          <w:sz w:val="24"/>
          <w:szCs w:val="24"/>
          <w:highlight w:val="none"/>
          <w:lang w:eastAsia="zh-CN"/>
        </w:rPr>
        <w:t>新疆伽师县西克尔镇4号砖瓦用页岩矿</w:t>
      </w:r>
      <w:r>
        <w:rPr>
          <w:rFonts w:hint="eastAsia" w:ascii="宋体" w:hAnsi="宋体" w:eastAsia="宋体" w:cs="宋体"/>
          <w:bCs/>
          <w:color w:val="auto"/>
          <w:sz w:val="24"/>
          <w:szCs w:val="24"/>
          <w:highlight w:val="none"/>
        </w:rPr>
        <w:t>应在20</w:t>
      </w:r>
      <w:r>
        <w:rPr>
          <w:rFonts w:hint="eastAsia" w:ascii="宋体" w:hAnsi="宋体" w:eastAsia="宋体" w:cs="宋体"/>
          <w:bCs/>
          <w:color w:val="auto"/>
          <w:sz w:val="24"/>
          <w:szCs w:val="24"/>
          <w:highlight w:val="none"/>
          <w:lang w:val="en-US" w:eastAsia="zh-CN"/>
        </w:rPr>
        <w:t>52</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6</w:t>
      </w:r>
      <w:r>
        <w:rPr>
          <w:rFonts w:hint="eastAsia" w:ascii="宋体" w:hAnsi="宋体" w:eastAsia="宋体" w:cs="宋体"/>
          <w:bCs/>
          <w:color w:val="auto"/>
          <w:sz w:val="24"/>
          <w:szCs w:val="24"/>
          <w:highlight w:val="none"/>
        </w:rPr>
        <w:t>月前将所有的土地复垦资金预存完毕。最后，本方案提出以每5年为一阶段，地质环境治理和土地复垦费用预存时间为本阶段第1个月足额预存，首次预存的费用为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highlight w:val="none"/>
        </w:rPr>
        <w:t>万元。</w:t>
      </w:r>
    </w:p>
    <w:p>
      <w:pPr>
        <w:pStyle w:val="159"/>
        <w:pageBreakBefore w:val="0"/>
        <w:kinsoku/>
        <w:overflowPunct/>
        <w:bidi w:val="0"/>
        <w:adjustRightInd/>
        <w:snapToGrid/>
        <w:spacing w:line="360" w:lineRule="auto"/>
        <w:ind w:right="0" w:rightChars="0"/>
        <w:jc w:val="center"/>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表</w:t>
      </w:r>
      <w:r>
        <w:rPr>
          <w:rFonts w:hint="eastAsia" w:ascii="宋体" w:hAnsi="宋体" w:eastAsia="宋体" w:cs="宋体"/>
          <w:b/>
          <w:bCs w:val="0"/>
          <w:color w:val="auto"/>
          <w:sz w:val="24"/>
          <w:szCs w:val="24"/>
          <w:lang w:val="en-US" w:eastAsia="zh-CN"/>
        </w:rPr>
        <w:t>6</w:t>
      </w:r>
      <w:r>
        <w:rPr>
          <w:rFonts w:hint="eastAsia" w:ascii="宋体" w:hAnsi="宋体" w:eastAsia="宋体" w:cs="宋体"/>
          <w:b/>
          <w:bCs w:val="0"/>
          <w:color w:val="auto"/>
          <w:sz w:val="24"/>
          <w:szCs w:val="24"/>
        </w:rPr>
        <w:t>-</w:t>
      </w:r>
      <w:r>
        <w:rPr>
          <w:rFonts w:hint="eastAsia" w:ascii="宋体" w:hAnsi="宋体" w:eastAsia="宋体" w:cs="宋体"/>
          <w:b/>
          <w:bCs w:val="0"/>
          <w:color w:val="auto"/>
          <w:sz w:val="24"/>
          <w:szCs w:val="24"/>
          <w:lang w:val="en-US" w:eastAsia="zh-CN"/>
        </w:rPr>
        <w:t>3-</w:t>
      </w:r>
      <w:r>
        <w:rPr>
          <w:rFonts w:hint="eastAsia" w:ascii="宋体" w:hAnsi="宋体" w:eastAsia="宋体" w:cs="宋体"/>
          <w:b/>
          <w:bCs w:val="0"/>
          <w:color w:val="auto"/>
          <w:sz w:val="24"/>
          <w:szCs w:val="24"/>
        </w:rPr>
        <w:t>1</w:t>
      </w:r>
      <w:r>
        <w:rPr>
          <w:rFonts w:hint="eastAsia" w:ascii="宋体" w:hAnsi="宋体" w:eastAsia="宋体" w:cs="宋体"/>
          <w:b/>
          <w:bCs w:val="0"/>
          <w:color w:val="auto"/>
          <w:sz w:val="24"/>
          <w:szCs w:val="24"/>
          <w:lang w:val="en-US" w:eastAsia="zh-CN"/>
        </w:rPr>
        <w:t xml:space="preserve">     </w:t>
      </w:r>
      <w:r>
        <w:rPr>
          <w:rFonts w:hint="eastAsia" w:ascii="宋体" w:hAnsi="宋体" w:eastAsia="宋体" w:cs="宋体"/>
          <w:b/>
          <w:bCs w:val="0"/>
          <w:color w:val="auto"/>
          <w:sz w:val="24"/>
          <w:szCs w:val="24"/>
        </w:rPr>
        <w:t>矿山地质环境治理和土地复垦费用年度预存表</w:t>
      </w:r>
    </w:p>
    <w:tbl>
      <w:tblPr>
        <w:tblStyle w:val="53"/>
        <w:tblW w:w="773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500"/>
        <w:gridCol w:w="3191"/>
        <w:gridCol w:w="1350"/>
        <w:gridCol w:w="16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570" w:hRule="atLeast"/>
          <w:tblHeader/>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阶段</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年份</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投资额度（万元）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阶段预存额度（万元）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第1阶段</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2025年5月-2030年4月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第2阶段</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2030年5月-2035年4月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第3阶段</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2035年5月-2040年4月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第4阶段</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2040年5月-2045年4月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85"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第5阶段</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2045年5月-2050年4月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第6阶段</w:t>
            </w:r>
          </w:p>
        </w:tc>
        <w:tc>
          <w:tcPr>
            <w:tcW w:w="319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2050年5月-2052年6月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315" w:hRule="atLeast"/>
          <w:jc w:val="center"/>
        </w:trPr>
        <w:tc>
          <w:tcPr>
            <w:tcW w:w="46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eastAsia="宋体" w:cs="宋体"/>
                <w:b/>
                <w:bCs/>
                <w:i w:val="0"/>
                <w:iCs w:val="0"/>
                <w:color w:val="auto"/>
                <w:kern w:val="0"/>
                <w:sz w:val="24"/>
                <w:szCs w:val="24"/>
                <w:u w:val="none"/>
                <w:lang w:val="en-US" w:eastAsia="zh-CN" w:bidi="ar"/>
              </w:rPr>
              <w:t>合计</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
                <w:bCs/>
                <w:i w:val="0"/>
                <w:iCs w:val="0"/>
                <w:color w:val="auto"/>
                <w:kern w:val="0"/>
                <w:sz w:val="24"/>
                <w:szCs w:val="24"/>
                <w:u w:val="none"/>
                <w:lang w:val="en-US" w:eastAsia="zh-CN" w:bidi="ar"/>
              </w:rPr>
              <w:t xml:space="preserve">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4"/>
                <w:szCs w:val="24"/>
                <w:u w:val="none"/>
              </w:rPr>
            </w:pPr>
            <w:r>
              <w:rPr>
                <w:rFonts w:hint="eastAsia" w:ascii="宋体" w:hAnsi="宋体" w:cs="宋体"/>
                <w:i w:val="0"/>
                <w:iCs w:val="0"/>
                <w:color w:val="auto"/>
                <w:kern w:val="0"/>
                <w:sz w:val="21"/>
                <w:szCs w:val="21"/>
                <w:u w:val="none"/>
                <w:lang w:val="en-US" w:eastAsia="zh-CN" w:bidi="ar"/>
              </w:rPr>
              <w:t>****</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资金存储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 xml:space="preserve">矿山地质环境保护治理与土地复垦方案及各阶段土地复垦计划通过备案后，矿山企业根据《土地复垦费用使用监管协议》，按照审查通过的矿山地质环境治理与复垦方案及复垦规划设计中费用保障措施相关设计，将地质环境治理和土地复垦费用存入专用账户。矿山地质环境治理和土地复垦费用账户应按照“企业所有，政府监管，专户存储，专款专用”的原则进行管理，并应建立土地复垦费用专项使用的具体财务管理制度。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矿山地质环境治理和土地复垦费用应根据《土地复垦费用使用监管协议》的约定进行存储，矿山地质环境治理和土地复垦费用存储受</w:t>
      </w:r>
      <w:r>
        <w:rPr>
          <w:rFonts w:hint="eastAsia" w:ascii="宋体" w:hAnsi="宋体" w:eastAsia="宋体" w:cs="宋体"/>
          <w:bCs/>
          <w:color w:val="auto"/>
          <w:sz w:val="24"/>
          <w:szCs w:val="24"/>
          <w:lang w:val="en-US" w:eastAsia="zh-CN"/>
        </w:rPr>
        <w:t>伽师</w:t>
      </w:r>
      <w:r>
        <w:rPr>
          <w:rFonts w:hint="eastAsia" w:ascii="宋体" w:hAnsi="宋体" w:eastAsia="宋体" w:cs="宋体"/>
          <w:bCs/>
          <w:color w:val="auto"/>
          <w:sz w:val="24"/>
          <w:szCs w:val="24"/>
        </w:rPr>
        <w:t>县自然资源局监督，按以下规则进行存储：矿山企业依据批复的矿山地质环境保护与土地复垦方案及土地复垦计划中确定的费用预存计划，分期预存复垦费用。矿山地质环境保护与土地复垦方案通过审查后一个月内预存第一笔复垦费用，并在每个费用预存计划开始后的10个工作日内存入土地复垦费用专用账户。矿山地质环境治理和土地复垦费用存储所产生的利息，可用于抵减下一期应存储的矿山地质环境治理和土地复垦费用。所有存款凭证提交审计部门审核，审核结果交</w:t>
      </w:r>
      <w:r>
        <w:rPr>
          <w:rFonts w:hint="eastAsia" w:ascii="宋体" w:hAnsi="宋体" w:eastAsia="宋体" w:cs="宋体"/>
          <w:bCs/>
          <w:color w:val="auto"/>
          <w:sz w:val="24"/>
          <w:szCs w:val="24"/>
          <w:lang w:val="en-US" w:eastAsia="zh-CN"/>
        </w:rPr>
        <w:t>伽师县</w:t>
      </w:r>
      <w:r>
        <w:rPr>
          <w:rFonts w:hint="eastAsia" w:ascii="宋体" w:hAnsi="宋体" w:eastAsia="宋体" w:cs="宋体"/>
          <w:bCs/>
          <w:color w:val="auto"/>
          <w:sz w:val="24"/>
          <w:szCs w:val="24"/>
        </w:rPr>
        <w:t>自然资源局备案。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资金使用与管理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复垦项目施工单位根据土地复垦工程的进度安排合理使用土地复垦资金。服从、接受当地自然资源局对该项目复垦资金的提取、使用的监管与监督。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复垦项目建设严格执行进度拨款制度。资金拨付由施工单位根据工程进度向本项目土地复垦管理机构提出申请，经审查签字后，报财务审批。严格审核工程单据，第一次拨款使用完毕后，项目实施单位将原始凭证报财政部门，经审查无误填制核销单，项目单位凭核销单记账，再按工程进度第二次拨款。施工单位每季度最后一个月，根据土地复垦实施规划和计划，做出下一季度的复垦资金使用预算。土地复垦管理机构对复垦资金使用预算进行审核，并提交当地自然资源局审查备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复垦资金使用中复垦费用实际支出与预算金额相差超过20%时，须向土地复垦管理机构提交书面申请，主管人员审核通过后方可使用。施工单位每月填写复垦资金使用情况报表，对每一笔复垦资金的用途均要有详细明确的记录。复垦资金使用情况报表每月提交土地复垦管理机构审核备案。</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保证土地复垦费用专用于土地复垦工作，对截留、挤占、滥用、挪用土地复垦费用的，追究当事人、相关责任人的责任，依法给予相应的行政、经济处分；对当事人和相关责任人构成犯罪的，应依法追究刑事责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资金审计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新疆伽师县西克尔镇4号砖瓦用页岩矿</w:t>
      </w:r>
      <w:r>
        <w:rPr>
          <w:rFonts w:hint="eastAsia" w:ascii="宋体" w:hAnsi="宋体" w:eastAsia="宋体" w:cs="宋体"/>
          <w:bCs/>
          <w:color w:val="auto"/>
          <w:sz w:val="24"/>
          <w:szCs w:val="24"/>
        </w:rPr>
        <w:t>矿山地质环境保护与土地复垦专项资金的审计工作，由公司矿山地质环境治理与土地复垦管理机构申请，采用招标的方式委托会计事务所从事审计业务，受当地自然资源管理部门组织和监督。会计事务所通过投标承接和执行审计业务，遵守设计准则和职业道德规范，严格按照业务约定书履行业务，具体审计内容如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（1）确定资金的内部控制制度存在、有效并一贯执行；</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（2）确定会计报告所列金额真实；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（3）确定资金的会计记录真确无误，金额正确，计量无误，明细账和总账一致，没有被贪污或挪用现象；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（4）确定资金的收支真实，货币计价正确；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（5）确定资金在会计报表上的揭露恰当。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对滥用、挪用资金的，坚决追究当事人及相关责任人的经济及刑事责任，具体工作由</w:t>
      </w:r>
      <w:r>
        <w:rPr>
          <w:rFonts w:hint="eastAsia" w:ascii="宋体" w:hAnsi="宋体" w:eastAsia="宋体" w:cs="宋体"/>
          <w:bCs/>
          <w:color w:val="auto"/>
          <w:sz w:val="24"/>
          <w:szCs w:val="24"/>
          <w:lang w:eastAsia="zh-CN"/>
        </w:rPr>
        <w:t>新疆伽师县西克尔镇4号砖瓦用页岩矿</w:t>
      </w:r>
      <w:r>
        <w:rPr>
          <w:rFonts w:hint="eastAsia" w:ascii="宋体" w:hAnsi="宋体" w:eastAsia="宋体" w:cs="宋体"/>
          <w:bCs/>
          <w:color w:val="auto"/>
          <w:sz w:val="24"/>
          <w:szCs w:val="24"/>
        </w:rPr>
        <w:t>矿山地质环境治理与土地复垦管理机构实施，当地土地管理部门监督。</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eastAsia="zh-CN"/>
        </w:rPr>
      </w:pPr>
      <w:bookmarkStart w:id="260" w:name="_Toc119665076"/>
      <w:bookmarkStart w:id="261" w:name="_Toc118018486"/>
      <w:bookmarkStart w:id="262" w:name="_Toc118018352"/>
      <w:bookmarkStart w:id="263" w:name="_Toc119665226"/>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四</w:t>
      </w:r>
      <w:r>
        <w:rPr>
          <w:rFonts w:hint="eastAsia" w:ascii="Times New Roman" w:hAnsi="Times New Roman" w:eastAsia="宋体" w:cs="Times New Roman"/>
          <w:color w:val="auto"/>
          <w:sz w:val="28"/>
          <w:szCs w:val="28"/>
          <w:highlight w:val="none"/>
          <w:lang w:eastAsia="zh-CN"/>
        </w:rPr>
        <w:t>）安全保障</w:t>
      </w:r>
      <w:bookmarkEnd w:id="260"/>
      <w:bookmarkEnd w:id="261"/>
      <w:bookmarkEnd w:id="262"/>
      <w:bookmarkEnd w:id="263"/>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为了加强安全生产管理工作，保护施工作业人员在劳动生产过程中的安全和健康，为施工人员建立良好的安全、卫生、舒适的劳动工作条件，预防和消除劳动生产过程中伤亡事故、职业病和职业中毒的发生，保持和提高劳动者持久的劳动能力、劳动生产率和生产经济效益，确保本项目工程的顺利完成，成立以矿山负责人为组长，矿山生产班长、安全员等组成的安全生产领导小组，下设安全管理组，全面负责并领导本项目的施工安全生产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bookmarkStart w:id="264" w:name="_Toc119665077"/>
      <w:r>
        <w:rPr>
          <w:rFonts w:hint="eastAsia" w:ascii="宋体" w:hAnsi="宋体" w:eastAsia="宋体" w:cs="宋体"/>
          <w:b/>
          <w:bCs w:val="0"/>
          <w:color w:val="auto"/>
          <w:sz w:val="24"/>
          <w:szCs w:val="24"/>
          <w:lang w:val="en-US" w:eastAsia="zh-CN"/>
        </w:rPr>
        <w:t>1、</w:t>
      </w:r>
      <w:r>
        <w:rPr>
          <w:rFonts w:hint="eastAsia" w:ascii="宋体" w:hAnsi="宋体" w:eastAsia="宋体" w:cs="宋体"/>
          <w:b/>
          <w:bCs w:val="0"/>
          <w:color w:val="auto"/>
          <w:sz w:val="24"/>
          <w:szCs w:val="24"/>
        </w:rPr>
        <w:t>安全施工管理制度</w:t>
      </w:r>
      <w:bookmarkEnd w:id="26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（1）矿山企业必须设置安全员，项目部定期检查，并采取一警告、二罚款、三责令退场的管理措施。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（2）矿山企业应认真贯彻执行国家、自治区制定和编写的有关规定，并结合本单位的工程特点和施工具体情况，制定本施工队、各部门的安全生产管理制度及安全技术操作规程，做到有章可循。</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（3）坚持“四不放过”事故处理原则和事故制度。发生重伤以上事故应24小时内报安全生产领导小组和公司，在半月内将事故调查处理报告有关部门审定，不允许拖报、虚报、漏报。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安全管理及施工人员，在施工过程中发现事故隐患，应及时向主管领导汇报，并提出处理意见，当生产与安全发生冲突并随时危及人身安全时，管理人员有权责令停工，任何人不得胁迫工人蛮干，不允许在不安全的条件下施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（5）安全管理人员必须忠于职守，协助领导做好安全生产管理工作，要坚持原则，不循私情，秉公办事。</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（6）坚持安全生产的宣传教育工作，经常对施工人员进行安全思想和安全知识教育，特别要做调换工种工人的三级安全教育，特殊工种的安全教育和经常性的教育，不断提高增强职工的安全意识和责任感。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（7）各级领导和专职主要技术干部，经常深入基层或施工现场、检查、督促、落实责任，坚持经常性和季节性的安全检查，寻找多角度的整改措施。</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（8）加强劳动保护的管理工作，切实保障职工的生命安全和健康，特别是一些特殊工种。</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（9）坚持安全活动日制度，各施工队可按不同工种生产任务进度、技术复杂项目、危险施工条例等任务有计划的、不流于形式的组织学习有关安全文件、规程规定，并经常检查总结安全生产情况，作好记录。</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lang w:val="en-US" w:eastAsia="zh-CN"/>
        </w:rPr>
      </w:pPr>
      <w:bookmarkStart w:id="265" w:name="_Toc119665078"/>
      <w:r>
        <w:rPr>
          <w:rFonts w:hint="eastAsia" w:ascii="宋体" w:hAnsi="宋体" w:eastAsia="宋体" w:cs="宋体"/>
          <w:b/>
          <w:bCs w:val="0"/>
          <w:color w:val="auto"/>
          <w:sz w:val="24"/>
          <w:szCs w:val="24"/>
          <w:lang w:val="en-US" w:eastAsia="zh-CN"/>
        </w:rPr>
        <w:t>2、安全施工保证措施</w:t>
      </w:r>
      <w:bookmarkEnd w:id="26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（1）建立由矿长直接领导的安全管理体系，建立安全责任制，矿长为本项目安全第一责任人，层层落实责任，奖优罚劣，实行奖罚分明、奖罚并重的原则。</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坚决贯彻执行国家有关安全生产法规、法令，认真贯彻执行“安全第一、预防为主”的方针，对新进场人员进行安全教育考核，考核合格后方准上岗作业，班前同全员进行安全教育指导，班后进行安全总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（3）分项工程施工必须编制专项的安全措施，做到技术保安全，执行持证上岗制度，坚决杜绝无证上岗的现象。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（4）认真执行安全检查制度，项目经理保证安全检查制度的落实，规定定期检查日期，参加检查人员，作定期检查。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（5）定期发给施工人员必须的劳动保护用品，如防砸鞋、手套、手灯等。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（6）施工作业区、道路、临时设施和生活区设置足够的照明。</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lang w:val="en-US" w:eastAsia="zh-CN"/>
        </w:rPr>
      </w:pPr>
      <w:bookmarkStart w:id="266" w:name="_Toc119665079"/>
      <w:r>
        <w:rPr>
          <w:rFonts w:hint="eastAsia" w:ascii="宋体" w:hAnsi="宋体" w:eastAsia="宋体" w:cs="宋体"/>
          <w:b/>
          <w:bCs w:val="0"/>
          <w:color w:val="auto"/>
          <w:sz w:val="24"/>
          <w:szCs w:val="24"/>
          <w:lang w:val="en-US" w:eastAsia="zh-CN"/>
        </w:rPr>
        <w:t>3、危险源辨识及风险评价制度</w:t>
      </w:r>
      <w:bookmarkEnd w:id="26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（1）工程在开工前，由矿长组织施工成员对本工程范围内涉及到的活动人员、设施产生的危险源进行辨识。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（2）依据危险源造成事故的可能性、危险暴露的频繁程度、事故发生的后果对所辨识出的危险源进行风险评价，评价出各类危险源的危险等级。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（3）针对风险等级较大的危险源，制定专项安全管理方案，并严格执行，对其进行有效控制，最大限度的降低风险等级。</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（4）项目针对不同阶段、不同活动的一般危险源，采取有效预防措施，降低风险等级，防止风险等级上升，达到预防的目的。</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eastAsia="zh-CN"/>
        </w:rPr>
      </w:pPr>
      <w:bookmarkStart w:id="267" w:name="_Toc118018353"/>
      <w:bookmarkStart w:id="268" w:name="_Toc118018487"/>
      <w:bookmarkStart w:id="269" w:name="_Toc119665227"/>
      <w:bookmarkStart w:id="270" w:name="_Toc119665080"/>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五</w:t>
      </w:r>
      <w:r>
        <w:rPr>
          <w:rFonts w:hint="eastAsia" w:ascii="Times New Roman" w:hAnsi="Times New Roman" w:eastAsia="宋体" w:cs="Times New Roman"/>
          <w:color w:val="auto"/>
          <w:sz w:val="28"/>
          <w:szCs w:val="28"/>
          <w:highlight w:val="none"/>
          <w:lang w:eastAsia="zh-CN"/>
        </w:rPr>
        <w:t>）监管保障</w:t>
      </w:r>
      <w:bookmarkEnd w:id="267"/>
      <w:bookmarkEnd w:id="268"/>
      <w:bookmarkEnd w:id="269"/>
      <w:bookmarkEnd w:id="27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经批准后的方案具有法律强制性，不再擅自变更。如方案有重大变更，将向自然资源主管部门申请，自然资源主管部门有权依法对方案实施情况进行监督管理。业主应强化施工管理，严格按照方案要求进行自查，并主动与自然资源主管部门取得联系，自觉接受自然资源主管部门的监督管理。在本方案的总体指导下，组织制定阶段矿山地质环境治理和土地复垦计划和年度实施计划，组织安排有关技术人员或者委托有关单位对本矿山土地损毁和土地复垦实施等情况进行动态监测，并于每年12月31日前向</w:t>
      </w:r>
      <w:r>
        <w:rPr>
          <w:rFonts w:hint="eastAsia" w:ascii="宋体" w:hAnsi="宋体" w:eastAsia="宋体" w:cs="宋体"/>
          <w:bCs/>
          <w:color w:val="auto"/>
          <w:sz w:val="24"/>
          <w:szCs w:val="24"/>
          <w:lang w:val="en-US" w:eastAsia="zh-CN"/>
        </w:rPr>
        <w:t>伽师县</w:t>
      </w:r>
      <w:r>
        <w:rPr>
          <w:rFonts w:hint="eastAsia" w:ascii="宋体" w:hAnsi="宋体" w:eastAsia="宋体" w:cs="宋体"/>
          <w:bCs/>
          <w:color w:val="auto"/>
          <w:sz w:val="24"/>
          <w:szCs w:val="24"/>
        </w:rPr>
        <w:t>自然资源局报告当年的土地损毁情况、土地复垦费用使用情况及矿山地质环境治理和土地复垦工程实施情况，积极配合当地自然资源主管部门对土地复垦费用的使用和土地复垦工程实施情况的监督检查。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自然资源主管部门会同环境保护主管部门应建立动态化监管机制，加强对矿山企业地质环境保护与土地复垦的监督检查。对于未按照矿山地质环境保护与土地复垦方案开展工作的企业，列入矿业人异常名录或严重违法失信名单，责令期限整改。对于逾期不整改或整改不到位的，不批准其申请新的采矿许可证或申请采矿许可证延续、变更、注销，不批准其新的建设用地。</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eastAsia="zh-CN"/>
        </w:rPr>
      </w:pPr>
      <w:bookmarkStart w:id="271" w:name="_Toc119665081"/>
      <w:bookmarkStart w:id="272" w:name="_Toc118018354"/>
      <w:bookmarkStart w:id="273" w:name="_Toc118018488"/>
      <w:bookmarkStart w:id="274" w:name="_Toc119665228"/>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六</w:t>
      </w:r>
      <w:r>
        <w:rPr>
          <w:rFonts w:hint="eastAsia" w:ascii="Times New Roman" w:hAnsi="Times New Roman" w:eastAsia="宋体" w:cs="Times New Roman"/>
          <w:color w:val="auto"/>
          <w:sz w:val="28"/>
          <w:szCs w:val="28"/>
          <w:highlight w:val="none"/>
          <w:lang w:eastAsia="zh-CN"/>
        </w:rPr>
        <w:t>）效益分析</w:t>
      </w:r>
      <w:bookmarkEnd w:id="271"/>
      <w:bookmarkEnd w:id="272"/>
      <w:bookmarkEnd w:id="273"/>
      <w:bookmarkEnd w:id="274"/>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bookmarkStart w:id="275" w:name="_Toc119665082"/>
      <w:r>
        <w:rPr>
          <w:rFonts w:hint="eastAsia" w:ascii="宋体" w:hAnsi="宋体" w:eastAsia="宋体" w:cs="宋体"/>
          <w:b/>
          <w:bCs w:val="0"/>
          <w:color w:val="auto"/>
          <w:sz w:val="24"/>
          <w:szCs w:val="24"/>
          <w:lang w:val="en-US" w:eastAsia="zh-CN"/>
        </w:rPr>
        <w:t>1、</w:t>
      </w:r>
      <w:r>
        <w:rPr>
          <w:rFonts w:hint="eastAsia" w:ascii="宋体" w:hAnsi="宋体" w:eastAsia="宋体" w:cs="宋体"/>
          <w:b/>
          <w:bCs w:val="0"/>
          <w:color w:val="auto"/>
          <w:sz w:val="24"/>
          <w:szCs w:val="24"/>
        </w:rPr>
        <w:t>社会效益</w:t>
      </w:r>
      <w:bookmarkEnd w:id="27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通过土地复垦方案的实施，一是有效降低矿山环境对周边居民及矿山人员的潜在影响和危害；二是有利于矿区正常生产，实现矿山资源可持续发展，使企业获得最大的经济、社会效益；三是在矿区内对破坏的土地进行复垦，可有效防治区域环境恶化，改善矿区及周边的生态环境，促进了生态良性循环，维持了生态平衡。所以，土地复垦是关系国计民生的大事，不仅对生态环境有着重大意义，而且对全社会的安定团结和稳定发展也起着重要作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lang w:val="en-US" w:eastAsia="zh-CN"/>
        </w:rPr>
      </w:pPr>
      <w:bookmarkStart w:id="276" w:name="_Toc119665083"/>
      <w:r>
        <w:rPr>
          <w:rFonts w:hint="eastAsia" w:ascii="宋体" w:hAnsi="宋体" w:eastAsia="宋体" w:cs="宋体"/>
          <w:b/>
          <w:bCs w:val="0"/>
          <w:color w:val="auto"/>
          <w:sz w:val="24"/>
          <w:szCs w:val="24"/>
          <w:lang w:val="en-US" w:eastAsia="zh-CN"/>
        </w:rPr>
        <w:t>2、经济效益</w:t>
      </w:r>
      <w:bookmarkEnd w:id="276"/>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矿山地质环境保护与土地复垦工程的经济效益体现在两个方面：一是直接经济效益；二是间接经济效益。直接经济效益是指通过实施地质环境保护工程减少的经济损失，通过土地复垦工程对复垦土地的再利用带来经济价值。间接经济效益是通过实施土地复垦工程而减少的对矿山土地损毁等交纳的生态补偿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通过实施土地复垦方案减轻了对土地的损毁，使土地资源得到恢复，使环境治理与经济发展走上良性循环，对促进生态环境建设，改善当地环境，加快工程建设和发展当地经济具有重要意义。依据前期计算，对采矿损毁土地进行复垦，其复垦责任范围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bCs/>
          <w:color w:val="auto"/>
          <w:sz w:val="24"/>
          <w:szCs w:val="24"/>
        </w:rPr>
        <w:t>公顷，均复垦为</w:t>
      </w:r>
      <w:r>
        <w:rPr>
          <w:rFonts w:hint="eastAsia" w:ascii="宋体" w:hAnsi="宋体" w:eastAsia="宋体" w:cs="宋体"/>
          <w:bCs/>
          <w:color w:val="auto"/>
          <w:sz w:val="24"/>
          <w:szCs w:val="24"/>
          <w:lang w:val="en-US" w:eastAsia="zh-CN"/>
        </w:rPr>
        <w:t>裸土地</w:t>
      </w:r>
      <w:r>
        <w:rPr>
          <w:rFonts w:hint="eastAsia" w:ascii="宋体" w:hAnsi="宋体" w:eastAsia="宋体" w:cs="宋体"/>
          <w:bCs/>
          <w:color w:val="auto"/>
          <w:sz w:val="24"/>
          <w:szCs w:val="24"/>
        </w:rPr>
        <w:t>，虽带来的经济效益不明显，但通过土地复垦使损毁的土地恢复原有的土地利用功能，改善了矿区及周边环境质量，提高了土地利用率，为当地土地资源再利用提供空间。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通过地质环境保护与土地复垦工程实施有效改善了矿山周边的生态环境，可有效防治区域环境恶化，改善矿区及周边的生态环境，促进了生态良性循环，维持了生态平衡。为经济发展创造了空间条件，为</w:t>
      </w:r>
      <w:r>
        <w:rPr>
          <w:rFonts w:hint="eastAsia" w:ascii="宋体" w:hAnsi="宋体" w:eastAsia="宋体" w:cs="宋体"/>
          <w:bCs/>
          <w:color w:val="auto"/>
          <w:sz w:val="24"/>
          <w:szCs w:val="24"/>
          <w:lang w:val="en-US" w:eastAsia="zh-CN"/>
        </w:rPr>
        <w:t>伽师县</w:t>
      </w:r>
      <w:r>
        <w:rPr>
          <w:rFonts w:hint="eastAsia" w:ascii="宋体" w:hAnsi="宋体" w:eastAsia="宋体" w:cs="宋体"/>
          <w:bCs/>
          <w:color w:val="auto"/>
          <w:sz w:val="24"/>
          <w:szCs w:val="24"/>
        </w:rPr>
        <w:t>社会经济的快速发展提供了有力的保障，经济效益可观。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综上所述，实施矿山地质环境治理与土地复垦后取得经济效益较为显著。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lang w:val="en-US" w:eastAsia="zh-CN"/>
        </w:rPr>
      </w:pPr>
      <w:bookmarkStart w:id="277" w:name="_Toc119665084"/>
      <w:r>
        <w:rPr>
          <w:rFonts w:hint="eastAsia" w:ascii="宋体" w:hAnsi="宋体" w:eastAsia="宋体" w:cs="宋体"/>
          <w:b/>
          <w:bCs w:val="0"/>
          <w:color w:val="auto"/>
          <w:sz w:val="24"/>
          <w:szCs w:val="24"/>
          <w:lang w:val="en-US" w:eastAsia="zh-CN"/>
        </w:rPr>
        <w:t>3、生态效益</w:t>
      </w:r>
      <w:bookmarkEnd w:id="277"/>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对本矿区被破坏的土地进行治理恢复及复垦是实现环境效益的重要措施。矿区土地利用类型为</w:t>
      </w:r>
      <w:r>
        <w:rPr>
          <w:rFonts w:hint="eastAsia" w:ascii="宋体" w:hAnsi="宋体" w:eastAsia="宋体" w:cs="宋体"/>
          <w:bCs/>
          <w:color w:val="auto"/>
          <w:sz w:val="24"/>
          <w:szCs w:val="24"/>
          <w:lang w:val="en-US" w:eastAsia="zh-CN"/>
        </w:rPr>
        <w:t>裸土地</w:t>
      </w:r>
      <w:r>
        <w:rPr>
          <w:rFonts w:hint="eastAsia" w:ascii="宋体" w:hAnsi="宋体" w:eastAsia="宋体" w:cs="宋体"/>
          <w:bCs/>
          <w:color w:val="auto"/>
          <w:sz w:val="24"/>
          <w:szCs w:val="24"/>
        </w:rPr>
        <w:t>，生态环境较脆弱。矿区地表土壤主要为第四系冲积松散堆积物，该区域的荒漠植被种类十分贫乏，植被盖度小于10%，植被发育不良。经过区域土壤侵蚀类型以轻度风力侵蚀为主，中低山区背景侵蚀模数为2000t/km</w:t>
      </w:r>
      <w:r>
        <w:rPr>
          <w:rFonts w:hint="eastAsia" w:ascii="宋体" w:hAnsi="宋体" w:eastAsia="宋体" w:cs="宋体"/>
          <w:bCs/>
          <w:color w:val="auto"/>
          <w:sz w:val="24"/>
          <w:szCs w:val="24"/>
          <w:vertAlign w:val="superscript"/>
        </w:rPr>
        <w:t>2</w:t>
      </w:r>
      <w:r>
        <w:rPr>
          <w:rFonts w:hint="eastAsia" w:ascii="宋体" w:hAnsi="宋体" w:eastAsia="宋体" w:cs="宋体"/>
          <w:bCs/>
          <w:color w:val="auto"/>
          <w:sz w:val="24"/>
          <w:szCs w:val="24"/>
        </w:rPr>
        <w:t>·a，容许土壤流失量为2000t/km</w:t>
      </w:r>
      <w:r>
        <w:rPr>
          <w:rFonts w:hint="eastAsia" w:ascii="宋体" w:hAnsi="宋体" w:eastAsia="宋体" w:cs="宋体"/>
          <w:bCs/>
          <w:color w:val="auto"/>
          <w:sz w:val="24"/>
          <w:szCs w:val="24"/>
          <w:vertAlign w:val="superscript"/>
        </w:rPr>
        <w:t>2</w:t>
      </w:r>
      <w:r>
        <w:rPr>
          <w:rFonts w:hint="eastAsia" w:ascii="宋体" w:hAnsi="宋体" w:eastAsia="宋体" w:cs="宋体"/>
          <w:bCs/>
          <w:color w:val="auto"/>
          <w:sz w:val="24"/>
          <w:szCs w:val="24"/>
        </w:rPr>
        <w:t>·a。通过对矿山进行环境治理恢复与土地复垦，可基本恢复侵蚀模数背景值。对采矿过程中破坏的土地及影响范围采取基本恢复其原生土地类型的生态措施，建立起新的土地利用环境体系，形成新的人工和自然景观，可使矿业活动对生态环境的影响减少到最低，使矿区的生态环境得以有效恢复。</w:t>
      </w:r>
    </w:p>
    <w:p>
      <w:pPr>
        <w:pStyle w:val="5"/>
        <w:keepNext w:val="0"/>
        <w:keepLines w:val="0"/>
        <w:pageBreakBefore w:val="0"/>
        <w:widowControl w:val="0"/>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highlight w:val="none"/>
          <w:lang w:eastAsia="zh-CN"/>
        </w:rPr>
      </w:pPr>
      <w:bookmarkStart w:id="278" w:name="_Toc118018355"/>
      <w:bookmarkStart w:id="279" w:name="_Toc118018489"/>
      <w:bookmarkStart w:id="280" w:name="_Toc119665085"/>
      <w:bookmarkStart w:id="281" w:name="_Toc119665229"/>
      <w:r>
        <w:rPr>
          <w:rFonts w:hint="eastAsia" w:ascii="Times New Roman" w:hAnsi="Times New Roman" w:eastAsia="宋体" w:cs="Times New Roman"/>
          <w:color w:val="auto"/>
          <w:sz w:val="28"/>
          <w:szCs w:val="28"/>
          <w:highlight w:val="none"/>
          <w:lang w:eastAsia="zh-CN"/>
        </w:rPr>
        <w:t>（</w:t>
      </w:r>
      <w:r>
        <w:rPr>
          <w:rFonts w:hint="eastAsia" w:ascii="Times New Roman" w:hAnsi="Times New Roman" w:eastAsia="宋体" w:cs="Times New Roman"/>
          <w:color w:val="auto"/>
          <w:sz w:val="28"/>
          <w:szCs w:val="28"/>
          <w:highlight w:val="none"/>
          <w:lang w:val="en-US" w:eastAsia="zh-CN"/>
        </w:rPr>
        <w:t>七</w:t>
      </w:r>
      <w:r>
        <w:rPr>
          <w:rFonts w:hint="eastAsia" w:ascii="Times New Roman" w:hAnsi="Times New Roman" w:eastAsia="宋体" w:cs="Times New Roman"/>
          <w:color w:val="auto"/>
          <w:sz w:val="28"/>
          <w:szCs w:val="28"/>
          <w:highlight w:val="none"/>
          <w:lang w:eastAsia="zh-CN"/>
        </w:rPr>
        <w:t>）公众参与</w:t>
      </w:r>
      <w:bookmarkEnd w:id="278"/>
      <w:bookmarkEnd w:id="279"/>
      <w:bookmarkEnd w:id="280"/>
      <w:bookmarkEnd w:id="28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项目的公众参与，就是矿山土地复垦、恢复治理工作的评价更加民主化、公众化，让与该项目有直接或间接关系的相关单位和广大民众也参与地质环境影响、土地复垦影响评价中来，并提出自己对该建设项目所持的态度，发表自该建设项目对周围环境影响的观点。本项目公众参与本着“贯穿项目始终，多方参与”的原则；在项目编制之前、项目编制期间、项目实施期间和项目竣工验收期间进行了系列的公众参与活动。各公众参与阶段均能达到恢复治理、土地复垦工作的完善和公正。</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1、做好公众参与的宣传和动员工作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对于公众来说，参与地质环境保护、土地复垦和管理，既是自身的权利，同时也是一种义务。仅强调业主方责任，很难取得满意效果的突破性进展，因此需要发动更广泛的群众参与和监督，提高公众参与的意识。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2、公众参与方式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公众参与方式（调查方式）采用个人访问调查。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首先，征询当地</w:t>
      </w:r>
      <w:r>
        <w:rPr>
          <w:rFonts w:hint="eastAsia" w:ascii="宋体" w:hAnsi="宋体" w:eastAsia="宋体" w:cs="宋体"/>
          <w:bCs/>
          <w:color w:val="auto"/>
          <w:sz w:val="24"/>
          <w:szCs w:val="24"/>
          <w:lang w:val="en-US" w:eastAsia="zh-CN"/>
        </w:rPr>
        <w:t>自然资源</w:t>
      </w:r>
      <w:r>
        <w:rPr>
          <w:rFonts w:hint="eastAsia" w:ascii="宋体" w:hAnsi="宋体" w:eastAsia="宋体" w:cs="宋体"/>
          <w:bCs/>
          <w:color w:val="auto"/>
          <w:sz w:val="24"/>
          <w:szCs w:val="24"/>
        </w:rPr>
        <w:t>部门的意见，认真听取了</w:t>
      </w:r>
      <w:r>
        <w:rPr>
          <w:rFonts w:hint="eastAsia" w:ascii="宋体" w:hAnsi="宋体" w:eastAsia="宋体" w:cs="宋体"/>
          <w:bCs/>
          <w:color w:val="auto"/>
          <w:sz w:val="24"/>
          <w:szCs w:val="24"/>
          <w:lang w:val="en-US" w:eastAsia="zh-CN"/>
        </w:rPr>
        <w:t>自然资源</w:t>
      </w:r>
      <w:r>
        <w:rPr>
          <w:rFonts w:hint="eastAsia" w:ascii="宋体" w:hAnsi="宋体" w:eastAsia="宋体" w:cs="宋体"/>
          <w:bCs/>
          <w:color w:val="auto"/>
          <w:sz w:val="24"/>
          <w:szCs w:val="24"/>
        </w:rPr>
        <w:t>部门提出的在地质环境保护、治理和土地复垦期间应该注意的问题，包括土地复垦尽量不要造成新的土地损毁，损毁的土地要得到切实的复垦等，治理工程不要形成新的地质环境破坏和影响，尽量少用或不用外来工程材料。</w:t>
      </w:r>
      <w:r>
        <w:rPr>
          <w:rFonts w:hint="eastAsia" w:ascii="宋体" w:hAnsi="宋体" w:eastAsia="宋体" w:cs="宋体"/>
          <w:bCs/>
          <w:color w:val="auto"/>
          <w:sz w:val="24"/>
          <w:szCs w:val="24"/>
          <w:lang w:val="en-US" w:eastAsia="zh-CN"/>
        </w:rPr>
        <w:t>自然资源</w:t>
      </w:r>
      <w:r>
        <w:rPr>
          <w:rFonts w:hint="eastAsia" w:ascii="宋体" w:hAnsi="宋体" w:eastAsia="宋体" w:cs="宋体"/>
          <w:bCs/>
          <w:color w:val="auto"/>
          <w:sz w:val="24"/>
          <w:szCs w:val="24"/>
        </w:rPr>
        <w:t>部门所提的建议为本次矿山地质环境保护和复垦方案的设计提供了很大的帮助，为本次矿山地质环境保护和土地复垦方案的编制奠定了技术基础。</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其次，征询当地环境保护部门的意见，包括土地损毁区复垦后对环境改善要求的最低限度，以及土地复垦的同时不要造成新的生态环境损毁问题等。</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3、公众参与调查</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次公众参与采用座谈会及发放公众意见调查表二种方式进行，本次公众参与调查范围广，调查对象基本覆盖了该项目主要影响的村民、地方自然资源部门和环境部门等，调查人群代表性强，公众参与调查表回收率高，调查结果是客观公开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4、问卷调查结果</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本次共发放7份，回收7份，回收率100%，问卷有效率100%，参与调查人员有矿山工人和</w:t>
      </w:r>
      <w:r>
        <w:rPr>
          <w:rFonts w:hint="eastAsia" w:ascii="宋体" w:hAnsi="宋体" w:eastAsia="宋体" w:cs="宋体"/>
          <w:bCs/>
          <w:color w:val="auto"/>
          <w:sz w:val="24"/>
          <w:szCs w:val="24"/>
          <w:lang w:val="en-US" w:eastAsia="zh-CN"/>
        </w:rPr>
        <w:t>附近</w:t>
      </w:r>
      <w:r>
        <w:rPr>
          <w:rFonts w:hint="eastAsia" w:ascii="宋体" w:hAnsi="宋体" w:eastAsia="宋体" w:cs="宋体"/>
          <w:bCs/>
          <w:color w:val="auto"/>
          <w:sz w:val="24"/>
          <w:szCs w:val="24"/>
        </w:rPr>
        <w:t>村民。公众参与调查结果显示，当地群众对本矿了解，全部支持矿山开采，支持环境保护与土地复垦，赞成复垦为</w:t>
      </w:r>
      <w:r>
        <w:rPr>
          <w:rFonts w:hint="eastAsia" w:ascii="宋体" w:hAnsi="宋体" w:cs="宋体"/>
          <w:bCs/>
          <w:color w:val="auto"/>
          <w:sz w:val="24"/>
          <w:szCs w:val="24"/>
          <w:lang w:val="en-US" w:eastAsia="zh-CN"/>
        </w:rPr>
        <w:t>裸土地</w:t>
      </w:r>
      <w:r>
        <w:rPr>
          <w:rFonts w:hint="eastAsia" w:ascii="宋体" w:hAnsi="宋体" w:eastAsia="宋体" w:cs="宋体"/>
          <w:bCs/>
          <w:color w:val="auto"/>
          <w:sz w:val="24"/>
          <w:szCs w:val="24"/>
        </w:rPr>
        <w:t>，尽量恢复原有土地属性，认为矿山运营对生态环境影响程度不大，对矿山周围环境带来的最突出的影响是</w:t>
      </w:r>
      <w:r>
        <w:rPr>
          <w:rFonts w:hint="eastAsia" w:ascii="宋体" w:hAnsi="宋体" w:cs="宋体"/>
          <w:bCs/>
          <w:color w:val="auto"/>
          <w:sz w:val="24"/>
          <w:szCs w:val="24"/>
          <w:lang w:val="en-US" w:eastAsia="zh-CN"/>
        </w:rPr>
        <w:t>排土场</w:t>
      </w:r>
      <w:r>
        <w:rPr>
          <w:rFonts w:hint="eastAsia" w:ascii="宋体" w:hAnsi="宋体" w:eastAsia="宋体" w:cs="宋体"/>
          <w:bCs/>
          <w:color w:val="auto"/>
          <w:sz w:val="24"/>
          <w:szCs w:val="24"/>
        </w:rPr>
        <w:t>、露天采坑对地貌景观的破坏，矿山生产对生活及工作没有影响，详见附件公众参与调查表。</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rPr>
          <w:rFonts w:hint="eastAsia" w:ascii="宋体" w:hAnsi="宋体" w:eastAsia="宋体" w:cs="宋体"/>
          <w:b/>
          <w:bCs w:val="0"/>
          <w:color w:val="auto"/>
          <w:sz w:val="24"/>
          <w:szCs w:val="24"/>
        </w:rPr>
      </w:pPr>
      <w:r>
        <w:rPr>
          <w:rFonts w:hint="eastAsia" w:ascii="宋体" w:hAnsi="宋体" w:eastAsia="宋体" w:cs="宋体"/>
          <w:b/>
          <w:bCs w:val="0"/>
          <w:color w:val="auto"/>
          <w:sz w:val="24"/>
          <w:szCs w:val="24"/>
        </w:rPr>
        <w:t>5、土地复垦公示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本方案送审稿完成之前，在报送自然资源主管部门评审之前，由</w:t>
      </w:r>
      <w:r>
        <w:rPr>
          <w:rFonts w:hint="eastAsia" w:ascii="宋体" w:hAnsi="宋体" w:eastAsia="宋体" w:cs="宋体"/>
          <w:bCs/>
          <w:color w:val="auto"/>
          <w:sz w:val="24"/>
          <w:szCs w:val="24"/>
          <w:lang w:eastAsia="zh-CN"/>
        </w:rPr>
        <w:t>新疆伽师县西克尔镇4号砖瓦用页岩矿</w:t>
      </w:r>
      <w:r>
        <w:rPr>
          <w:rFonts w:hint="eastAsia" w:ascii="宋体" w:hAnsi="宋体" w:eastAsia="宋体" w:cs="宋体"/>
          <w:bCs/>
          <w:color w:val="auto"/>
          <w:sz w:val="24"/>
          <w:szCs w:val="24"/>
        </w:rPr>
        <w:t>在矿区附近进行了公示。方案向公众公示内容包括：项目情况简介；项目对土地损毁情况简介；损毁土地复垦方案及复垦措施要点介绍；公众查阅土地复垦方案方式和期限；生产建设单位和委托编制单位联系方式及信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bCs/>
          <w:color w:val="auto"/>
          <w:sz w:val="24"/>
          <w:szCs w:val="24"/>
        </w:rPr>
        <w:t>通过矿山地质环境保护与土地复垦现场公示，主要取得了两个方面的成果。一是由公众参与调查问卷可知，项目区矿区职工等对土地复垦相关工作的了解不够。通过公示，公众对矿山损毁土地土地复垦工作所确定的复垦方向、复垦措施有所了解，对于加强对公众的土地复垦宣传工作具有一定的积极作用意义；二是通过本次公示，土地复垦义务人及本方案编制单位未收集到反对意见，表明本方案确定的复垦责任范围、复垦方向、复垦措施、复垦时间等较为合理，能够达到预期复垦效果，具有较强的可操作性。</w:t>
      </w:r>
    </w:p>
    <w:p>
      <w:pPr>
        <w:pStyle w:val="63"/>
        <w:spacing w:before="936"/>
        <w:rPr>
          <w:rFonts w:hint="eastAsia" w:ascii="宋体" w:hAnsi="宋体" w:eastAsia="宋体" w:cs="宋体"/>
          <w:color w:val="auto"/>
          <w:kern w:val="0"/>
        </w:rPr>
      </w:pPr>
    </w:p>
    <w:p>
      <w:pPr>
        <w:pStyle w:val="63"/>
        <w:spacing w:before="936"/>
        <w:rPr>
          <w:rFonts w:hint="eastAsia" w:ascii="宋体" w:hAnsi="宋体" w:eastAsia="宋体" w:cs="宋体"/>
          <w:color w:val="auto"/>
          <w:kern w:val="0"/>
        </w:rPr>
      </w:pPr>
    </w:p>
    <w:p>
      <w:pPr>
        <w:pStyle w:val="63"/>
        <w:spacing w:before="936"/>
        <w:rPr>
          <w:rFonts w:hint="eastAsia" w:ascii="宋体" w:hAnsi="宋体" w:eastAsia="宋体" w:cs="宋体"/>
          <w:color w:val="auto"/>
          <w:kern w:val="0"/>
        </w:rPr>
      </w:pPr>
    </w:p>
    <w:p>
      <w:pPr>
        <w:pStyle w:val="63"/>
        <w:spacing w:before="936"/>
        <w:rPr>
          <w:rFonts w:hint="eastAsia" w:ascii="宋体" w:hAnsi="宋体" w:eastAsia="宋体" w:cs="宋体"/>
          <w:color w:val="auto"/>
          <w:kern w:val="0"/>
        </w:rPr>
      </w:pPr>
    </w:p>
    <w:p>
      <w:pPr>
        <w:pStyle w:val="63"/>
        <w:spacing w:before="936"/>
        <w:rPr>
          <w:rFonts w:hint="eastAsia" w:ascii="宋体" w:hAnsi="宋体" w:eastAsia="宋体" w:cs="宋体"/>
          <w:color w:val="auto"/>
          <w:kern w:val="0"/>
        </w:rPr>
      </w:pPr>
    </w:p>
    <w:p>
      <w:pPr>
        <w:rPr>
          <w:rFonts w:hint="eastAsia" w:ascii="宋体" w:hAnsi="宋体" w:eastAsia="宋体" w:cs="宋体"/>
          <w:b/>
          <w:bCs w:val="0"/>
          <w:color w:val="auto"/>
        </w:rPr>
      </w:pPr>
      <w:r>
        <w:rPr>
          <w:rFonts w:hint="eastAsia" w:ascii="宋体" w:hAnsi="宋体" w:eastAsia="宋体" w:cs="宋体"/>
          <w:b/>
          <w:bCs w:val="0"/>
          <w:color w:val="auto"/>
        </w:rPr>
        <w:br w:type="page"/>
      </w:r>
    </w:p>
    <w:p>
      <w:pPr>
        <w:pStyle w:val="2"/>
        <w:spacing w:before="360" w:beforeLines="150" w:after="240" w:afterLines="100" w:afterAutospacing="0" w:line="360" w:lineRule="auto"/>
        <w:jc w:val="center"/>
        <w:rPr>
          <w:rFonts w:hint="eastAsia" w:ascii="宋体" w:hAnsi="宋体" w:eastAsia="宋体" w:cs="宋体"/>
          <w:b/>
          <w:bCs w:val="0"/>
          <w:color w:val="auto"/>
        </w:rPr>
      </w:pPr>
      <w:bookmarkStart w:id="282" w:name="_Toc5921"/>
      <w:r>
        <w:rPr>
          <w:rFonts w:hint="eastAsia" w:ascii="宋体" w:hAnsi="宋体" w:eastAsia="宋体" w:cs="宋体"/>
          <w:b/>
          <w:bCs w:val="0"/>
          <w:color w:val="auto"/>
        </w:rPr>
        <w:t>第七章  结论与建议</w:t>
      </w:r>
      <w:bookmarkEnd w:id="240"/>
      <w:bookmarkEnd w:id="241"/>
      <w:bookmarkEnd w:id="242"/>
      <w:bookmarkEnd w:id="243"/>
      <w:bookmarkEnd w:id="244"/>
      <w:bookmarkEnd w:id="282"/>
    </w:p>
    <w:p>
      <w:pPr>
        <w:spacing w:line="360" w:lineRule="auto"/>
        <w:ind w:firstLine="602" w:firstLineChars="200"/>
        <w:outlineLvl w:val="1"/>
        <w:rPr>
          <w:rFonts w:hint="eastAsia" w:ascii="宋体" w:hAnsi="宋体" w:eastAsia="宋体" w:cs="宋体"/>
          <w:b/>
          <w:color w:val="auto"/>
          <w:sz w:val="30"/>
          <w:szCs w:val="30"/>
        </w:rPr>
      </w:pPr>
      <w:bookmarkStart w:id="283" w:name="_Toc27661"/>
      <w:bookmarkStart w:id="284" w:name="_Toc31848"/>
      <w:bookmarkStart w:id="285" w:name="_Toc9902"/>
      <w:bookmarkStart w:id="286" w:name="_Toc12577"/>
      <w:bookmarkStart w:id="287" w:name="_Toc25267"/>
      <w:bookmarkStart w:id="288" w:name="_Toc8138"/>
      <w:bookmarkStart w:id="289" w:name="_Toc532760479"/>
      <w:r>
        <w:rPr>
          <w:rFonts w:hint="eastAsia" w:ascii="宋体" w:hAnsi="宋体" w:eastAsia="宋体" w:cs="宋体"/>
          <w:b/>
          <w:color w:val="auto"/>
          <w:sz w:val="30"/>
          <w:szCs w:val="30"/>
        </w:rPr>
        <w:t>一、主要结论</w:t>
      </w:r>
      <w:bookmarkEnd w:id="283"/>
      <w:bookmarkEnd w:id="284"/>
      <w:bookmarkEnd w:id="285"/>
      <w:bookmarkEnd w:id="286"/>
      <w:bookmarkEnd w:id="287"/>
      <w:bookmarkEnd w:id="288"/>
      <w:bookmarkEnd w:id="289"/>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bookmarkStart w:id="290" w:name="_Toc28624"/>
      <w:r>
        <w:rPr>
          <w:rFonts w:hint="eastAsia" w:ascii="Times New Roman" w:hAnsi="Times New Roman" w:eastAsia="宋体" w:cs="Times New Roman"/>
          <w:color w:val="auto"/>
          <w:sz w:val="28"/>
          <w:szCs w:val="28"/>
          <w:lang w:eastAsia="zh-CN"/>
        </w:rPr>
        <w:t>（一）</w:t>
      </w:r>
      <w:bookmarkEnd w:id="290"/>
      <w:r>
        <w:rPr>
          <w:rFonts w:hint="eastAsia" w:ascii="Times New Roman" w:hAnsi="Times New Roman" w:eastAsia="宋体" w:cs="Times New Roman"/>
          <w:color w:val="auto"/>
          <w:sz w:val="28"/>
          <w:szCs w:val="28"/>
          <w:lang w:eastAsia="zh-CN"/>
        </w:rPr>
        <w:t>矿产资源开发利用主要结论</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pacing w:val="-2"/>
          <w:sz w:val="24"/>
          <w:szCs w:val="24"/>
          <w:vertAlign w:val="baseline"/>
          <w:lang w:eastAsia="zh-CN"/>
        </w:rPr>
      </w:pPr>
      <w:r>
        <w:rPr>
          <w:rFonts w:hint="eastAsia" w:ascii="宋体" w:hAnsi="宋体" w:eastAsia="宋体" w:cs="宋体"/>
          <w:b/>
          <w:bCs/>
          <w:color w:val="auto"/>
          <w:sz w:val="24"/>
          <w:szCs w:val="24"/>
        </w:rPr>
        <w:t>1、</w:t>
      </w:r>
      <w:r>
        <w:rPr>
          <w:rFonts w:hint="eastAsia" w:ascii="宋体" w:hAnsi="宋体" w:eastAsia="宋体" w:cs="宋体"/>
          <w:b/>
          <w:bCs/>
          <w:color w:val="auto"/>
          <w:sz w:val="24"/>
          <w:szCs w:val="24"/>
          <w:lang w:val="en-US" w:eastAsia="zh-CN"/>
        </w:rPr>
        <w:t>地质报告评审通过资源</w:t>
      </w:r>
      <w:r>
        <w:rPr>
          <w:rFonts w:hint="eastAsia" w:ascii="宋体" w:hAnsi="宋体" w:eastAsia="宋体" w:cs="宋体"/>
          <w:b/>
          <w:bCs/>
          <w:color w:val="auto"/>
          <w:sz w:val="24"/>
          <w:szCs w:val="24"/>
        </w:rPr>
        <w:t xml:space="preserve">量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pacing w:val="-2"/>
          <w:sz w:val="24"/>
          <w:szCs w:val="24"/>
          <w:vertAlign w:val="baseline"/>
          <w:lang w:eastAsia="zh-CN"/>
        </w:rPr>
      </w:pPr>
      <w:r>
        <w:rPr>
          <w:rFonts w:hint="eastAsia" w:ascii="宋体" w:hAnsi="宋体" w:eastAsia="宋体" w:cs="宋体"/>
          <w:color w:val="auto"/>
          <w:sz w:val="24"/>
          <w:szCs w:val="24"/>
          <w:highlight w:val="none"/>
          <w:lang w:val="en-US" w:eastAsia="zh-CN"/>
        </w:rPr>
        <w:t>根据《新疆伽师县西克尔镇4号砖瓦用页岩矿普查报告》矿产资源储量评审意见书（喀自然储备字[2024] 号），截止2024年9月7日，普查区范围内共求得砖用页岩矿保有资源量</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lang w:val="en-US" w:eastAsia="zh-CN"/>
        </w:rPr>
        <w:t>万t)，其中推断资源量</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lang w:val="en-US" w:eastAsia="zh-CN"/>
        </w:rPr>
        <w:t>万t)。普查区内夹石量</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lang w:val="en-US" w:eastAsia="zh-CN"/>
        </w:rPr>
        <w:t>万m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，总剥采比0.10:1m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z w:val="24"/>
          <w:szCs w:val="24"/>
          <w:highlight w:val="none"/>
          <w:lang w:val="en-US" w:eastAsia="zh-CN"/>
        </w:rPr>
        <w:t>/m</w:t>
      </w:r>
      <w:r>
        <w:rPr>
          <w:rFonts w:hint="eastAsia" w:ascii="宋体" w:hAnsi="宋体" w:eastAsia="宋体" w:cs="宋体"/>
          <w:color w:val="auto"/>
          <w:sz w:val="24"/>
          <w:szCs w:val="24"/>
          <w:highlight w:val="none"/>
          <w:vertAlign w:val="superscript"/>
          <w:lang w:val="en-US" w:eastAsia="zh-CN"/>
        </w:rPr>
        <w:t>3</w:t>
      </w:r>
      <w:r>
        <w:rPr>
          <w:rFonts w:hint="eastAsia" w:ascii="宋体" w:hAnsi="宋体" w:eastAsia="宋体" w:cs="宋体"/>
          <w:color w:val="auto"/>
          <w:spacing w:val="-2"/>
          <w:sz w:val="24"/>
          <w:szCs w:val="24"/>
          <w:vertAlign w:val="baseli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66" w:firstLineChars="200"/>
        <w:jc w:val="both"/>
        <w:textAlignment w:val="auto"/>
        <w:outlineLvl w:val="9"/>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lang w:val="en-US" w:eastAsia="zh-CN"/>
        </w:rPr>
        <w:t>2、</w:t>
      </w:r>
      <w:r>
        <w:rPr>
          <w:rFonts w:hint="eastAsia" w:ascii="宋体" w:hAnsi="宋体" w:eastAsia="宋体" w:cs="宋体"/>
          <w:b/>
          <w:bCs/>
          <w:color w:val="auto"/>
          <w:spacing w:val="-4"/>
          <w:sz w:val="24"/>
          <w:szCs w:val="24"/>
          <w:highlight w:val="none"/>
        </w:rPr>
        <w:t>设计利用矿产资源储量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4" w:firstLineChars="200"/>
        <w:jc w:val="both"/>
        <w:textAlignment w:val="auto"/>
        <w:outlineLvl w:val="9"/>
        <w:rPr>
          <w:rFonts w:hint="eastAsia" w:ascii="宋体" w:hAnsi="宋体" w:eastAsia="宋体" w:cs="宋体"/>
          <w:color w:val="auto"/>
          <w:spacing w:val="-2"/>
          <w:sz w:val="24"/>
          <w:szCs w:val="24"/>
          <w:lang w:val="zh-CN"/>
        </w:rPr>
      </w:pPr>
      <w:r>
        <w:rPr>
          <w:rFonts w:hint="eastAsia" w:ascii="宋体" w:hAnsi="宋体" w:eastAsia="宋体" w:cs="宋体"/>
          <w:color w:val="auto"/>
          <w:spacing w:val="-4"/>
          <w:sz w:val="24"/>
          <w:szCs w:val="24"/>
          <w:highlight w:val="none"/>
        </w:rPr>
        <w:t>依据</w:t>
      </w:r>
      <w:r>
        <w:rPr>
          <w:rFonts w:hint="eastAsia" w:ascii="宋体" w:hAnsi="宋体" w:eastAsia="宋体" w:cs="宋体"/>
          <w:color w:val="auto"/>
          <w:spacing w:val="-4"/>
          <w:sz w:val="24"/>
          <w:szCs w:val="24"/>
          <w:highlight w:val="none"/>
          <w:lang w:val="en-US" w:eastAsia="zh-CN"/>
        </w:rPr>
        <w:t>确定的开采范围进行</w:t>
      </w:r>
      <w:r>
        <w:rPr>
          <w:rFonts w:hint="eastAsia" w:ascii="宋体" w:hAnsi="宋体" w:eastAsia="宋体" w:cs="宋体"/>
          <w:color w:val="auto"/>
          <w:spacing w:val="-4"/>
          <w:sz w:val="24"/>
          <w:szCs w:val="24"/>
          <w:highlight w:val="none"/>
        </w:rPr>
        <w:t>露天最终</w:t>
      </w:r>
      <w:r>
        <w:rPr>
          <w:rFonts w:hint="eastAsia" w:ascii="宋体" w:hAnsi="宋体" w:eastAsia="宋体" w:cs="宋体"/>
          <w:color w:val="auto"/>
          <w:spacing w:val="-4"/>
          <w:sz w:val="24"/>
          <w:szCs w:val="24"/>
          <w:highlight w:val="none"/>
          <w:lang w:val="en-US" w:eastAsia="zh-CN"/>
        </w:rPr>
        <w:t>境界及</w:t>
      </w:r>
      <w:r>
        <w:rPr>
          <w:rFonts w:hint="eastAsia" w:ascii="宋体" w:hAnsi="宋体" w:eastAsia="宋体" w:cs="宋体"/>
          <w:color w:val="auto"/>
          <w:spacing w:val="-4"/>
          <w:sz w:val="24"/>
          <w:szCs w:val="24"/>
          <w:highlight w:val="none"/>
        </w:rPr>
        <w:t>平面图</w:t>
      </w:r>
      <w:r>
        <w:rPr>
          <w:rFonts w:hint="eastAsia" w:ascii="宋体" w:hAnsi="宋体" w:eastAsia="宋体" w:cs="宋体"/>
          <w:color w:val="auto"/>
          <w:spacing w:val="-4"/>
          <w:sz w:val="24"/>
          <w:szCs w:val="24"/>
          <w:highlight w:val="none"/>
          <w:lang w:val="en-US" w:eastAsia="zh-CN"/>
        </w:rPr>
        <w:t>的绘制计算</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val="en-US" w:eastAsia="zh-CN"/>
        </w:rPr>
        <w:t>设计利用资源量为露天开采境界内资源量</w:t>
      </w:r>
      <w:r>
        <w:rPr>
          <w:rFonts w:hint="eastAsia" w:ascii="宋体" w:hAnsi="宋体" w:eastAsia="宋体" w:cs="宋体"/>
          <w:color w:val="auto"/>
          <w:spacing w:val="-4"/>
          <w:sz w:val="24"/>
          <w:szCs w:val="24"/>
          <w:highlight w:val="none"/>
          <w:lang w:eastAsia="zh-CN"/>
        </w:rPr>
        <w:t>，</w:t>
      </w:r>
      <w:r>
        <w:rPr>
          <w:rFonts w:hint="eastAsia" w:ascii="宋体" w:hAnsi="宋体" w:eastAsia="宋体" w:cs="宋体"/>
          <w:color w:val="auto"/>
          <w:spacing w:val="-4"/>
          <w:sz w:val="24"/>
          <w:szCs w:val="24"/>
          <w:highlight w:val="none"/>
          <w:lang w:val="en-US" w:eastAsia="zh-CN"/>
        </w:rPr>
        <w:t>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4"/>
          <w:sz w:val="24"/>
          <w:szCs w:val="24"/>
          <w:highlight w:val="none"/>
          <w:lang w:val="en-US" w:eastAsia="zh-CN"/>
        </w:rPr>
        <w:t>万m³</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4"/>
          <w:sz w:val="24"/>
          <w:szCs w:val="24"/>
          <w:highlight w:val="none"/>
          <w:lang w:val="en-US" w:eastAsia="zh-CN"/>
        </w:rPr>
        <w:t>设计损失量</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4"/>
          <w:sz w:val="24"/>
          <w:szCs w:val="24"/>
          <w:highlight w:val="none"/>
          <w:lang w:val="en-US" w:eastAsia="zh-CN"/>
        </w:rPr>
        <w:t>万m³，设计损失率</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4"/>
          <w:sz w:val="24"/>
          <w:szCs w:val="24"/>
          <w:highlight w:val="none"/>
          <w:lang w:val="en-US" w:eastAsia="zh-CN"/>
        </w:rPr>
        <w:t>%</w:t>
      </w:r>
      <w:r>
        <w:rPr>
          <w:rFonts w:hint="eastAsia" w:ascii="宋体" w:hAnsi="宋体" w:eastAsia="宋体" w:cs="宋体"/>
          <w:color w:val="auto"/>
          <w:spacing w:val="-2"/>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66" w:firstLineChars="200"/>
        <w:jc w:val="both"/>
        <w:textAlignment w:val="auto"/>
        <w:outlineLvl w:val="9"/>
        <w:rPr>
          <w:rFonts w:hint="eastAsia" w:ascii="宋体" w:hAnsi="宋体" w:eastAsia="宋体" w:cs="宋体"/>
          <w:b/>
          <w:bCs/>
          <w:color w:val="auto"/>
          <w:spacing w:val="-4"/>
          <w:sz w:val="24"/>
          <w:szCs w:val="24"/>
        </w:rPr>
      </w:pPr>
      <w:r>
        <w:rPr>
          <w:rFonts w:hint="eastAsia" w:ascii="宋体" w:hAnsi="宋体" w:eastAsia="宋体" w:cs="宋体"/>
          <w:b/>
          <w:bCs/>
          <w:color w:val="auto"/>
          <w:spacing w:val="-4"/>
          <w:sz w:val="24"/>
          <w:szCs w:val="24"/>
          <w:lang w:val="en-US" w:eastAsia="zh-CN"/>
        </w:rPr>
        <w:t>3</w:t>
      </w:r>
      <w:r>
        <w:rPr>
          <w:rFonts w:hint="eastAsia" w:ascii="宋体" w:hAnsi="宋体" w:eastAsia="宋体" w:cs="宋体"/>
          <w:b/>
          <w:bCs/>
          <w:color w:val="auto"/>
          <w:spacing w:val="-4"/>
          <w:sz w:val="24"/>
          <w:szCs w:val="24"/>
        </w:rPr>
        <w:t>、开采</w:t>
      </w:r>
      <w:r>
        <w:rPr>
          <w:rFonts w:hint="eastAsia" w:ascii="宋体" w:hAnsi="宋体" w:eastAsia="宋体" w:cs="宋体"/>
          <w:b/>
          <w:bCs/>
          <w:color w:val="auto"/>
          <w:spacing w:val="-4"/>
          <w:sz w:val="24"/>
          <w:szCs w:val="24"/>
          <w:lang w:eastAsia="zh-CN"/>
        </w:rPr>
        <w:t>方式、开采</w:t>
      </w:r>
      <w:r>
        <w:rPr>
          <w:rFonts w:hint="eastAsia" w:ascii="宋体" w:hAnsi="宋体" w:eastAsia="宋体" w:cs="宋体"/>
          <w:b/>
          <w:bCs/>
          <w:color w:val="auto"/>
          <w:spacing w:val="-4"/>
          <w:sz w:val="24"/>
          <w:szCs w:val="24"/>
        </w:rPr>
        <w:t>范围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7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color w:val="auto"/>
          <w:spacing w:val="-2"/>
          <w:sz w:val="24"/>
          <w:szCs w:val="24"/>
        </w:rPr>
        <w:t>设计</w:t>
      </w:r>
      <w:r>
        <w:rPr>
          <w:rFonts w:hint="eastAsia" w:ascii="宋体" w:hAnsi="宋体" w:eastAsia="宋体" w:cs="宋体"/>
          <w:color w:val="auto"/>
          <w:spacing w:val="-2"/>
          <w:sz w:val="24"/>
          <w:szCs w:val="24"/>
          <w:lang w:eastAsia="zh-CN"/>
        </w:rPr>
        <w:t>采用露天开采；</w:t>
      </w:r>
      <w:r>
        <w:rPr>
          <w:rFonts w:hint="eastAsia" w:ascii="宋体" w:hAnsi="宋体" w:eastAsia="宋体" w:cs="宋体"/>
          <w:color w:val="auto"/>
          <w:spacing w:val="-2"/>
          <w:sz w:val="24"/>
          <w:szCs w:val="24"/>
        </w:rPr>
        <w:t>开采范围为</w:t>
      </w:r>
      <w:r>
        <w:rPr>
          <w:rFonts w:hint="eastAsia" w:ascii="宋体" w:hAnsi="宋体" w:eastAsia="宋体" w:cs="宋体"/>
          <w:color w:val="auto"/>
          <w:spacing w:val="-2"/>
          <w:sz w:val="24"/>
          <w:szCs w:val="24"/>
          <w:lang w:eastAsia="zh-CN"/>
        </w:rPr>
        <w:t>核实</w:t>
      </w:r>
      <w:r>
        <w:rPr>
          <w:rFonts w:hint="eastAsia" w:ascii="宋体" w:hAnsi="宋体" w:eastAsia="宋体" w:cs="宋体"/>
          <w:color w:val="auto"/>
          <w:spacing w:val="-2"/>
          <w:sz w:val="24"/>
          <w:szCs w:val="24"/>
        </w:rPr>
        <w:t>报告的资源储量估算范围，资源量估算标高</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2"/>
          <w:sz w:val="24"/>
          <w:szCs w:val="24"/>
        </w:rPr>
        <w:t>m至</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2"/>
          <w:sz w:val="24"/>
          <w:szCs w:val="24"/>
        </w:rPr>
        <w:t>m</w:t>
      </w:r>
      <w:r>
        <w:rPr>
          <w:rFonts w:hint="eastAsia" w:ascii="宋体" w:hAnsi="宋体" w:eastAsia="宋体" w:cs="宋体"/>
          <w:color w:val="auto"/>
          <w:spacing w:val="-2"/>
          <w:sz w:val="24"/>
          <w:szCs w:val="24"/>
          <w:lang w:eastAsia="zh-CN"/>
        </w:rPr>
        <w:t>。</w:t>
      </w:r>
      <w:r>
        <w:rPr>
          <w:rFonts w:hint="eastAsia" w:ascii="宋体" w:hAnsi="宋体" w:eastAsia="宋体" w:cs="宋体"/>
          <w:color w:val="auto"/>
          <w:spacing w:val="-2"/>
          <w:sz w:val="24"/>
          <w:szCs w:val="24"/>
        </w:rPr>
        <w:t>最低开采标高</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2"/>
          <w:sz w:val="24"/>
          <w:szCs w:val="24"/>
        </w:rPr>
        <w:t>m，最高开采标高</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pacing w:val="-2"/>
          <w:sz w:val="24"/>
          <w:szCs w:val="24"/>
        </w:rPr>
        <w:t>m</w:t>
      </w:r>
      <w:r>
        <w:rPr>
          <w:rFonts w:hint="eastAsia" w:ascii="宋体" w:hAnsi="宋体" w:eastAsia="宋体" w:cs="宋体"/>
          <w:color w:val="auto"/>
          <w:spacing w:val="-4"/>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rPr>
        <w:t>矿山生产规模</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年</w:t>
      </w:r>
      <w:r>
        <w:rPr>
          <w:rFonts w:hint="eastAsia" w:ascii="宋体" w:hAnsi="宋体" w:eastAsia="宋体" w:cs="宋体"/>
          <w:b w:val="0"/>
          <w:bCs w:val="0"/>
          <w:color w:val="auto"/>
          <w:sz w:val="24"/>
          <w:szCs w:val="24"/>
          <w:lang w:val="en-US" w:eastAsia="zh-CN"/>
        </w:rPr>
        <w:t>开采砖瓦用页岩矿石20万m³/年</w:t>
      </w:r>
      <w:r>
        <w:rPr>
          <w:rFonts w:hint="eastAsia" w:ascii="宋体" w:hAnsi="宋体" w:eastAsia="宋体" w:cs="宋体"/>
          <w:b w:val="0"/>
          <w:bCs w:val="0"/>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bCs/>
          <w:color w:val="auto"/>
          <w:sz w:val="24"/>
          <w:szCs w:val="24"/>
          <w:lang w:val="en-US" w:eastAsia="zh-CN" w:bidi="ar-SA"/>
        </w:rPr>
        <w:t>5、</w:t>
      </w:r>
      <w:r>
        <w:rPr>
          <w:rFonts w:hint="eastAsia" w:ascii="宋体" w:hAnsi="宋体" w:eastAsia="宋体" w:cs="宋体"/>
          <w:b/>
          <w:bCs/>
          <w:color w:val="auto"/>
          <w:sz w:val="24"/>
          <w:szCs w:val="24"/>
        </w:rPr>
        <w:t>矿山服务年限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right="0" w:rightChars="0" w:firstLine="480" w:firstLineChars="200"/>
        <w:jc w:val="both"/>
        <w:textAlignment w:val="auto"/>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矿山服务年限27.20</w:t>
      </w:r>
      <w:r>
        <w:rPr>
          <w:rFonts w:hint="eastAsia" w:ascii="宋体" w:hAnsi="宋体" w:eastAsia="宋体" w:cs="宋体"/>
          <w:color w:val="auto"/>
          <w:sz w:val="24"/>
          <w:szCs w:val="24"/>
          <w:lang w:val="en-US" w:eastAsia="zh-CN"/>
        </w:rPr>
        <w:t>年</w:t>
      </w:r>
      <w:r>
        <w:rPr>
          <w:rFonts w:hint="eastAsia" w:ascii="宋体" w:hAnsi="宋体" w:eastAsia="宋体" w:cs="宋体"/>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 xml:space="preserve">、产品方案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原矿（块度≤300mm）</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7</w:t>
      </w:r>
      <w:r>
        <w:rPr>
          <w:rFonts w:hint="eastAsia" w:ascii="宋体" w:hAnsi="宋体" w:eastAsia="宋体" w:cs="宋体"/>
          <w:b/>
          <w:bCs/>
          <w:color w:val="auto"/>
          <w:sz w:val="24"/>
          <w:szCs w:val="24"/>
        </w:rPr>
        <w:t xml:space="preserve">、开拓运输方案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公路开拓，汽车运输。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8</w:t>
      </w:r>
      <w:r>
        <w:rPr>
          <w:rFonts w:hint="eastAsia" w:ascii="宋体" w:hAnsi="宋体" w:eastAsia="宋体" w:cs="宋体"/>
          <w:b/>
          <w:bCs/>
          <w:color w:val="auto"/>
          <w:sz w:val="24"/>
          <w:szCs w:val="24"/>
        </w:rPr>
        <w:t xml:space="preserve">、采剥方法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自上而下水平分层、台阶式采矿法。采矿回采率</w:t>
      </w:r>
      <w:r>
        <w:rPr>
          <w:rFonts w:hint="eastAsia" w:ascii="宋体" w:hAnsi="宋体" w:eastAsia="宋体" w:cs="宋体"/>
          <w:color w:val="auto"/>
          <w:sz w:val="24"/>
          <w:szCs w:val="24"/>
          <w:lang w:val="en-US" w:eastAsia="zh-CN"/>
        </w:rPr>
        <w:t>98%</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采剥工艺流程：</w:t>
      </w:r>
      <w:r>
        <w:rPr>
          <w:rFonts w:hint="eastAsia" w:ascii="宋体" w:hAnsi="宋体" w:eastAsia="宋体" w:cs="宋体"/>
          <w:color w:val="auto"/>
          <w:sz w:val="24"/>
          <w:szCs w:val="24"/>
          <w:lang w:val="en-US" w:eastAsia="zh-CN"/>
        </w:rPr>
        <w:t>挖掘机</w:t>
      </w:r>
      <w:r>
        <w:rPr>
          <w:rFonts w:hint="eastAsia" w:ascii="宋体" w:hAnsi="宋体" w:eastAsia="宋体" w:cs="宋体"/>
          <w:color w:val="auto"/>
          <w:sz w:val="24"/>
          <w:szCs w:val="24"/>
        </w:rPr>
        <w:t>采装、自卸汽车运输。</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 xml:space="preserve">、综合回收方案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科学开采，减少资源损失，提高采矿回采率。</w:t>
      </w:r>
      <w:r>
        <w:rPr>
          <w:rFonts w:hint="eastAsia" w:ascii="宋体" w:hAnsi="宋体" w:eastAsia="宋体" w:cs="宋体"/>
          <w:color w:val="auto"/>
          <w:sz w:val="24"/>
          <w:szCs w:val="24"/>
          <w:lang w:val="en-US" w:eastAsia="zh-CN"/>
        </w:rPr>
        <w:t>本矿山固体废弃物处置率可达到100%，部分用于修建道路，剩余部分回填采坑。</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10</w:t>
      </w:r>
      <w:r>
        <w:rPr>
          <w:rFonts w:hint="eastAsia" w:ascii="宋体" w:hAnsi="宋体" w:eastAsia="宋体" w:cs="宋体"/>
          <w:b/>
          <w:bCs/>
          <w:color w:val="auto"/>
          <w:sz w:val="24"/>
          <w:szCs w:val="24"/>
        </w:rPr>
        <w:t xml:space="preserve">、对工程项目扼要综合评价 </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outlineLvl w:val="9"/>
        <w:rPr>
          <w:rFonts w:hint="eastAsia" w:ascii="宋体" w:hAnsi="宋体" w:eastAsia="宋体" w:cs="宋体"/>
          <w:color w:val="auto"/>
        </w:rPr>
      </w:pPr>
      <w:r>
        <w:rPr>
          <w:rFonts w:hint="eastAsia" w:ascii="宋体" w:hAnsi="宋体" w:eastAsia="宋体" w:cs="宋体"/>
          <w:color w:val="auto"/>
          <w:sz w:val="24"/>
          <w:szCs w:val="24"/>
        </w:rPr>
        <w:t>开发利用方案依据的地质资料可靠，矿山开采条件及其他外部条件好，设计采用的开采方式、开拓运输方案、采剥方法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开采工艺</w:t>
      </w:r>
      <w:r>
        <w:rPr>
          <w:rFonts w:hint="eastAsia" w:ascii="宋体" w:hAnsi="宋体" w:eastAsia="宋体" w:cs="宋体"/>
          <w:color w:val="auto"/>
          <w:sz w:val="24"/>
          <w:szCs w:val="24"/>
          <w:lang w:val="en-US" w:eastAsia="zh-CN"/>
        </w:rPr>
        <w:t>流程</w:t>
      </w:r>
      <w:r>
        <w:rPr>
          <w:rFonts w:hint="eastAsia" w:ascii="宋体" w:hAnsi="宋体" w:eastAsia="宋体" w:cs="宋体"/>
          <w:color w:val="auto"/>
          <w:sz w:val="24"/>
          <w:szCs w:val="24"/>
        </w:rPr>
        <w:t>符合矿山实际，合理可行。矿山建成后有较好的经济效益和社会效益。</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bookmarkStart w:id="291" w:name="_Toc11417"/>
      <w:r>
        <w:rPr>
          <w:rFonts w:hint="eastAsia"/>
          <w:color w:val="auto"/>
          <w:sz w:val="28"/>
          <w:szCs w:val="28"/>
          <w:lang w:eastAsia="zh-CN"/>
        </w:rPr>
        <w:t>（二）地质环境治理和土地复垦</w:t>
      </w:r>
      <w:bookmarkEnd w:id="291"/>
      <w:r>
        <w:rPr>
          <w:rFonts w:hint="eastAsia"/>
          <w:color w:val="auto"/>
          <w:sz w:val="28"/>
          <w:szCs w:val="28"/>
          <w:lang w:eastAsia="zh-CN"/>
        </w:rPr>
        <w:t>主要结论</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bookmarkStart w:id="292" w:name="_Toc26678"/>
      <w:bookmarkStart w:id="293" w:name="_Toc6088"/>
      <w:bookmarkStart w:id="294" w:name="_Toc32033"/>
      <w:bookmarkStart w:id="295" w:name="_Toc532760480"/>
      <w:bookmarkStart w:id="296" w:name="_Toc3677"/>
      <w:r>
        <w:rPr>
          <w:rFonts w:hint="eastAsia" w:ascii="宋体" w:hAnsi="宋体" w:eastAsia="宋体" w:cs="宋体"/>
          <w:b/>
          <w:bCs/>
          <w:color w:val="auto"/>
          <w:sz w:val="24"/>
          <w:szCs w:val="24"/>
        </w:rPr>
        <w:t>1、矿山地质环境影响现状评估</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矿山地质环境影响现状评估划分为较轻区：</w:t>
      </w:r>
    </w:p>
    <w:p>
      <w:pPr>
        <w:keepNext w:val="0"/>
        <w:keepLines w:val="0"/>
        <w:pageBreakBefore w:val="0"/>
        <w:widowControl w:val="0"/>
        <w:kinsoku/>
        <w:wordWrap/>
        <w:overflowPunct/>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较轻区：占地面积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公顷，矿区目前为原始地貌,</w:t>
      </w:r>
      <w:r>
        <w:rPr>
          <w:rFonts w:hint="eastAsia" w:ascii="宋体" w:hAnsi="宋体" w:cs="宋体"/>
          <w:color w:val="auto"/>
          <w:sz w:val="24"/>
          <w:szCs w:val="24"/>
          <w:lang w:val="en-US" w:eastAsia="zh-CN"/>
        </w:rPr>
        <w:t>未</w:t>
      </w:r>
      <w:r>
        <w:rPr>
          <w:rFonts w:hint="eastAsia" w:ascii="宋体" w:hAnsi="宋体" w:eastAsia="宋体" w:cs="宋体"/>
          <w:color w:val="auto"/>
          <w:sz w:val="24"/>
          <w:szCs w:val="24"/>
        </w:rPr>
        <w:t>开展工程，现状下未进行开采；矿山无工作人员，现状条件下无生产废水及生活污水产生，对矿区地下水水环境无影响。矿区目前未进行生产建设，故矿区无土壤污染危害风险。矿山活动对区域内土壤环境质量无污染，对土壤污染影响程度较轻</w:t>
      </w:r>
      <w:r>
        <w:rPr>
          <w:rFonts w:hint="eastAsia" w:ascii="宋体" w:hAnsi="宋体" w:eastAsia="宋体" w:cs="宋体"/>
          <w:color w:val="auto"/>
          <w:sz w:val="24"/>
          <w:szCs w:val="24"/>
          <w:lang w:eastAsia="zh-CN"/>
        </w:rPr>
        <w:t>。</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2、矿山地质环境影响预测评估</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矿山地质环境影响预测评估划分为严重区</w:t>
      </w:r>
      <w:r>
        <w:rPr>
          <w:rFonts w:hint="eastAsia" w:ascii="宋体" w:hAnsi="宋体" w:cs="宋体"/>
          <w:color w:val="auto"/>
          <w:sz w:val="24"/>
          <w:szCs w:val="24"/>
          <w:lang w:eastAsia="zh-CN"/>
        </w:rPr>
        <w:t>、</w:t>
      </w:r>
      <w:r>
        <w:rPr>
          <w:rFonts w:hint="eastAsia" w:ascii="宋体" w:hAnsi="宋体" w:eastAsia="宋体" w:cs="宋体"/>
          <w:color w:val="auto"/>
          <w:sz w:val="24"/>
          <w:szCs w:val="24"/>
        </w:rPr>
        <w:t>较严重区和较轻区</w:t>
      </w:r>
      <w:r>
        <w:rPr>
          <w:rFonts w:hint="eastAsia" w:ascii="宋体" w:hAnsi="宋体" w:cs="宋体"/>
          <w:color w:val="auto"/>
          <w:sz w:val="24"/>
          <w:szCs w:val="24"/>
          <w:lang w:val="en-US" w:eastAsia="zh-CN"/>
        </w:rPr>
        <w:t>三</w:t>
      </w:r>
      <w:r>
        <w:rPr>
          <w:rFonts w:hint="eastAsia" w:ascii="宋体" w:hAnsi="宋体" w:eastAsia="宋体" w:cs="宋体"/>
          <w:color w:val="auto"/>
          <w:sz w:val="24"/>
          <w:szCs w:val="24"/>
        </w:rPr>
        <w:t>个分区：</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严重区：占地面积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公顷，分布范围</w:t>
      </w:r>
      <w:r>
        <w:rPr>
          <w:rFonts w:hint="eastAsia" w:ascii="宋体" w:hAnsi="宋体" w:cs="宋体"/>
          <w:color w:val="auto"/>
          <w:sz w:val="24"/>
          <w:szCs w:val="24"/>
          <w:lang w:val="en-US" w:eastAsia="zh-CN"/>
        </w:rPr>
        <w:t>规划露天采矿场</w:t>
      </w:r>
      <w:r>
        <w:rPr>
          <w:rFonts w:hint="eastAsia" w:ascii="宋体" w:hAnsi="宋体" w:eastAsia="宋体" w:cs="宋体"/>
          <w:color w:val="auto"/>
          <w:sz w:val="24"/>
          <w:szCs w:val="24"/>
        </w:rPr>
        <w:t>，现状下崩塌地质灾害危害程度</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，危险性</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泥石流地质灾害危害程度小，危险性小；预测评估地面塌陷、地裂缝、地面沉降地质灾害危害程度小，危险性小，预测评估地质灾害对矿山地质灾害的影响程度小；地形地貌景观的破坏对矿山地质环境影响程度严重，含水层、水土污染对矿山地质环境影响程度较轻。</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较严重区：占地面积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公顷，分布范围为</w:t>
      </w:r>
      <w:r>
        <w:rPr>
          <w:rFonts w:hint="eastAsia" w:ascii="宋体" w:hAnsi="宋体" w:eastAsia="宋体" w:cs="宋体"/>
          <w:color w:val="auto"/>
          <w:sz w:val="24"/>
          <w:szCs w:val="24"/>
          <w:lang w:val="en-US" w:eastAsia="zh-CN"/>
        </w:rPr>
        <w:t>拟建排土场</w:t>
      </w:r>
      <w:r>
        <w:rPr>
          <w:rFonts w:hint="eastAsia" w:ascii="宋体" w:hAnsi="宋体" w:cs="宋体"/>
          <w:color w:val="auto"/>
          <w:sz w:val="24"/>
          <w:szCs w:val="24"/>
          <w:lang w:val="en-US" w:eastAsia="zh-CN"/>
        </w:rPr>
        <w:t>、拟建</w:t>
      </w:r>
      <w:r>
        <w:rPr>
          <w:rFonts w:hint="eastAsia" w:ascii="宋体" w:hAnsi="宋体" w:eastAsia="宋体" w:cs="宋体"/>
          <w:color w:val="auto"/>
          <w:sz w:val="24"/>
          <w:szCs w:val="24"/>
        </w:rPr>
        <w:t>生活区</w:t>
      </w:r>
      <w:r>
        <w:rPr>
          <w:rFonts w:hint="eastAsia" w:ascii="宋体" w:hAnsi="宋体" w:cs="宋体"/>
          <w:color w:val="auto"/>
          <w:sz w:val="24"/>
          <w:szCs w:val="24"/>
          <w:lang w:val="en-US" w:eastAsia="zh-CN"/>
        </w:rPr>
        <w:t>和拟建矿山道路</w:t>
      </w:r>
      <w:r>
        <w:rPr>
          <w:rFonts w:hint="eastAsia" w:ascii="宋体" w:hAnsi="宋体" w:eastAsia="宋体" w:cs="宋体"/>
          <w:color w:val="auto"/>
          <w:sz w:val="24"/>
          <w:szCs w:val="24"/>
        </w:rPr>
        <w:t>，现状下崩塌地质灾害危害程度</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，危险性</w:t>
      </w:r>
      <w:r>
        <w:rPr>
          <w:rFonts w:hint="eastAsia" w:ascii="宋体" w:hAnsi="宋体" w:cs="宋体"/>
          <w:color w:val="auto"/>
          <w:sz w:val="24"/>
          <w:szCs w:val="24"/>
          <w:lang w:val="en-US" w:eastAsia="zh-CN"/>
        </w:rPr>
        <w:t>小</w:t>
      </w:r>
      <w:r>
        <w:rPr>
          <w:rFonts w:hint="eastAsia" w:ascii="宋体" w:hAnsi="宋体" w:eastAsia="宋体" w:cs="宋体"/>
          <w:color w:val="auto"/>
          <w:sz w:val="24"/>
          <w:szCs w:val="24"/>
        </w:rPr>
        <w:t>；泥石流地质灾害危害程度小，危险性小；预测评估地面塌陷、地裂缝、地面沉降地质灾害危害程度小，危险性小，预测评估地质灾害对矿山地质灾害的影响程度小；地形地貌景观的破坏对矿山地质环境影响程度较严重，含水层、水土污染对矿山地质环境影响程度较轻。</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较轻区：占地面积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公顷，分布范围为除严重区</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较严重区以外的其它区域，对土地资源破坏的影响程度较轻，地质灾害不发育，对原地形地貌景观破坏程度小，对地质灾害、地形地貌景观破坏、含水层破坏和土地资源破坏的影响程度较轻。</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3、矿山地质环境保护与恢复治理方案</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依据现状评估和预测评估结论，将矿山地质环境保护与恢复治理分区划分为重点区</w:t>
      </w:r>
      <w:r>
        <w:rPr>
          <w:rFonts w:hint="eastAsia" w:ascii="宋体" w:hAnsi="宋体" w:cs="宋体"/>
          <w:color w:val="auto"/>
          <w:sz w:val="24"/>
          <w:szCs w:val="24"/>
          <w:lang w:eastAsia="zh-CN"/>
        </w:rPr>
        <w:t>、</w:t>
      </w:r>
      <w:r>
        <w:rPr>
          <w:rFonts w:hint="eastAsia" w:ascii="宋体" w:hAnsi="宋体" w:eastAsia="宋体" w:cs="宋体"/>
          <w:color w:val="auto"/>
          <w:sz w:val="24"/>
          <w:szCs w:val="24"/>
        </w:rPr>
        <w:t>次重点区和一般治理区。</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重点区包括</w:t>
      </w:r>
      <w:r>
        <w:rPr>
          <w:rFonts w:hint="eastAsia" w:ascii="宋体" w:hAnsi="宋体" w:cs="宋体"/>
          <w:color w:val="auto"/>
          <w:sz w:val="24"/>
          <w:szCs w:val="24"/>
          <w:lang w:val="en-US" w:eastAsia="zh-CN"/>
        </w:rPr>
        <w:t>规划露天采矿场</w:t>
      </w:r>
      <w:r>
        <w:rPr>
          <w:rFonts w:hint="eastAsia" w:ascii="宋体" w:hAnsi="宋体" w:eastAsia="宋体" w:cs="宋体"/>
          <w:color w:val="auto"/>
          <w:sz w:val="24"/>
          <w:szCs w:val="24"/>
        </w:rPr>
        <w:t>，占地面积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次重点区包括</w:t>
      </w:r>
      <w:r>
        <w:rPr>
          <w:rFonts w:hint="eastAsia" w:ascii="宋体" w:hAnsi="宋体" w:eastAsia="宋体" w:cs="宋体"/>
          <w:color w:val="auto"/>
          <w:sz w:val="24"/>
          <w:szCs w:val="24"/>
          <w:lang w:val="en-US" w:eastAsia="zh-CN"/>
        </w:rPr>
        <w:t>拟建排土场</w:t>
      </w:r>
      <w:r>
        <w:rPr>
          <w:rFonts w:hint="eastAsia" w:ascii="宋体" w:hAnsi="宋体" w:cs="宋体"/>
          <w:color w:val="auto"/>
          <w:sz w:val="24"/>
          <w:szCs w:val="24"/>
          <w:lang w:val="en-US" w:eastAsia="zh-CN"/>
        </w:rPr>
        <w:t>、拟建</w:t>
      </w:r>
      <w:r>
        <w:rPr>
          <w:rFonts w:hint="eastAsia" w:ascii="宋体" w:hAnsi="宋体" w:eastAsia="宋体" w:cs="宋体"/>
          <w:color w:val="auto"/>
          <w:sz w:val="24"/>
          <w:szCs w:val="24"/>
        </w:rPr>
        <w:t>生活区</w:t>
      </w:r>
      <w:r>
        <w:rPr>
          <w:rFonts w:hint="eastAsia" w:ascii="宋体" w:hAnsi="宋体" w:cs="宋体"/>
          <w:color w:val="auto"/>
          <w:sz w:val="24"/>
          <w:szCs w:val="24"/>
          <w:lang w:val="en-US" w:eastAsia="zh-CN"/>
        </w:rPr>
        <w:t>和拟建矿山道路</w:t>
      </w:r>
      <w:r>
        <w:rPr>
          <w:rFonts w:hint="eastAsia" w:ascii="宋体" w:hAnsi="宋体" w:eastAsia="宋体" w:cs="宋体"/>
          <w:color w:val="auto"/>
          <w:sz w:val="24"/>
          <w:szCs w:val="24"/>
        </w:rPr>
        <w:t>等区域，占地面积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一般区包括除重点区</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次重点区以外区域，面积</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4、土地复垦区与复垦责任范围</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1）土地复垦区</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根据上述土地损毁分析与预测结果，依照土地复垦方案编制规程对复垦区的定义，确定本方案复垦区面积为矿山损毁土地面积为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公顷，包括</w:t>
      </w:r>
      <w:r>
        <w:rPr>
          <w:rFonts w:hint="eastAsia" w:ascii="宋体" w:hAnsi="宋体" w:eastAsia="宋体" w:cs="宋体"/>
          <w:color w:val="auto"/>
          <w:sz w:val="24"/>
          <w:szCs w:val="24"/>
          <w:lang w:val="en-US" w:eastAsia="zh-CN"/>
        </w:rPr>
        <w:t>拟建排土场</w:t>
      </w:r>
      <w:r>
        <w:rPr>
          <w:rFonts w:hint="eastAsia" w:ascii="宋体" w:hAnsi="宋体" w:cs="宋体"/>
          <w:color w:val="auto"/>
          <w:sz w:val="24"/>
          <w:szCs w:val="24"/>
          <w:lang w:val="en-US" w:eastAsia="zh-CN"/>
        </w:rPr>
        <w:t>、拟建</w:t>
      </w:r>
      <w:r>
        <w:rPr>
          <w:rFonts w:hint="eastAsia" w:ascii="宋体" w:hAnsi="宋体" w:eastAsia="宋体" w:cs="宋体"/>
          <w:color w:val="auto"/>
          <w:sz w:val="24"/>
          <w:szCs w:val="24"/>
        </w:rPr>
        <w:t>生活区</w:t>
      </w:r>
      <w:r>
        <w:rPr>
          <w:rFonts w:hint="eastAsia" w:ascii="宋体" w:hAnsi="宋体" w:cs="宋体"/>
          <w:color w:val="auto"/>
          <w:sz w:val="24"/>
          <w:szCs w:val="24"/>
          <w:lang w:val="en-US" w:eastAsia="zh-CN"/>
        </w:rPr>
        <w:t>和拟建矿山道路</w:t>
      </w:r>
      <w:r>
        <w:rPr>
          <w:rFonts w:hint="eastAsia" w:ascii="宋体" w:hAnsi="宋体" w:eastAsia="宋体" w:cs="宋体"/>
          <w:color w:val="auto"/>
          <w:sz w:val="24"/>
          <w:szCs w:val="24"/>
        </w:rPr>
        <w:t>等区域。</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2）复垦责任范围</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根据前述土地损毁分析与预测结果，结合项目区实际情况，依照《土地复垦方案编制规程 ，第一部分：通则》，复垦区指“生产建设项目损毁土地和永久性建设用地构成的区域”，土地复垦责任范围是指“复垦区中损毁土地及不再留续使用的永久性建设用地共同构成的区域”。矿山原有土地为</w:t>
      </w:r>
      <w:r>
        <w:rPr>
          <w:rFonts w:hint="eastAsia" w:ascii="宋体" w:hAnsi="宋体" w:cs="宋体"/>
          <w:color w:val="auto"/>
          <w:sz w:val="24"/>
          <w:szCs w:val="24"/>
          <w:lang w:val="en-US" w:eastAsia="zh-CN"/>
        </w:rPr>
        <w:t>裸土地</w:t>
      </w:r>
      <w:r>
        <w:rPr>
          <w:rFonts w:hint="eastAsia" w:ascii="宋体" w:hAnsi="宋体" w:eastAsia="宋体" w:cs="宋体"/>
          <w:color w:val="auto"/>
          <w:sz w:val="24"/>
          <w:szCs w:val="24"/>
        </w:rPr>
        <w:t>，复垦后均为</w:t>
      </w:r>
      <w:r>
        <w:rPr>
          <w:rFonts w:hint="eastAsia" w:ascii="宋体" w:hAnsi="宋体" w:cs="宋体"/>
          <w:color w:val="auto"/>
          <w:sz w:val="24"/>
          <w:szCs w:val="24"/>
          <w:lang w:val="en-US" w:eastAsia="zh-CN"/>
        </w:rPr>
        <w:t>裸土地</w:t>
      </w:r>
      <w:r>
        <w:rPr>
          <w:rFonts w:hint="eastAsia" w:ascii="宋体" w:hAnsi="宋体" w:eastAsia="宋体" w:cs="宋体"/>
          <w:color w:val="auto"/>
          <w:sz w:val="24"/>
          <w:szCs w:val="24"/>
        </w:rPr>
        <w:t>。复垦责任范围</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公顷，土地复垦率100%。</w:t>
      </w:r>
    </w:p>
    <w:p>
      <w:pPr>
        <w:pageBreakBefore w:val="0"/>
        <w:kinsoku/>
        <w:overflowPunct/>
        <w:bidi w:val="0"/>
        <w:adjustRightInd/>
        <w:snapToGrid/>
        <w:spacing w:line="360" w:lineRule="auto"/>
        <w:ind w:left="0" w:leftChars="0" w:right="0" w:rightChars="0" w:firstLine="482" w:firstLineChars="200"/>
        <w:jc w:val="both"/>
        <w:rPr>
          <w:rFonts w:hint="eastAsia" w:ascii="宋体" w:hAnsi="宋体" w:eastAsia="宋体" w:cs="宋体"/>
          <w:b/>
          <w:bCs/>
          <w:color w:val="auto"/>
          <w:sz w:val="24"/>
          <w:szCs w:val="24"/>
        </w:rPr>
      </w:pPr>
      <w:r>
        <w:rPr>
          <w:rFonts w:hint="eastAsia" w:ascii="宋体" w:hAnsi="宋体" w:eastAsia="宋体" w:cs="宋体"/>
          <w:b/>
          <w:bCs/>
          <w:color w:val="auto"/>
          <w:sz w:val="24"/>
          <w:szCs w:val="24"/>
        </w:rPr>
        <w:t>5、经费估算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1）矿山服务年限内投资估算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矿山地质环境治理与土地复垦工程经费由矿山地质环境治理工程经费和土地复垦工程经费两部分组成。</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highlight w:val="none"/>
        </w:rPr>
        <w:t>矿山服务期内矿山地质环境保护与恢复治理静态总投资为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万元。其中工程施工费为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万元，其他费用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val="en-US" w:eastAsia="zh-CN"/>
        </w:rPr>
        <w:t>监测费</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rPr>
        <w:t>预备费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矿山服务期内土地复垦静态总投资为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万元。其中工程施工费为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万元，其他费用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r>
        <w:rPr>
          <w:rFonts w:hint="eastAsia" w:ascii="宋体" w:hAnsi="宋体" w:eastAsia="宋体" w:cs="宋体"/>
          <w:color w:val="auto"/>
          <w:sz w:val="24"/>
          <w:szCs w:val="24"/>
          <w:highlight w:val="none"/>
          <w:lang w:val="en-US" w:eastAsia="zh-CN"/>
        </w:rPr>
        <w:t>监测费</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highlight w:val="none"/>
          <w:lang w:val="en-US" w:eastAsia="zh-CN"/>
        </w:rPr>
        <w:t>万元，</w:t>
      </w:r>
      <w:r>
        <w:rPr>
          <w:rFonts w:hint="eastAsia" w:ascii="宋体" w:hAnsi="宋体" w:eastAsia="宋体" w:cs="宋体"/>
          <w:color w:val="auto"/>
          <w:sz w:val="24"/>
          <w:szCs w:val="24"/>
          <w:highlight w:val="none"/>
        </w:rPr>
        <w:t>预备费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矿山服务年限内矿山地质环境保护与治理工程费</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土地复垦工程费</w:t>
      </w:r>
      <w:r>
        <w:rPr>
          <w:rFonts w:hint="eastAsia" w:ascii="宋体" w:hAnsi="宋体" w:cs="宋体"/>
          <w:color w:val="auto"/>
          <w:sz w:val="24"/>
          <w:szCs w:val="24"/>
          <w:lang w:val="en-US" w:eastAsia="zh-CN"/>
        </w:rPr>
        <w:t>总费用为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2）方案</w:t>
      </w:r>
      <w:r>
        <w:rPr>
          <w:rFonts w:hint="eastAsia" w:ascii="宋体" w:hAnsi="宋体" w:cs="宋体"/>
          <w:color w:val="auto"/>
          <w:sz w:val="24"/>
          <w:szCs w:val="24"/>
          <w:lang w:val="en-US" w:eastAsia="zh-CN"/>
        </w:rPr>
        <w:t>近期</w:t>
      </w:r>
      <w:r>
        <w:rPr>
          <w:rFonts w:hint="eastAsia" w:ascii="宋体" w:hAnsi="宋体" w:eastAsia="宋体" w:cs="宋体"/>
          <w:color w:val="auto"/>
          <w:sz w:val="24"/>
          <w:szCs w:val="24"/>
        </w:rPr>
        <w:t>5年内投资估算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w:t>
      </w:r>
      <w:r>
        <w:rPr>
          <w:rFonts w:hint="eastAsia" w:ascii="宋体" w:hAnsi="宋体" w:cs="宋体"/>
          <w:color w:val="auto"/>
          <w:sz w:val="24"/>
          <w:szCs w:val="24"/>
          <w:lang w:val="en-US" w:eastAsia="zh-CN"/>
        </w:rPr>
        <w:t>近期5年</w:t>
      </w:r>
      <w:r>
        <w:rPr>
          <w:rFonts w:hint="eastAsia" w:ascii="宋体" w:hAnsi="宋体" w:eastAsia="宋体" w:cs="宋体"/>
          <w:color w:val="auto"/>
          <w:sz w:val="24"/>
          <w:szCs w:val="24"/>
        </w:rPr>
        <w:t>内矿山地质环境保护与恢复治理静态总投资为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万元。其中工程施工费为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万元，其他费用</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r>
        <w:rPr>
          <w:rFonts w:hint="eastAsia" w:ascii="宋体" w:hAnsi="宋体" w:eastAsia="宋体" w:cs="宋体"/>
          <w:color w:val="auto"/>
          <w:sz w:val="24"/>
          <w:szCs w:val="24"/>
          <w:lang w:val="en-US" w:eastAsia="zh-CN"/>
        </w:rPr>
        <w:t>监测费</w:t>
      </w:r>
      <w:r>
        <w:rPr>
          <w:rFonts w:hint="eastAsia" w:ascii="宋体" w:hAnsi="宋体" w:cs="宋体"/>
          <w:i w:val="0"/>
          <w:iCs w:val="0"/>
          <w:color w:val="auto"/>
          <w:kern w:val="0"/>
          <w:sz w:val="21"/>
          <w:szCs w:val="21"/>
          <w:u w:val="none"/>
          <w:lang w:val="en-US" w:eastAsia="zh-CN" w:bidi="ar"/>
        </w:rPr>
        <w:t>****</w:t>
      </w:r>
      <w:r>
        <w:rPr>
          <w:rFonts w:hint="eastAsia" w:ascii="宋体" w:hAnsi="宋体" w:cs="宋体"/>
          <w:color w:val="auto"/>
          <w:sz w:val="24"/>
          <w:szCs w:val="24"/>
          <w:lang w:val="en-US" w:eastAsia="zh-CN"/>
        </w:rPr>
        <w:t>万元，</w:t>
      </w:r>
      <w:r>
        <w:rPr>
          <w:rFonts w:hint="eastAsia" w:ascii="宋体" w:hAnsi="宋体" w:eastAsia="宋体" w:cs="宋体"/>
          <w:color w:val="auto"/>
          <w:sz w:val="24"/>
          <w:szCs w:val="24"/>
        </w:rPr>
        <w:t>预备费</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近期5年</w:t>
      </w:r>
      <w:r>
        <w:rPr>
          <w:rFonts w:hint="eastAsia" w:ascii="宋体" w:hAnsi="宋体" w:eastAsia="宋体" w:cs="宋体"/>
          <w:color w:val="auto"/>
          <w:sz w:val="24"/>
          <w:szCs w:val="24"/>
        </w:rPr>
        <w:t>矿山土地复垦静态总投资为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矿山</w:t>
      </w:r>
      <w:r>
        <w:rPr>
          <w:rFonts w:hint="eastAsia" w:ascii="宋体" w:hAnsi="宋体" w:cs="宋体"/>
          <w:color w:val="auto"/>
          <w:sz w:val="24"/>
          <w:szCs w:val="24"/>
          <w:lang w:val="en-US" w:eastAsia="zh-CN"/>
        </w:rPr>
        <w:t>近期5年</w:t>
      </w:r>
      <w:r>
        <w:rPr>
          <w:rFonts w:hint="eastAsia" w:ascii="宋体" w:hAnsi="宋体" w:eastAsia="宋体" w:cs="宋体"/>
          <w:color w:val="auto"/>
          <w:sz w:val="24"/>
          <w:szCs w:val="24"/>
        </w:rPr>
        <w:t>内矿山地质环境保护与治理工程费</w:t>
      </w:r>
      <w:r>
        <w:rPr>
          <w:rFonts w:hint="eastAsia" w:ascii="宋体" w:hAnsi="宋体" w:cs="宋体"/>
          <w:color w:val="auto"/>
          <w:sz w:val="24"/>
          <w:szCs w:val="24"/>
          <w:lang w:val="en-US" w:eastAsia="zh-CN"/>
        </w:rPr>
        <w:t>和</w:t>
      </w:r>
      <w:r>
        <w:rPr>
          <w:rFonts w:hint="eastAsia" w:ascii="宋体" w:hAnsi="宋体" w:eastAsia="宋体" w:cs="宋体"/>
          <w:color w:val="auto"/>
          <w:sz w:val="24"/>
          <w:szCs w:val="24"/>
        </w:rPr>
        <w:t>土地复垦工程费</w:t>
      </w:r>
      <w:r>
        <w:rPr>
          <w:rFonts w:hint="eastAsia" w:ascii="宋体" w:hAnsi="宋体" w:cs="宋体"/>
          <w:color w:val="auto"/>
          <w:sz w:val="24"/>
          <w:szCs w:val="24"/>
          <w:lang w:val="en-US" w:eastAsia="zh-CN"/>
        </w:rPr>
        <w:t>总费用为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rPr>
      </w:pP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cs="宋体"/>
          <w:color w:val="auto"/>
          <w:sz w:val="24"/>
          <w:szCs w:val="24"/>
          <w:lang w:val="en-US" w:eastAsia="zh-CN"/>
        </w:rPr>
        <w:t>动态总投资</w:t>
      </w:r>
      <w:r>
        <w:rPr>
          <w:rFonts w:hint="eastAsia" w:ascii="宋体" w:hAnsi="宋体" w:eastAsia="宋体" w:cs="宋体"/>
          <w:color w:val="auto"/>
          <w:sz w:val="24"/>
          <w:szCs w:val="24"/>
        </w:rPr>
        <w:t>估算</w:t>
      </w:r>
    </w:p>
    <w:p>
      <w:pPr>
        <w:pageBreakBefore w:val="0"/>
        <w:kinsoku/>
        <w:overflowPunct/>
        <w:bidi w:val="0"/>
        <w:adjustRightInd/>
        <w:snapToGrid/>
        <w:spacing w:line="360" w:lineRule="auto"/>
        <w:ind w:left="0" w:leftChars="0" w:right="0" w:rightChars="0" w:firstLine="480" w:firstLineChars="200"/>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矿山地质环境保护与治理工程</w:t>
      </w:r>
      <w:r>
        <w:rPr>
          <w:rFonts w:hint="eastAsia" w:ascii="宋体" w:hAnsi="宋体" w:cs="宋体"/>
          <w:color w:val="auto"/>
          <w:sz w:val="24"/>
          <w:szCs w:val="24"/>
          <w:lang w:val="en-US" w:eastAsia="zh-CN"/>
        </w:rPr>
        <w:t>动态总投资和</w:t>
      </w:r>
      <w:r>
        <w:rPr>
          <w:rFonts w:hint="eastAsia" w:ascii="宋体" w:hAnsi="宋体" w:eastAsia="宋体" w:cs="宋体"/>
          <w:color w:val="auto"/>
          <w:sz w:val="24"/>
          <w:szCs w:val="24"/>
        </w:rPr>
        <w:t>土地复垦工程</w:t>
      </w:r>
      <w:r>
        <w:rPr>
          <w:rFonts w:hint="eastAsia" w:ascii="宋体" w:hAnsi="宋体" w:cs="宋体"/>
          <w:color w:val="auto"/>
          <w:sz w:val="24"/>
          <w:szCs w:val="24"/>
          <w:lang w:val="en-US" w:eastAsia="zh-CN"/>
        </w:rPr>
        <w:t>动态总投资总共为</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rPr>
        <w:t>万元。</w:t>
      </w:r>
      <w:r>
        <w:rPr>
          <w:rFonts w:hint="eastAsia" w:ascii="宋体" w:hAnsi="宋体" w:cs="宋体"/>
          <w:color w:val="auto"/>
          <w:sz w:val="24"/>
          <w:szCs w:val="24"/>
          <w:lang w:val="en-US" w:eastAsia="zh-CN"/>
        </w:rPr>
        <w:t>其中</w:t>
      </w:r>
      <w:r>
        <w:rPr>
          <w:rFonts w:hint="eastAsia" w:ascii="宋体" w:hAnsi="宋体" w:eastAsia="宋体" w:cs="宋体"/>
          <w:color w:val="auto"/>
          <w:sz w:val="24"/>
          <w:szCs w:val="24"/>
        </w:rPr>
        <w:t>矿山环境保护工程动态总投</w:t>
      </w:r>
      <w:r>
        <w:rPr>
          <w:rFonts w:hint="eastAsia" w:ascii="宋体" w:hAnsi="宋体" w:eastAsia="宋体" w:cs="宋体"/>
          <w:color w:val="auto"/>
          <w:sz w:val="24"/>
          <w:szCs w:val="24"/>
          <w:highlight w:val="none"/>
        </w:rPr>
        <w:t>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矿山土地复垦工程动态总投资</w:t>
      </w:r>
      <w:r>
        <w:rPr>
          <w:rFonts w:hint="eastAsia" w:ascii="宋体" w:hAnsi="宋体" w:cs="宋体"/>
          <w:i w:val="0"/>
          <w:iCs w:val="0"/>
          <w:color w:val="auto"/>
          <w:kern w:val="0"/>
          <w:sz w:val="21"/>
          <w:szCs w:val="21"/>
          <w:u w:val="none"/>
          <w:lang w:val="en-US" w:eastAsia="zh-CN" w:bidi="ar"/>
        </w:rPr>
        <w:t>****</w:t>
      </w:r>
      <w:r>
        <w:rPr>
          <w:rFonts w:hint="eastAsia" w:ascii="宋体" w:hAnsi="宋体" w:eastAsia="宋体" w:cs="宋体"/>
          <w:color w:val="auto"/>
          <w:sz w:val="24"/>
          <w:szCs w:val="24"/>
          <w:highlight w:val="none"/>
        </w:rPr>
        <w:t>万元</w:t>
      </w:r>
      <w:r>
        <w:rPr>
          <w:rFonts w:hint="eastAsia" w:ascii="宋体" w:hAnsi="宋体" w:cs="宋体"/>
          <w:color w:val="auto"/>
          <w:sz w:val="24"/>
          <w:szCs w:val="24"/>
          <w:highlight w:val="none"/>
          <w:lang w:eastAsia="zh-CN"/>
        </w:rPr>
        <w:t>。</w:t>
      </w:r>
    </w:p>
    <w:p>
      <w:pPr>
        <w:pageBreakBefore w:val="0"/>
        <w:kinsoku/>
        <w:overflowPunct/>
        <w:bidi w:val="0"/>
        <w:adjustRightInd/>
        <w:snapToGrid/>
        <w:spacing w:line="360" w:lineRule="auto"/>
        <w:ind w:left="0" w:leftChars="0" w:right="0" w:rightChars="0" w:firstLine="562" w:firstLineChars="200"/>
        <w:jc w:val="both"/>
        <w:outlineLvl w:val="2"/>
        <w:rPr>
          <w:rFonts w:hint="eastAsia" w:ascii="宋体" w:hAnsi="宋体" w:eastAsia="宋体" w:cs="宋体"/>
          <w:b/>
          <w:color w:val="auto"/>
          <w:sz w:val="28"/>
          <w:szCs w:val="28"/>
        </w:rPr>
      </w:pPr>
      <w:r>
        <w:rPr>
          <w:rFonts w:hint="eastAsia" w:ascii="宋体" w:hAnsi="宋体" w:eastAsia="宋体" w:cs="宋体"/>
          <w:b/>
          <w:color w:val="auto"/>
          <w:sz w:val="28"/>
          <w:szCs w:val="28"/>
        </w:rPr>
        <w:t>（三）本《方案》适用年限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根据新自然资规〔2021〕3号文，方案中生态保护修复有关内容适用年限暂定为5年，即202</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5</w:t>
      </w:r>
      <w:r>
        <w:rPr>
          <w:rFonts w:hint="eastAsia" w:ascii="宋体" w:hAnsi="宋体" w:eastAsia="宋体" w:cs="宋体"/>
          <w:color w:val="auto"/>
          <w:sz w:val="24"/>
          <w:szCs w:val="24"/>
        </w:rPr>
        <w:t>月-20</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月。每5年需进行修编，20</w:t>
      </w: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年</w:t>
      </w:r>
      <w:r>
        <w:rPr>
          <w:rFonts w:hint="eastAsia" w:ascii="宋体" w:hAnsi="宋体" w:cs="宋体"/>
          <w:color w:val="auto"/>
          <w:sz w:val="24"/>
          <w:szCs w:val="24"/>
          <w:lang w:val="en-US" w:eastAsia="zh-CN"/>
        </w:rPr>
        <w:t>4</w:t>
      </w:r>
      <w:r>
        <w:rPr>
          <w:rFonts w:hint="eastAsia" w:ascii="宋体" w:hAnsi="宋体" w:eastAsia="宋体" w:cs="宋体"/>
          <w:color w:val="auto"/>
          <w:sz w:val="24"/>
          <w:szCs w:val="24"/>
        </w:rPr>
        <w:t>月前需要对本《方案》进行修编。</w:t>
      </w:r>
    </w:p>
    <w:p>
      <w:pPr>
        <w:spacing w:line="360" w:lineRule="auto"/>
        <w:ind w:firstLine="602" w:firstLineChars="200"/>
        <w:outlineLvl w:val="1"/>
        <w:rPr>
          <w:rFonts w:hint="eastAsia" w:ascii="宋体" w:hAnsi="宋体" w:eastAsia="宋体" w:cs="宋体"/>
          <w:b/>
          <w:color w:val="auto"/>
          <w:sz w:val="30"/>
          <w:szCs w:val="30"/>
        </w:rPr>
      </w:pPr>
      <w:bookmarkStart w:id="297" w:name="_Toc21661"/>
      <w:r>
        <w:rPr>
          <w:rFonts w:hint="eastAsia" w:ascii="宋体" w:hAnsi="宋体" w:eastAsia="宋体" w:cs="宋体"/>
          <w:b/>
          <w:color w:val="auto"/>
          <w:sz w:val="30"/>
          <w:szCs w:val="30"/>
        </w:rPr>
        <w:t>二、存在问题和建议</w:t>
      </w:r>
      <w:bookmarkEnd w:id="292"/>
      <w:bookmarkEnd w:id="293"/>
      <w:bookmarkEnd w:id="294"/>
      <w:bookmarkEnd w:id="295"/>
      <w:bookmarkEnd w:id="296"/>
      <w:bookmarkEnd w:id="297"/>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ascii="Times New Roman" w:hAnsi="Times New Roman" w:eastAsia="宋体" w:cs="Times New Roman"/>
          <w:color w:val="auto"/>
          <w:sz w:val="28"/>
          <w:szCs w:val="28"/>
          <w:lang w:eastAsia="zh-CN"/>
        </w:rPr>
      </w:pPr>
      <w:r>
        <w:rPr>
          <w:rFonts w:hint="eastAsia" w:ascii="Times New Roman" w:hAnsi="Times New Roman" w:eastAsia="宋体" w:cs="Times New Roman"/>
          <w:color w:val="auto"/>
          <w:sz w:val="28"/>
          <w:szCs w:val="28"/>
          <w:lang w:eastAsia="zh-CN"/>
        </w:rPr>
        <w:t>（一）开发利用方案存在问题和建议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矿区开采中必须严格按照最终帮坡角不大于</w:t>
      </w: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°确保安全，对矿区安全隐患进行排查，防止地质灾害发生。</w:t>
      </w:r>
    </w:p>
    <w:p>
      <w:pPr>
        <w:pStyle w:val="5"/>
        <w:keepNext/>
        <w:keepLines/>
        <w:pageBreakBefore w:val="0"/>
        <w:widowControl/>
        <w:kinsoku/>
        <w:wordWrap/>
        <w:overflowPunct/>
        <w:topLinePunct w:val="0"/>
        <w:autoSpaceDE/>
        <w:autoSpaceDN/>
        <w:bidi w:val="0"/>
        <w:adjustRightInd/>
        <w:snapToGrid/>
        <w:spacing w:before="0" w:after="0" w:line="360" w:lineRule="auto"/>
        <w:ind w:firstLine="562" w:firstLineChars="200"/>
        <w:textAlignment w:val="auto"/>
        <w:rPr>
          <w:rFonts w:hint="eastAsia"/>
          <w:color w:val="auto"/>
          <w:sz w:val="28"/>
          <w:szCs w:val="28"/>
          <w:lang w:eastAsia="zh-CN"/>
        </w:rPr>
      </w:pPr>
      <w:r>
        <w:rPr>
          <w:rFonts w:hint="eastAsia"/>
          <w:color w:val="auto"/>
          <w:sz w:val="28"/>
          <w:szCs w:val="28"/>
          <w:lang w:eastAsia="zh-CN"/>
        </w:rPr>
        <w:t>（二）地质环境治理和土地复垦存在问题和建议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cs="宋体"/>
          <w:color w:val="auto"/>
          <w:sz w:val="24"/>
          <w:szCs w:val="24"/>
          <w:lang w:eastAsia="zh-CN"/>
        </w:rPr>
        <w:t>、</w:t>
      </w:r>
      <w:r>
        <w:rPr>
          <w:rFonts w:hint="eastAsia" w:ascii="宋体" w:hAnsi="宋体" w:eastAsia="宋体" w:cs="宋体"/>
          <w:color w:val="auto"/>
          <w:sz w:val="24"/>
          <w:szCs w:val="24"/>
        </w:rPr>
        <w:t>本《方案》是实施矿山地质环境保护、治理和监测及土地复垦的技术依据之一，不代替相关工程勘察、治理设计。建议矿山企业在进行工程治理时，委托相关单位对本矿山地质环境进行专项工程勘查、设计。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cs="宋体"/>
          <w:color w:val="auto"/>
          <w:sz w:val="24"/>
          <w:szCs w:val="24"/>
          <w:lang w:eastAsia="zh-CN"/>
        </w:rPr>
        <w:t>、</w:t>
      </w:r>
      <w:r>
        <w:rPr>
          <w:rFonts w:hint="eastAsia" w:ascii="宋体" w:hAnsi="宋体" w:eastAsia="宋体" w:cs="宋体"/>
          <w:color w:val="auto"/>
          <w:sz w:val="24"/>
          <w:szCs w:val="24"/>
        </w:rPr>
        <w:t>在矿山开采过程中，严格按照相关规范要求，尽量减少废污水的产生，对已经产生的污水必须采取对地质环境影响最小的措施进行妥善处理，达到污水处理的相关要求。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r>
        <w:rPr>
          <w:rFonts w:hint="eastAsia" w:ascii="宋体" w:hAnsi="宋体" w:cs="宋体"/>
          <w:color w:val="auto"/>
          <w:sz w:val="24"/>
          <w:szCs w:val="24"/>
          <w:lang w:eastAsia="zh-CN"/>
        </w:rPr>
        <w:t>、</w:t>
      </w:r>
      <w:r>
        <w:rPr>
          <w:rFonts w:hint="eastAsia" w:ascii="宋体" w:hAnsi="宋体" w:eastAsia="宋体" w:cs="宋体"/>
          <w:color w:val="auto"/>
          <w:sz w:val="24"/>
          <w:szCs w:val="24"/>
        </w:rPr>
        <w:t>矿山建设、开采过程中，尽量减少对土地资源的坡坏，及时恢复损毁用地的土地功能。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r>
        <w:rPr>
          <w:rFonts w:hint="eastAsia" w:ascii="宋体" w:hAnsi="宋体" w:cs="宋体"/>
          <w:color w:val="auto"/>
          <w:sz w:val="24"/>
          <w:szCs w:val="24"/>
          <w:lang w:eastAsia="zh-CN"/>
        </w:rPr>
        <w:t>、</w:t>
      </w:r>
      <w:r>
        <w:rPr>
          <w:rFonts w:hint="eastAsia" w:ascii="宋体" w:hAnsi="宋体" w:eastAsia="宋体" w:cs="宋体"/>
          <w:color w:val="auto"/>
          <w:sz w:val="24"/>
          <w:szCs w:val="24"/>
        </w:rPr>
        <w:t>矿山工作人员在日常巡视过程中，对铁丝网围栏、警示牌等进行监测，损坏及时进行修补及更换。按方案设计对地质灾害、含水层、地形地貌、水土环境污染及大气污染进行监测，发现问题及时上报并处理。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cs="宋体"/>
          <w:color w:val="auto"/>
          <w:sz w:val="24"/>
          <w:szCs w:val="24"/>
          <w:lang w:eastAsia="zh-CN"/>
        </w:rPr>
        <w:t>、</w:t>
      </w:r>
      <w:r>
        <w:rPr>
          <w:rFonts w:hint="eastAsia" w:ascii="宋体" w:hAnsi="宋体" w:eastAsia="宋体" w:cs="宋体"/>
          <w:color w:val="auto"/>
          <w:sz w:val="24"/>
          <w:szCs w:val="24"/>
        </w:rPr>
        <w:t>本方案设计工程量及投资仅为初步估算，具体实施时应请有资质单位按各项相关工程的设计规定进行设计、施工，并验收合格后投入使用。考虑到未来情况的多变性、物价涨幅等情况，对于方案远期设计投资估算仅供参考。</w:t>
      </w:r>
    </w:p>
    <w:p>
      <w:pPr>
        <w:spacing w:line="360" w:lineRule="auto"/>
        <w:ind w:firstLine="482" w:firstLineChars="200"/>
        <w:jc w:val="both"/>
        <w:rPr>
          <w:rFonts w:hint="eastAsia" w:ascii="宋体" w:hAnsi="宋体" w:eastAsia="宋体" w:cs="宋体"/>
          <w:b/>
          <w:color w:val="auto"/>
          <w:sz w:val="24"/>
          <w:szCs w:val="22"/>
        </w:rPr>
      </w:pPr>
      <w:r>
        <w:rPr>
          <w:rFonts w:hint="eastAsia" w:ascii="宋体" w:hAnsi="宋体" w:eastAsia="宋体" w:cs="宋体"/>
          <w:b/>
          <w:color w:val="auto"/>
          <w:sz w:val="24"/>
          <w:szCs w:val="22"/>
        </w:rPr>
        <w:t>本方案不代替相关工程勘察、治理设计</w:t>
      </w:r>
    </w:p>
    <w:p>
      <w:pPr>
        <w:spacing w:line="360" w:lineRule="auto"/>
        <w:ind w:firstLine="482" w:firstLineChars="200"/>
        <w:jc w:val="both"/>
        <w:rPr>
          <w:rFonts w:hint="eastAsia" w:ascii="宋体" w:hAnsi="宋体" w:eastAsia="宋体" w:cs="宋体"/>
          <w:b/>
          <w:color w:val="auto"/>
          <w:sz w:val="24"/>
          <w:szCs w:val="22"/>
        </w:rPr>
      </w:pPr>
    </w:p>
    <w:p>
      <w:pPr>
        <w:spacing w:line="360" w:lineRule="auto"/>
        <w:ind w:firstLine="482" w:firstLineChars="200"/>
        <w:jc w:val="both"/>
        <w:rPr>
          <w:rFonts w:hint="eastAsia" w:ascii="宋体" w:hAnsi="宋体" w:eastAsia="宋体" w:cs="宋体"/>
          <w:b/>
          <w:color w:val="auto"/>
          <w:sz w:val="24"/>
          <w:szCs w:val="22"/>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jc w:val="center"/>
        <w:rPr>
          <w:rFonts w:hint="eastAsia" w:ascii="宋体" w:hAnsi="宋体"/>
          <w:b/>
          <w:bCs/>
          <w:sz w:val="36"/>
          <w:szCs w:val="36"/>
        </w:rPr>
      </w:pPr>
    </w:p>
    <w:p>
      <w:pPr>
        <w:rPr>
          <w:rFonts w:hint="eastAsia" w:ascii="宋体" w:hAnsi="宋体"/>
          <w:b/>
          <w:bCs/>
          <w:sz w:val="36"/>
          <w:szCs w:val="36"/>
        </w:rPr>
      </w:pPr>
    </w:p>
    <w:p>
      <w:pPr>
        <w:jc w:val="center"/>
        <w:rPr>
          <w:rFonts w:hint="eastAsia" w:ascii="Times New Roman" w:hAnsi="Times New Roman" w:eastAsia="宋体" w:cs="Times New Roman"/>
          <w:b/>
          <w:spacing w:val="-12"/>
          <w:kern w:val="0"/>
          <w:sz w:val="36"/>
          <w:szCs w:val="22"/>
          <w:lang w:eastAsia="zh-CN"/>
        </w:rPr>
      </w:pPr>
      <w:r>
        <w:rPr>
          <w:rFonts w:hint="eastAsia" w:ascii="Times New Roman" w:hAnsi="Times New Roman" w:eastAsia="宋体" w:cs="Times New Roman"/>
          <w:b/>
          <w:spacing w:val="-12"/>
          <w:kern w:val="0"/>
          <w:sz w:val="36"/>
          <w:szCs w:val="22"/>
          <w:lang w:eastAsia="zh-CN"/>
        </w:rPr>
        <w:t>《新疆伽师县西克尔镇4号砖瓦用页岩矿</w:t>
      </w:r>
    </w:p>
    <w:p>
      <w:pPr>
        <w:jc w:val="center"/>
        <w:rPr>
          <w:rFonts w:hint="eastAsia" w:ascii="方正小标宋_GBK" w:hAnsi="方正小标宋_GBK" w:eastAsia="方正小标宋_GBK" w:cs="方正小标宋_GBK"/>
          <w:b w:val="0"/>
          <w:bCs w:val="0"/>
          <w:sz w:val="44"/>
          <w:szCs w:val="44"/>
        </w:rPr>
      </w:pPr>
      <w:r>
        <w:rPr>
          <w:rFonts w:hint="eastAsia" w:ascii="Times New Roman" w:hAnsi="Times New Roman" w:eastAsia="宋体" w:cs="Times New Roman"/>
          <w:b/>
          <w:spacing w:val="-12"/>
          <w:kern w:val="0"/>
          <w:sz w:val="36"/>
          <w:szCs w:val="22"/>
          <w:lang w:eastAsia="zh-CN"/>
        </w:rPr>
        <w:t>矿产资源开发利用与生态保护修复方案》</w:t>
      </w:r>
    </w:p>
    <w:p>
      <w:pPr>
        <w:autoSpaceDE w:val="0"/>
        <w:autoSpaceDN w:val="0"/>
        <w:spacing w:before="49" w:line="360" w:lineRule="auto"/>
        <w:ind w:right="101"/>
        <w:jc w:val="center"/>
        <w:rPr>
          <w:rFonts w:hint="eastAsia" w:ascii="Times New Roman" w:hAnsi="Times New Roman" w:eastAsia="宋体" w:cs="Times New Roman"/>
          <w:b/>
          <w:spacing w:val="-12"/>
          <w:kern w:val="0"/>
          <w:sz w:val="72"/>
          <w:szCs w:val="84"/>
          <w:lang w:eastAsia="zh-CN"/>
        </w:rPr>
      </w:pPr>
      <w:r>
        <w:rPr>
          <w:rFonts w:hint="eastAsia" w:ascii="Times New Roman" w:hAnsi="Times New Roman" w:eastAsia="宋体" w:cs="Times New Roman"/>
          <w:b/>
          <w:spacing w:val="-12"/>
          <w:kern w:val="0"/>
          <w:sz w:val="72"/>
          <w:szCs w:val="84"/>
          <w:lang w:eastAsia="zh-CN"/>
        </w:rPr>
        <w:t>评</w:t>
      </w:r>
      <w:r>
        <w:rPr>
          <w:rFonts w:hint="eastAsia" w:ascii="Times New Roman" w:hAnsi="Times New Roman" w:eastAsia="宋体" w:cs="Times New Roman"/>
          <w:b/>
          <w:spacing w:val="-12"/>
          <w:kern w:val="0"/>
          <w:sz w:val="72"/>
          <w:szCs w:val="84"/>
          <w:lang w:val="en-US" w:eastAsia="zh-CN"/>
        </w:rPr>
        <w:t xml:space="preserve"> </w:t>
      </w:r>
      <w:r>
        <w:rPr>
          <w:rFonts w:hint="eastAsia" w:ascii="Times New Roman" w:hAnsi="Times New Roman" w:eastAsia="宋体" w:cs="Times New Roman"/>
          <w:b/>
          <w:spacing w:val="-12"/>
          <w:kern w:val="0"/>
          <w:sz w:val="72"/>
          <w:szCs w:val="84"/>
          <w:lang w:eastAsia="zh-CN"/>
        </w:rPr>
        <w:t>审</w:t>
      </w:r>
      <w:r>
        <w:rPr>
          <w:rFonts w:hint="eastAsia" w:ascii="Times New Roman" w:hAnsi="Times New Roman" w:eastAsia="宋体" w:cs="Times New Roman"/>
          <w:b/>
          <w:spacing w:val="-12"/>
          <w:kern w:val="0"/>
          <w:sz w:val="72"/>
          <w:szCs w:val="84"/>
          <w:lang w:val="en-US" w:eastAsia="zh-CN"/>
        </w:rPr>
        <w:t xml:space="preserve"> </w:t>
      </w:r>
      <w:r>
        <w:rPr>
          <w:rFonts w:hint="eastAsia" w:ascii="Times New Roman" w:hAnsi="Times New Roman" w:eastAsia="宋体" w:cs="Times New Roman"/>
          <w:b/>
          <w:spacing w:val="-12"/>
          <w:kern w:val="0"/>
          <w:sz w:val="72"/>
          <w:szCs w:val="84"/>
          <w:lang w:eastAsia="zh-CN"/>
        </w:rPr>
        <w:t>意</w:t>
      </w:r>
      <w:r>
        <w:rPr>
          <w:rFonts w:hint="eastAsia" w:ascii="Times New Roman" w:hAnsi="Times New Roman" w:eastAsia="宋体" w:cs="Times New Roman"/>
          <w:b/>
          <w:spacing w:val="-12"/>
          <w:kern w:val="0"/>
          <w:sz w:val="72"/>
          <w:szCs w:val="84"/>
          <w:lang w:val="en-US" w:eastAsia="zh-CN"/>
        </w:rPr>
        <w:t xml:space="preserve"> </w:t>
      </w:r>
      <w:r>
        <w:rPr>
          <w:rFonts w:hint="eastAsia" w:ascii="Times New Roman" w:hAnsi="Times New Roman" w:eastAsia="宋体" w:cs="Times New Roman"/>
          <w:b/>
          <w:spacing w:val="-12"/>
          <w:kern w:val="0"/>
          <w:sz w:val="72"/>
          <w:szCs w:val="84"/>
          <w:lang w:eastAsia="zh-CN"/>
        </w:rPr>
        <w:t>见</w:t>
      </w:r>
      <w:r>
        <w:rPr>
          <w:rFonts w:hint="eastAsia" w:ascii="Times New Roman" w:hAnsi="Times New Roman" w:eastAsia="宋体" w:cs="Times New Roman"/>
          <w:b/>
          <w:spacing w:val="-12"/>
          <w:kern w:val="0"/>
          <w:sz w:val="72"/>
          <w:szCs w:val="84"/>
          <w:lang w:val="en-US" w:eastAsia="zh-CN"/>
        </w:rPr>
        <w:t xml:space="preserve"> </w:t>
      </w:r>
      <w:r>
        <w:rPr>
          <w:rFonts w:hint="eastAsia" w:ascii="Times New Roman" w:hAnsi="Times New Roman" w:eastAsia="宋体" w:cs="Times New Roman"/>
          <w:b/>
          <w:spacing w:val="-12"/>
          <w:kern w:val="0"/>
          <w:sz w:val="72"/>
          <w:szCs w:val="84"/>
          <w:lang w:eastAsia="zh-CN"/>
        </w:rPr>
        <w:t>书</w:t>
      </w: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center"/>
        <w:rPr>
          <w:rFonts w:ascii="宋体" w:hAnsi="宋体" w:cs="宋体"/>
          <w:b/>
          <w:bCs/>
          <w:sz w:val="36"/>
          <w:szCs w:val="36"/>
        </w:rPr>
      </w:pPr>
    </w:p>
    <w:p>
      <w:pPr>
        <w:jc w:val="both"/>
        <w:rPr>
          <w:rFonts w:ascii="宋体" w:hAnsi="宋体" w:cs="宋体"/>
          <w:b/>
          <w:bCs/>
          <w:sz w:val="36"/>
          <w:szCs w:val="36"/>
        </w:rPr>
      </w:pPr>
    </w:p>
    <w:p>
      <w:pPr>
        <w:jc w:val="center"/>
        <w:rPr>
          <w:rFonts w:ascii="宋体" w:hAnsi="宋体" w:cs="宋体"/>
          <w:b/>
          <w:bCs/>
          <w:sz w:val="36"/>
          <w:szCs w:val="36"/>
        </w:rPr>
      </w:pPr>
    </w:p>
    <w:p>
      <w:pPr>
        <w:pStyle w:val="641"/>
      </w:pPr>
    </w:p>
    <w:p>
      <w:pPr>
        <w:spacing w:line="360" w:lineRule="auto"/>
        <w:ind w:right="-30"/>
        <w:jc w:val="center"/>
        <w:rPr>
          <w:rFonts w:ascii="Times New Roman" w:hAnsi="Times New Roman" w:cs="Times New Roman"/>
          <w:b/>
          <w:sz w:val="32"/>
          <w:lang w:eastAsia="zh-CN"/>
        </w:rPr>
      </w:pPr>
      <w:r>
        <w:rPr>
          <w:rFonts w:hint="eastAsia" w:ascii="Times New Roman" w:hAnsi="Times New Roman" w:cs="Times New Roman"/>
          <w:b/>
          <w:sz w:val="32"/>
          <w:lang w:eastAsia="zh-CN"/>
        </w:rPr>
        <w:t>喀什矿产资源评审中心</w:t>
      </w:r>
    </w:p>
    <w:p>
      <w:pPr>
        <w:jc w:val="center"/>
        <w:rPr>
          <w:rFonts w:ascii="Times New Roman" w:hAnsi="Times New Roman" w:cs="Times New Roman"/>
          <w:b/>
          <w:sz w:val="32"/>
          <w:lang w:eastAsia="zh-CN"/>
        </w:rPr>
      </w:pPr>
      <w:r>
        <w:rPr>
          <w:rFonts w:ascii="Times New Roman" w:hAnsi="Times New Roman" w:cs="Times New Roman"/>
          <w:b/>
          <w:sz w:val="32"/>
          <w:lang w:eastAsia="zh-CN"/>
        </w:rPr>
        <w:t>二</w:t>
      </w:r>
      <w:r>
        <w:rPr>
          <w:rFonts w:hint="eastAsia" w:ascii="Times New Roman" w:hAnsi="Times New Roman" w:cs="Times New Roman"/>
          <w:b/>
          <w:sz w:val="32"/>
          <w:lang w:eastAsia="zh-CN"/>
        </w:rPr>
        <w:t>〇</w:t>
      </w:r>
      <w:r>
        <w:rPr>
          <w:rFonts w:ascii="Times New Roman" w:hAnsi="Times New Roman" w:cs="Times New Roman"/>
          <w:b/>
          <w:sz w:val="32"/>
          <w:lang w:eastAsia="zh-CN"/>
        </w:rPr>
        <w:t>二</w:t>
      </w:r>
      <w:r>
        <w:rPr>
          <w:rFonts w:hint="eastAsia" w:ascii="Times New Roman" w:hAnsi="Times New Roman" w:cs="Times New Roman"/>
          <w:b/>
          <w:sz w:val="32"/>
          <w:lang w:eastAsia="zh-CN"/>
        </w:rPr>
        <w:t>四</w:t>
      </w:r>
      <w:r>
        <w:rPr>
          <w:rFonts w:ascii="Times New Roman" w:hAnsi="Times New Roman" w:cs="Times New Roman"/>
          <w:b/>
          <w:sz w:val="32"/>
          <w:lang w:eastAsia="zh-CN"/>
        </w:rPr>
        <w:t>年</w:t>
      </w:r>
      <w:r>
        <w:rPr>
          <w:rFonts w:hint="eastAsia" w:ascii="Times New Roman" w:hAnsi="Times New Roman" w:cs="Times New Roman"/>
          <w:b/>
          <w:sz w:val="32"/>
          <w:lang w:eastAsia="zh-CN"/>
        </w:rPr>
        <w:t>十</w:t>
      </w:r>
      <w:r>
        <w:rPr>
          <w:rFonts w:ascii="Times New Roman" w:hAnsi="Times New Roman" w:cs="Times New Roman"/>
          <w:b/>
          <w:sz w:val="32"/>
          <w:lang w:eastAsia="zh-CN"/>
        </w:rPr>
        <w:t>月</w:t>
      </w:r>
      <w:r>
        <w:rPr>
          <w:rFonts w:hint="eastAsia" w:ascii="Times New Roman" w:hAnsi="Times New Roman" w:cs="Times New Roman"/>
          <w:b/>
          <w:sz w:val="32"/>
          <w:lang w:eastAsia="zh-CN"/>
        </w:rPr>
        <w:t>三十</w:t>
      </w:r>
      <w:r>
        <w:rPr>
          <w:rFonts w:ascii="Times New Roman" w:hAnsi="Times New Roman" w:cs="Times New Roman"/>
          <w:b/>
          <w:sz w:val="32"/>
          <w:lang w:eastAsia="zh-CN"/>
        </w:rPr>
        <w:t>日</w:t>
      </w:r>
    </w:p>
    <w:p>
      <w:pPr>
        <w:jc w:val="center"/>
        <w:rPr>
          <w:rFonts w:hint="eastAsia" w:ascii="宋体" w:hAnsi="宋体" w:cs="宋体"/>
          <w:b/>
          <w:bCs/>
          <w:sz w:val="30"/>
          <w:szCs w:val="30"/>
        </w:rPr>
      </w:pPr>
    </w:p>
    <w:p>
      <w:pPr>
        <w:pStyle w:val="641"/>
        <w:rPr>
          <w:rFonts w:hint="eastAsia"/>
        </w:rPr>
      </w:pPr>
    </w:p>
    <w:p>
      <w:pPr>
        <w:spacing w:line="560" w:lineRule="exact"/>
        <w:ind w:firstLine="560" w:firstLineChars="200"/>
        <w:rPr>
          <w:rFonts w:hint="eastAsia" w:ascii="宋体" w:hAnsi="宋体" w:eastAsia="宋体" w:cs="宋体"/>
          <w:sz w:val="28"/>
          <w:szCs w:val="28"/>
          <w:lang w:val="en-US" w:eastAsia="zh-CN"/>
        </w:rPr>
      </w:pPr>
    </w:p>
    <w:p>
      <w:pPr>
        <w:spacing w:line="560" w:lineRule="exact"/>
        <w:ind w:firstLine="560" w:firstLineChars="200"/>
        <w:rPr>
          <w:rFonts w:hint="eastAsia" w:ascii="宋体" w:hAnsi="宋体" w:eastAsia="宋体" w:cs="宋体"/>
          <w:sz w:val="28"/>
          <w:szCs w:val="28"/>
          <w:lang w:val="en-US" w:eastAsia="zh-CN"/>
        </w:rPr>
      </w:pPr>
    </w:p>
    <w:p>
      <w:pPr>
        <w:spacing w:line="560" w:lineRule="exact"/>
        <w:ind w:firstLine="560" w:firstLineChars="200"/>
        <w:rPr>
          <w:rFonts w:hint="default" w:ascii="宋体" w:hAnsi="宋体" w:eastAsia="宋体" w:cs="宋体"/>
          <w:sz w:val="28"/>
          <w:szCs w:val="28"/>
          <w:lang w:val="en-US" w:eastAsia="zh-CN"/>
        </w:rPr>
      </w:pPr>
      <w:bookmarkStart w:id="310" w:name="_GoBack"/>
      <w:bookmarkEnd w:id="310"/>
      <w:r>
        <w:rPr>
          <w:rFonts w:hint="eastAsia" w:ascii="宋体" w:hAnsi="宋体" w:eastAsia="宋体" w:cs="宋体"/>
          <w:sz w:val="28"/>
          <w:szCs w:val="28"/>
          <w:lang w:val="en-US" w:eastAsia="zh-CN"/>
        </w:rPr>
        <w:t>提交单位：</w:t>
      </w:r>
      <w:r>
        <w:rPr>
          <w:rFonts w:hint="eastAsia" w:ascii="宋体" w:hAnsi="宋体" w:cs="宋体"/>
          <w:sz w:val="28"/>
          <w:szCs w:val="28"/>
        </w:rPr>
        <w:t>中化地质矿山总局新疆地质调查院</w:t>
      </w:r>
    </w:p>
    <w:p>
      <w:pPr>
        <w:spacing w:line="560" w:lineRule="exact"/>
        <w:ind w:firstLine="564" w:firstLineChars="200"/>
        <w:rPr>
          <w:rFonts w:ascii="宋体" w:hAnsi="宋体" w:cs="宋体"/>
          <w:spacing w:val="1"/>
          <w:sz w:val="28"/>
          <w:szCs w:val="28"/>
        </w:rPr>
      </w:pPr>
      <w:r>
        <w:rPr>
          <w:rFonts w:hint="eastAsia" w:ascii="宋体" w:hAnsi="宋体" w:cs="宋体"/>
          <w:spacing w:val="1"/>
          <w:sz w:val="28"/>
          <w:szCs w:val="28"/>
        </w:rPr>
        <w:t>编制单位：</w:t>
      </w:r>
      <w:r>
        <w:rPr>
          <w:rFonts w:hint="eastAsia" w:ascii="宋体" w:hAnsi="宋体" w:cs="宋体"/>
          <w:sz w:val="28"/>
          <w:szCs w:val="28"/>
        </w:rPr>
        <w:t>中化地质矿山总局新疆地质调查院</w:t>
      </w:r>
    </w:p>
    <w:p>
      <w:pPr>
        <w:spacing w:line="560" w:lineRule="exact"/>
        <w:ind w:firstLine="564" w:firstLineChars="200"/>
        <w:rPr>
          <w:rFonts w:ascii="宋体" w:hAnsi="宋体" w:cs="宋体"/>
          <w:spacing w:val="1"/>
          <w:sz w:val="28"/>
          <w:szCs w:val="28"/>
        </w:rPr>
      </w:pPr>
      <w:r>
        <w:rPr>
          <w:rFonts w:hint="eastAsia" w:ascii="宋体" w:hAnsi="宋体" w:cs="宋体"/>
          <w:spacing w:val="1"/>
          <w:sz w:val="28"/>
          <w:szCs w:val="28"/>
        </w:rPr>
        <w:t>项目负责：</w:t>
      </w:r>
      <w:r>
        <w:rPr>
          <w:rFonts w:hint="eastAsia" w:ascii="宋体" w:hAnsi="宋体" w:cs="宋体"/>
          <w:sz w:val="28"/>
          <w:szCs w:val="28"/>
        </w:rPr>
        <w:t>王进宝</w:t>
      </w:r>
    </w:p>
    <w:p>
      <w:pPr>
        <w:spacing w:line="560" w:lineRule="exact"/>
        <w:ind w:firstLine="564" w:firstLineChars="200"/>
        <w:rPr>
          <w:rFonts w:hint="eastAsia" w:ascii="宋体" w:hAnsi="宋体" w:cs="宋体"/>
          <w:sz w:val="28"/>
          <w:szCs w:val="28"/>
        </w:rPr>
      </w:pPr>
      <w:r>
        <w:rPr>
          <w:rFonts w:hint="eastAsia" w:ascii="宋体" w:hAnsi="宋体" w:cs="宋体"/>
          <w:spacing w:val="1"/>
          <w:sz w:val="28"/>
          <w:szCs w:val="28"/>
        </w:rPr>
        <w:t>编制人员：</w:t>
      </w:r>
      <w:r>
        <w:rPr>
          <w:rFonts w:hint="eastAsia" w:ascii="宋体" w:hAnsi="宋体" w:cs="宋体"/>
          <w:sz w:val="28"/>
          <w:szCs w:val="28"/>
        </w:rPr>
        <w:t>王进宝、王</w:t>
      </w:r>
      <w:r>
        <w:rPr>
          <w:rFonts w:hint="eastAsia" w:ascii="宋体" w:hAnsi="宋体" w:cs="宋体"/>
          <w:sz w:val="28"/>
          <w:szCs w:val="28"/>
          <w:lang w:val="en-US" w:eastAsia="zh-CN"/>
        </w:rPr>
        <w:t xml:space="preserve">  </w:t>
      </w:r>
      <w:r>
        <w:rPr>
          <w:rFonts w:hint="eastAsia" w:ascii="宋体" w:hAnsi="宋体" w:cs="宋体"/>
          <w:sz w:val="28"/>
          <w:szCs w:val="28"/>
        </w:rPr>
        <w:t>军、王家林、乔呈祥、潘  双</w:t>
      </w:r>
    </w:p>
    <w:p>
      <w:pPr>
        <w:spacing w:line="560" w:lineRule="exact"/>
        <w:ind w:firstLine="564" w:firstLineChars="200"/>
        <w:rPr>
          <w:rFonts w:ascii="宋体" w:hAnsi="宋体" w:cs="宋体"/>
          <w:spacing w:val="1"/>
          <w:sz w:val="28"/>
          <w:szCs w:val="28"/>
        </w:rPr>
      </w:pPr>
      <w:r>
        <w:rPr>
          <w:rFonts w:hint="eastAsia" w:ascii="宋体" w:hAnsi="宋体" w:cs="宋体"/>
          <w:spacing w:val="1"/>
          <w:sz w:val="28"/>
          <w:szCs w:val="28"/>
        </w:rPr>
        <w:t>评审专家</w:t>
      </w:r>
      <w:r>
        <w:rPr>
          <w:rFonts w:hint="eastAsia" w:ascii="宋体" w:hAnsi="宋体" w:cs="宋体"/>
          <w:spacing w:val="1"/>
          <w:sz w:val="28"/>
          <w:szCs w:val="28"/>
          <w:lang w:val="en-US" w:eastAsia="zh-CN"/>
        </w:rPr>
        <w:t>组</w:t>
      </w:r>
      <w:r>
        <w:rPr>
          <w:rFonts w:hint="eastAsia" w:ascii="宋体" w:hAnsi="宋体" w:cs="宋体"/>
          <w:spacing w:val="1"/>
          <w:sz w:val="28"/>
          <w:szCs w:val="28"/>
        </w:rPr>
        <w:t>组长：</w:t>
      </w:r>
      <w:r>
        <w:rPr>
          <w:rFonts w:hint="eastAsia" w:ascii="宋体" w:hAnsi="宋体" w:cs="宋体"/>
          <w:spacing w:val="1"/>
          <w:sz w:val="28"/>
          <w:szCs w:val="28"/>
          <w:lang w:val="en-US" w:eastAsia="zh-CN"/>
        </w:rPr>
        <w:t>朱建军</w:t>
      </w:r>
    </w:p>
    <w:p>
      <w:pPr>
        <w:spacing w:line="560" w:lineRule="exact"/>
        <w:ind w:firstLine="564" w:firstLineChars="200"/>
        <w:rPr>
          <w:rFonts w:ascii="宋体" w:hAnsi="宋体" w:cs="宋体"/>
          <w:spacing w:val="1"/>
          <w:sz w:val="28"/>
          <w:szCs w:val="28"/>
        </w:rPr>
      </w:pPr>
      <w:r>
        <w:rPr>
          <w:rFonts w:hint="eastAsia" w:ascii="宋体" w:hAnsi="宋体" w:cs="宋体"/>
          <w:spacing w:val="1"/>
          <w:sz w:val="28"/>
          <w:szCs w:val="28"/>
        </w:rPr>
        <w:t>评审专家组成员：</w:t>
      </w:r>
      <w:r>
        <w:rPr>
          <w:rFonts w:hint="eastAsia" w:ascii="宋体" w:hAnsi="宋体" w:cs="宋体"/>
          <w:spacing w:val="1"/>
          <w:sz w:val="28"/>
          <w:szCs w:val="28"/>
          <w:lang w:val="en-US" w:eastAsia="zh-CN"/>
        </w:rPr>
        <w:t>王宏君</w:t>
      </w:r>
      <w:r>
        <w:rPr>
          <w:rFonts w:hint="eastAsia" w:ascii="宋体" w:hAnsi="宋体" w:cs="宋体"/>
          <w:sz w:val="28"/>
          <w:szCs w:val="28"/>
        </w:rPr>
        <w:t>、</w:t>
      </w:r>
      <w:r>
        <w:rPr>
          <w:rFonts w:hint="eastAsia" w:ascii="宋体" w:hAnsi="宋体" w:cs="宋体"/>
          <w:sz w:val="28"/>
          <w:szCs w:val="28"/>
          <w:lang w:val="en-US" w:eastAsia="zh-CN"/>
        </w:rPr>
        <w:t>董丽霞</w:t>
      </w:r>
      <w:r>
        <w:rPr>
          <w:rFonts w:hint="eastAsia" w:ascii="宋体" w:hAnsi="宋体" w:cs="宋体"/>
          <w:sz w:val="28"/>
          <w:szCs w:val="28"/>
        </w:rPr>
        <w:t>、</w:t>
      </w:r>
      <w:r>
        <w:rPr>
          <w:rFonts w:hint="eastAsia" w:ascii="宋体" w:hAnsi="宋体" w:cs="宋体"/>
          <w:sz w:val="28"/>
          <w:szCs w:val="28"/>
          <w:lang w:val="en-US" w:eastAsia="zh-CN"/>
        </w:rPr>
        <w:t>刘湘茹</w:t>
      </w:r>
      <w:r>
        <w:rPr>
          <w:rFonts w:hint="eastAsia" w:ascii="宋体" w:hAnsi="宋体" w:cs="宋体"/>
          <w:sz w:val="28"/>
          <w:szCs w:val="28"/>
        </w:rPr>
        <w:t>、毛开拥</w:t>
      </w:r>
    </w:p>
    <w:p>
      <w:pPr>
        <w:spacing w:line="560" w:lineRule="exact"/>
        <w:ind w:firstLine="560" w:firstLineChars="200"/>
        <w:rPr>
          <w:rFonts w:ascii="宋体" w:hAnsi="宋体" w:cs="宋体"/>
          <w:color w:val="000000"/>
          <w:spacing w:val="1"/>
          <w:sz w:val="28"/>
          <w:szCs w:val="28"/>
        </w:rPr>
      </w:pPr>
      <w:r>
        <w:rPr>
          <w:rFonts w:hint="eastAsia" w:ascii="宋体" w:hAnsi="宋体" w:cs="宋体"/>
          <w:color w:val="000000"/>
          <w:sz w:val="28"/>
          <w:szCs w:val="28"/>
        </w:rPr>
        <w:t>认 定 单 位：</w:t>
      </w:r>
      <w:r>
        <w:rPr>
          <w:rFonts w:hint="eastAsia" w:ascii="宋体" w:hAnsi="宋体" w:cs="宋体"/>
          <w:color w:val="000000"/>
          <w:spacing w:val="1"/>
          <w:sz w:val="28"/>
          <w:szCs w:val="28"/>
        </w:rPr>
        <w:t>喀什矿产资源评审中心</w:t>
      </w:r>
    </w:p>
    <w:p>
      <w:pPr>
        <w:spacing w:line="560" w:lineRule="exact"/>
        <w:ind w:firstLine="560" w:firstLineChars="200"/>
        <w:rPr>
          <w:rFonts w:hint="default" w:ascii="宋体" w:hAnsi="宋体" w:eastAsia="宋体" w:cs="宋体"/>
          <w:spacing w:val="1"/>
          <w:sz w:val="28"/>
          <w:szCs w:val="28"/>
          <w:lang w:val="en-US" w:eastAsia="zh-CN"/>
        </w:rPr>
      </w:pPr>
      <w:r>
        <w:rPr>
          <w:rFonts w:hint="eastAsia" w:ascii="宋体" w:hAnsi="宋体" w:cs="宋体"/>
          <w:color w:val="000000"/>
          <w:sz w:val="28"/>
          <w:szCs w:val="28"/>
        </w:rPr>
        <w:t>评 审 方 式：</w:t>
      </w:r>
      <w:r>
        <w:rPr>
          <w:rFonts w:hint="eastAsia" w:ascii="宋体" w:hAnsi="宋体" w:cs="宋体"/>
          <w:color w:val="000000"/>
          <w:spacing w:val="1"/>
          <w:sz w:val="28"/>
          <w:szCs w:val="28"/>
          <w:lang w:val="en-US" w:eastAsia="zh-CN"/>
        </w:rPr>
        <w:t>视频会议</w:t>
      </w:r>
    </w:p>
    <w:p>
      <w:pPr>
        <w:spacing w:line="560" w:lineRule="exact"/>
        <w:ind w:firstLine="564" w:firstLineChars="200"/>
        <w:rPr>
          <w:rFonts w:ascii="宋体" w:hAnsi="宋体" w:cs="宋体"/>
          <w:spacing w:val="1"/>
          <w:sz w:val="28"/>
          <w:szCs w:val="28"/>
        </w:rPr>
      </w:pPr>
      <w:r>
        <w:rPr>
          <w:rFonts w:hint="eastAsia" w:ascii="宋体" w:hAnsi="宋体" w:cs="宋体"/>
          <w:spacing w:val="1"/>
          <w:sz w:val="28"/>
          <w:szCs w:val="28"/>
        </w:rPr>
        <w:t>评审时间：202</w:t>
      </w:r>
      <w:r>
        <w:rPr>
          <w:rFonts w:hint="eastAsia" w:ascii="宋体" w:hAnsi="宋体" w:cs="宋体"/>
          <w:spacing w:val="1"/>
          <w:sz w:val="28"/>
          <w:szCs w:val="28"/>
          <w:lang w:val="en-US" w:eastAsia="zh-CN"/>
        </w:rPr>
        <w:t>4</w:t>
      </w:r>
      <w:r>
        <w:rPr>
          <w:rFonts w:hint="eastAsia" w:ascii="宋体" w:hAnsi="宋体" w:cs="宋体"/>
          <w:spacing w:val="1"/>
          <w:sz w:val="28"/>
          <w:szCs w:val="28"/>
        </w:rPr>
        <w:t>年</w:t>
      </w:r>
      <w:r>
        <w:rPr>
          <w:rFonts w:hint="eastAsia" w:ascii="宋体" w:hAnsi="宋体" w:cs="宋体"/>
          <w:spacing w:val="1"/>
          <w:sz w:val="28"/>
          <w:szCs w:val="28"/>
          <w:lang w:val="en-US" w:eastAsia="zh-CN"/>
        </w:rPr>
        <w:t>10</w:t>
      </w:r>
      <w:r>
        <w:rPr>
          <w:rFonts w:hint="eastAsia" w:ascii="宋体" w:hAnsi="宋体" w:cs="宋体"/>
          <w:spacing w:val="1"/>
          <w:sz w:val="28"/>
          <w:szCs w:val="28"/>
        </w:rPr>
        <w:t>月2</w:t>
      </w:r>
      <w:r>
        <w:rPr>
          <w:rFonts w:hint="eastAsia" w:ascii="宋体" w:hAnsi="宋体" w:cs="宋体"/>
          <w:spacing w:val="1"/>
          <w:sz w:val="28"/>
          <w:szCs w:val="28"/>
          <w:lang w:val="en-US" w:eastAsia="zh-CN"/>
        </w:rPr>
        <w:t>0</w:t>
      </w:r>
      <w:r>
        <w:rPr>
          <w:rFonts w:hint="eastAsia" w:ascii="宋体" w:hAnsi="宋体" w:cs="宋体"/>
          <w:spacing w:val="1"/>
          <w:sz w:val="28"/>
          <w:szCs w:val="28"/>
        </w:rPr>
        <w:t>日</w:t>
      </w:r>
    </w:p>
    <w:p>
      <w:pPr>
        <w:spacing w:line="360" w:lineRule="auto"/>
        <w:jc w:val="left"/>
        <w:rPr>
          <w:rFonts w:hint="eastAsia" w:ascii="宋体" w:hAnsi="宋体" w:cs="宋体"/>
          <w:b/>
          <w:bCs/>
          <w:sz w:val="30"/>
          <w:szCs w:val="30"/>
        </w:rPr>
      </w:pPr>
    </w:p>
    <w:p>
      <w:pPr>
        <w:spacing w:line="360" w:lineRule="auto"/>
        <w:jc w:val="left"/>
        <w:rPr>
          <w:rFonts w:hint="eastAsia" w:ascii="宋体" w:hAnsi="宋体" w:cs="宋体"/>
          <w:b/>
          <w:bCs/>
          <w:sz w:val="30"/>
          <w:szCs w:val="30"/>
        </w:rPr>
      </w:pPr>
    </w:p>
    <w:p>
      <w:pPr>
        <w:spacing w:line="360" w:lineRule="auto"/>
        <w:jc w:val="left"/>
        <w:rPr>
          <w:rFonts w:hint="eastAsia" w:ascii="宋体" w:hAnsi="宋体" w:cs="宋体"/>
          <w:b/>
          <w:bCs/>
          <w:sz w:val="30"/>
          <w:szCs w:val="30"/>
        </w:rPr>
      </w:pPr>
    </w:p>
    <w:p>
      <w:pPr>
        <w:spacing w:line="360" w:lineRule="auto"/>
        <w:jc w:val="left"/>
        <w:rPr>
          <w:rFonts w:hint="eastAsia" w:ascii="宋体" w:hAnsi="宋体" w:cs="宋体"/>
          <w:b/>
          <w:bCs/>
          <w:sz w:val="30"/>
          <w:szCs w:val="30"/>
        </w:rPr>
      </w:pPr>
    </w:p>
    <w:p>
      <w:pPr>
        <w:jc w:val="left"/>
        <w:rPr>
          <w:rFonts w:hint="eastAsia" w:ascii="宋体" w:hAnsi="宋体" w:cs="宋体"/>
          <w:b/>
          <w:bCs/>
          <w:sz w:val="30"/>
          <w:szCs w:val="30"/>
        </w:rPr>
      </w:pPr>
    </w:p>
    <w:p>
      <w:pPr>
        <w:jc w:val="left"/>
        <w:rPr>
          <w:rFonts w:hint="eastAsia" w:ascii="宋体" w:hAnsi="宋体" w:cs="宋体"/>
          <w:b/>
          <w:bCs/>
          <w:sz w:val="30"/>
          <w:szCs w:val="30"/>
        </w:rPr>
      </w:pPr>
    </w:p>
    <w:p>
      <w:pPr>
        <w:jc w:val="center"/>
        <w:rPr>
          <w:rFonts w:hint="eastAsia" w:ascii="宋体" w:hAnsi="宋体" w:cs="宋体"/>
          <w:b/>
          <w:bCs/>
          <w:sz w:val="30"/>
          <w:szCs w:val="30"/>
        </w:rPr>
      </w:pPr>
    </w:p>
    <w:p>
      <w:pPr>
        <w:jc w:val="center"/>
        <w:rPr>
          <w:rFonts w:hint="eastAsia" w:ascii="宋体" w:hAnsi="宋体" w:cs="宋体"/>
          <w:b/>
          <w:bCs/>
          <w:sz w:val="30"/>
          <w:szCs w:val="30"/>
        </w:rPr>
      </w:pPr>
    </w:p>
    <w:p>
      <w:pPr>
        <w:jc w:val="center"/>
        <w:rPr>
          <w:rFonts w:hint="eastAsia" w:ascii="宋体" w:hAnsi="宋体" w:cs="宋体"/>
          <w:b/>
          <w:bCs/>
          <w:sz w:val="30"/>
          <w:szCs w:val="30"/>
        </w:rPr>
      </w:pPr>
    </w:p>
    <w:p>
      <w:pPr>
        <w:jc w:val="center"/>
        <w:rPr>
          <w:rFonts w:hint="eastAsia" w:ascii="宋体" w:hAnsi="宋体" w:cs="宋体"/>
          <w:b/>
          <w:bCs/>
          <w:sz w:val="30"/>
          <w:szCs w:val="30"/>
        </w:rPr>
      </w:pPr>
    </w:p>
    <w:p>
      <w:pPr>
        <w:pStyle w:val="52"/>
        <w:rPr>
          <w:rFonts w:hint="eastAsia" w:ascii="宋体" w:hAnsi="宋体" w:cs="宋体"/>
          <w:b/>
          <w:bCs/>
          <w:sz w:val="30"/>
          <w:szCs w:val="30"/>
        </w:rPr>
      </w:pPr>
    </w:p>
    <w:p>
      <w:pPr>
        <w:pStyle w:val="36"/>
        <w:rPr>
          <w:rFonts w:hint="eastAsia"/>
        </w:rPr>
      </w:pPr>
    </w:p>
    <w:p>
      <w:pPr>
        <w:rPr>
          <w:rFonts w:hint="eastAsia" w:ascii="宋体" w:hAnsi="宋体" w:cs="宋体"/>
          <w:b/>
          <w:bCs/>
          <w:sz w:val="30"/>
          <w:szCs w:val="30"/>
        </w:rPr>
      </w:pPr>
    </w:p>
    <w:p>
      <w:pPr>
        <w:pageBreakBefore/>
        <w:spacing w:line="480" w:lineRule="exact"/>
        <w:rPr>
          <w:rFonts w:hint="eastAsia" w:ascii="宋体" w:hAnsi="宋体" w:cs="宋体"/>
          <w:sz w:val="28"/>
          <w:szCs w:val="28"/>
        </w:rPr>
      </w:pPr>
      <w:r>
        <w:rPr>
          <w:rFonts w:hint="eastAsia" w:ascii="宋体" w:hAnsi="宋体" w:cs="宋体"/>
          <w:sz w:val="28"/>
          <w:szCs w:val="28"/>
        </w:rPr>
        <w:t>附注：</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1、矿区范围拐点坐标</w:t>
      </w:r>
    </w:p>
    <w:p>
      <w:pPr>
        <w:adjustRightInd w:val="0"/>
        <w:snapToGrid w:val="0"/>
        <w:jc w:val="center"/>
        <w:rPr>
          <w:rFonts w:hint="eastAsia" w:ascii="宋体" w:hAnsi="宋体" w:cs="宋体"/>
          <w:sz w:val="28"/>
          <w:szCs w:val="28"/>
        </w:rPr>
      </w:pPr>
      <w:r>
        <w:rPr>
          <w:rFonts w:hint="eastAsia" w:ascii="宋体" w:hAnsi="宋体" w:cs="宋体"/>
          <w:sz w:val="28"/>
          <w:szCs w:val="28"/>
        </w:rPr>
        <w:t>矿区范围拐点坐标表（CGCS2000）</w:t>
      </w:r>
    </w:p>
    <w:tbl>
      <w:tblPr>
        <w:tblStyle w:val="53"/>
        <w:tblW w:w="81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590"/>
        <w:gridCol w:w="1636"/>
        <w:gridCol w:w="2040"/>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vMerge w:val="restart"/>
            <w:noWrap/>
            <w:vAlign w:val="center"/>
          </w:tcPr>
          <w:p>
            <w:pPr>
              <w:pStyle w:val="160"/>
              <w:rPr>
                <w:rFonts w:ascii="宋体" w:hAnsi="宋体" w:cs="宋体"/>
                <w:kern w:val="2"/>
                <w:sz w:val="24"/>
                <w:szCs w:val="24"/>
              </w:rPr>
            </w:pPr>
            <w:r>
              <w:rPr>
                <w:rFonts w:ascii="宋体" w:hAnsi="宋体" w:cs="宋体"/>
                <w:kern w:val="2"/>
                <w:sz w:val="24"/>
                <w:szCs w:val="24"/>
              </w:rPr>
              <w:t>拐点</w:t>
            </w:r>
          </w:p>
          <w:p>
            <w:pPr>
              <w:pStyle w:val="160"/>
              <w:rPr>
                <w:rFonts w:ascii="宋体" w:hAnsi="宋体" w:cs="宋体"/>
                <w:kern w:val="2"/>
                <w:sz w:val="24"/>
                <w:szCs w:val="24"/>
              </w:rPr>
            </w:pPr>
            <w:r>
              <w:rPr>
                <w:rFonts w:ascii="宋体" w:hAnsi="宋体" w:cs="宋体"/>
                <w:kern w:val="2"/>
                <w:sz w:val="24"/>
                <w:szCs w:val="24"/>
              </w:rPr>
              <w:t>编号</w:t>
            </w:r>
          </w:p>
        </w:tc>
        <w:tc>
          <w:tcPr>
            <w:tcW w:w="3226" w:type="dxa"/>
            <w:gridSpan w:val="2"/>
            <w:noWrap/>
            <w:vAlign w:val="center"/>
          </w:tcPr>
          <w:p>
            <w:pPr>
              <w:pStyle w:val="160"/>
              <w:rPr>
                <w:rFonts w:ascii="宋体" w:hAnsi="宋体" w:cs="宋体"/>
                <w:kern w:val="2"/>
                <w:sz w:val="24"/>
                <w:szCs w:val="24"/>
              </w:rPr>
            </w:pPr>
            <w:r>
              <w:rPr>
                <w:rFonts w:ascii="宋体" w:hAnsi="宋体" w:cs="宋体"/>
                <w:kern w:val="2"/>
                <w:sz w:val="24"/>
                <w:szCs w:val="24"/>
              </w:rPr>
              <w:t>CGCS2000直角坐标系</w:t>
            </w:r>
          </w:p>
        </w:tc>
        <w:tc>
          <w:tcPr>
            <w:tcW w:w="3962" w:type="dxa"/>
            <w:gridSpan w:val="2"/>
            <w:noWrap/>
            <w:vAlign w:val="center"/>
          </w:tcPr>
          <w:p>
            <w:pPr>
              <w:pStyle w:val="160"/>
              <w:rPr>
                <w:rFonts w:ascii="宋体" w:hAnsi="宋体" w:cs="宋体"/>
                <w:kern w:val="2"/>
                <w:sz w:val="24"/>
                <w:szCs w:val="24"/>
              </w:rPr>
            </w:pPr>
            <w:r>
              <w:rPr>
                <w:rFonts w:ascii="宋体" w:hAnsi="宋体" w:cs="宋体"/>
                <w:kern w:val="2"/>
                <w:sz w:val="24"/>
                <w:szCs w:val="24"/>
              </w:rPr>
              <w:t>经纬度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vMerge w:val="continue"/>
            <w:noWrap w:val="0"/>
            <w:vAlign w:val="center"/>
          </w:tcPr>
          <w:p>
            <w:pPr>
              <w:pStyle w:val="160"/>
              <w:rPr>
                <w:rFonts w:ascii="宋体" w:hAnsi="宋体" w:cs="宋体"/>
                <w:kern w:val="2"/>
                <w:sz w:val="24"/>
                <w:szCs w:val="24"/>
              </w:rPr>
            </w:pPr>
          </w:p>
        </w:tc>
        <w:tc>
          <w:tcPr>
            <w:tcW w:w="1590" w:type="dxa"/>
            <w:noWrap/>
            <w:vAlign w:val="center"/>
          </w:tcPr>
          <w:p>
            <w:pPr>
              <w:pStyle w:val="160"/>
              <w:rPr>
                <w:rFonts w:ascii="宋体" w:hAnsi="宋体" w:cs="宋体"/>
                <w:kern w:val="2"/>
                <w:sz w:val="24"/>
                <w:szCs w:val="24"/>
              </w:rPr>
            </w:pPr>
            <w:r>
              <w:rPr>
                <w:rFonts w:ascii="宋体" w:hAnsi="宋体" w:cs="宋体"/>
                <w:kern w:val="2"/>
                <w:sz w:val="24"/>
                <w:szCs w:val="24"/>
              </w:rPr>
              <w:t>X坐标</w:t>
            </w:r>
          </w:p>
        </w:tc>
        <w:tc>
          <w:tcPr>
            <w:tcW w:w="1636" w:type="dxa"/>
            <w:noWrap/>
            <w:vAlign w:val="center"/>
          </w:tcPr>
          <w:p>
            <w:pPr>
              <w:pStyle w:val="160"/>
              <w:rPr>
                <w:rFonts w:ascii="宋体" w:hAnsi="宋体" w:cs="宋体"/>
                <w:kern w:val="2"/>
                <w:sz w:val="24"/>
                <w:szCs w:val="24"/>
              </w:rPr>
            </w:pPr>
            <w:r>
              <w:rPr>
                <w:rFonts w:ascii="宋体" w:hAnsi="宋体" w:cs="宋体"/>
                <w:kern w:val="2"/>
                <w:sz w:val="24"/>
                <w:szCs w:val="24"/>
              </w:rPr>
              <w:t>Y坐标</w:t>
            </w:r>
          </w:p>
        </w:tc>
        <w:tc>
          <w:tcPr>
            <w:tcW w:w="2040" w:type="dxa"/>
            <w:noWrap/>
            <w:vAlign w:val="center"/>
          </w:tcPr>
          <w:p>
            <w:pPr>
              <w:pStyle w:val="160"/>
              <w:rPr>
                <w:rFonts w:ascii="宋体" w:hAnsi="宋体" w:cs="宋体"/>
                <w:kern w:val="2"/>
                <w:sz w:val="24"/>
                <w:szCs w:val="24"/>
              </w:rPr>
            </w:pPr>
            <w:r>
              <w:rPr>
                <w:rFonts w:ascii="宋体" w:hAnsi="宋体" w:cs="宋体"/>
                <w:kern w:val="2"/>
                <w:sz w:val="24"/>
                <w:szCs w:val="24"/>
              </w:rPr>
              <w:t>东经</w:t>
            </w:r>
          </w:p>
        </w:tc>
        <w:tc>
          <w:tcPr>
            <w:tcW w:w="1922" w:type="dxa"/>
            <w:noWrap/>
            <w:vAlign w:val="center"/>
          </w:tcPr>
          <w:p>
            <w:pPr>
              <w:pStyle w:val="160"/>
              <w:rPr>
                <w:rFonts w:ascii="宋体" w:hAnsi="宋体" w:cs="宋体"/>
                <w:kern w:val="2"/>
                <w:sz w:val="24"/>
                <w:szCs w:val="24"/>
              </w:rPr>
            </w:pPr>
            <w:r>
              <w:rPr>
                <w:rFonts w:ascii="宋体" w:hAnsi="宋体" w:cs="宋体"/>
                <w:kern w:val="2"/>
                <w:sz w:val="24"/>
                <w:szCs w:val="24"/>
              </w:rPr>
              <w:t>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cs="宋体"/>
                <w:color w:val="auto"/>
                <w:kern w:val="0"/>
                <w:sz w:val="21"/>
                <w:szCs w:val="21"/>
                <w:lang w:val="en-US" w:eastAsia="zh-CN" w:bidi="ar"/>
              </w:rPr>
              <w:t>S</w:t>
            </w:r>
            <w:r>
              <w:rPr>
                <w:rFonts w:hint="eastAsia" w:ascii="宋体" w:hAnsi="宋体" w:eastAsia="宋体" w:cs="宋体"/>
                <w:color w:val="auto"/>
                <w:kern w:val="0"/>
                <w:sz w:val="21"/>
                <w:szCs w:val="21"/>
                <w:lang w:bidi="ar"/>
              </w:rPr>
              <w:t>1</w:t>
            </w:r>
          </w:p>
        </w:tc>
        <w:tc>
          <w:tcPr>
            <w:tcW w:w="1590" w:type="dxa"/>
            <w:noWrap/>
            <w:vAlign w:val="center"/>
          </w:tcPr>
          <w:p>
            <w:pPr>
              <w:widowControl/>
              <w:spacing w:line="240" w:lineRule="auto"/>
              <w:ind w:firstLine="0" w:firstLineChars="0"/>
              <w:jc w:val="center"/>
              <w:textAlignment w:val="center"/>
              <w:rPr>
                <w:rFonts w:hint="default" w:ascii="宋体" w:hAnsi="宋体" w:eastAsia="宋体" w:cs="宋体"/>
                <w:sz w:val="24"/>
                <w:lang w:val="en-US" w:eastAsia="zh-CN"/>
              </w:rPr>
            </w:pPr>
            <w:r>
              <w:rPr>
                <w:rFonts w:hint="eastAsia" w:ascii="宋体" w:hAnsi="宋体" w:eastAsia="宋体" w:cs="宋体"/>
                <w:color w:val="auto"/>
                <w:kern w:val="0"/>
                <w:sz w:val="21"/>
                <w:szCs w:val="21"/>
                <w:lang w:val="en-US" w:eastAsia="zh-CN" w:bidi="ar"/>
              </w:rPr>
              <w:t>********</w:t>
            </w:r>
          </w:p>
        </w:tc>
        <w:tc>
          <w:tcPr>
            <w:tcW w:w="1636"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204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922"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cs="宋体"/>
                <w:color w:val="auto"/>
                <w:kern w:val="0"/>
                <w:sz w:val="21"/>
                <w:szCs w:val="21"/>
                <w:lang w:val="en-US" w:eastAsia="zh-CN" w:bidi="ar"/>
              </w:rPr>
              <w:t>S</w:t>
            </w:r>
            <w:r>
              <w:rPr>
                <w:rFonts w:hint="eastAsia" w:ascii="宋体" w:hAnsi="宋体" w:eastAsia="宋体" w:cs="宋体"/>
                <w:color w:val="auto"/>
                <w:kern w:val="0"/>
                <w:sz w:val="21"/>
                <w:szCs w:val="21"/>
                <w:lang w:bidi="ar"/>
              </w:rPr>
              <w:t>2</w:t>
            </w:r>
          </w:p>
        </w:tc>
        <w:tc>
          <w:tcPr>
            <w:tcW w:w="159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636"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204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922"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cs="宋体"/>
                <w:color w:val="auto"/>
                <w:kern w:val="0"/>
                <w:sz w:val="21"/>
                <w:szCs w:val="21"/>
                <w:lang w:val="en-US" w:eastAsia="zh-CN" w:bidi="ar"/>
              </w:rPr>
              <w:t>S</w:t>
            </w:r>
            <w:r>
              <w:rPr>
                <w:rFonts w:hint="eastAsia" w:ascii="宋体" w:hAnsi="宋体" w:eastAsia="宋体" w:cs="宋体"/>
                <w:color w:val="auto"/>
                <w:kern w:val="0"/>
                <w:sz w:val="21"/>
                <w:szCs w:val="21"/>
                <w:lang w:bidi="ar"/>
              </w:rPr>
              <w:t>3</w:t>
            </w:r>
          </w:p>
        </w:tc>
        <w:tc>
          <w:tcPr>
            <w:tcW w:w="159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636"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204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922"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cs="宋体"/>
                <w:color w:val="auto"/>
                <w:kern w:val="0"/>
                <w:sz w:val="21"/>
                <w:szCs w:val="21"/>
                <w:lang w:val="en-US" w:eastAsia="zh-CN" w:bidi="ar"/>
              </w:rPr>
              <w:t>S</w:t>
            </w:r>
            <w:r>
              <w:rPr>
                <w:rFonts w:hint="eastAsia" w:ascii="宋体" w:hAnsi="宋体" w:eastAsia="宋体" w:cs="宋体"/>
                <w:color w:val="auto"/>
                <w:kern w:val="0"/>
                <w:sz w:val="21"/>
                <w:szCs w:val="21"/>
                <w:lang w:bidi="ar"/>
              </w:rPr>
              <w:t>4</w:t>
            </w:r>
          </w:p>
        </w:tc>
        <w:tc>
          <w:tcPr>
            <w:tcW w:w="159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636"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204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922"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noWrap/>
            <w:vAlign w:val="center"/>
          </w:tcPr>
          <w:p>
            <w:pPr>
              <w:widowControl/>
              <w:spacing w:line="240" w:lineRule="auto"/>
              <w:ind w:firstLine="0" w:firstLineChars="0"/>
              <w:jc w:val="center"/>
              <w:textAlignment w:val="center"/>
              <w:rPr>
                <w:rFonts w:hint="eastAsia" w:ascii="宋体" w:hAnsi="宋体" w:cs="宋体"/>
                <w:sz w:val="24"/>
              </w:rPr>
            </w:pPr>
            <w:r>
              <w:rPr>
                <w:rFonts w:hint="eastAsia" w:ascii="宋体" w:hAnsi="宋体" w:cs="宋体"/>
                <w:color w:val="auto"/>
                <w:kern w:val="0"/>
                <w:sz w:val="21"/>
                <w:szCs w:val="21"/>
                <w:lang w:val="en-US" w:eastAsia="zh-CN" w:bidi="ar"/>
              </w:rPr>
              <w:t>S</w:t>
            </w:r>
            <w:r>
              <w:rPr>
                <w:rFonts w:hint="eastAsia" w:ascii="宋体" w:hAnsi="宋体" w:eastAsia="宋体" w:cs="宋体"/>
                <w:color w:val="auto"/>
                <w:kern w:val="0"/>
                <w:sz w:val="21"/>
                <w:szCs w:val="21"/>
                <w:lang w:bidi="ar"/>
              </w:rPr>
              <w:t>5</w:t>
            </w:r>
          </w:p>
        </w:tc>
        <w:tc>
          <w:tcPr>
            <w:tcW w:w="1590" w:type="dxa"/>
            <w:noWrap/>
            <w:vAlign w:val="center"/>
          </w:tcPr>
          <w:p>
            <w:pPr>
              <w:widowControl/>
              <w:spacing w:line="240" w:lineRule="auto"/>
              <w:ind w:firstLine="0" w:firstLineChars="0"/>
              <w:jc w:val="center"/>
              <w:textAlignment w:val="center"/>
              <w:rPr>
                <w:rFonts w:hint="eastAsia" w:ascii="宋体" w:hAnsi="宋体" w:cs="宋体"/>
                <w:sz w:val="24"/>
              </w:rPr>
            </w:pPr>
            <w:r>
              <w:rPr>
                <w:rFonts w:hint="eastAsia" w:ascii="宋体" w:hAnsi="宋体" w:eastAsia="宋体" w:cs="宋体"/>
                <w:color w:val="auto"/>
                <w:kern w:val="0"/>
                <w:sz w:val="21"/>
                <w:szCs w:val="21"/>
                <w:lang w:val="en-US" w:eastAsia="zh-CN" w:bidi="ar"/>
              </w:rPr>
              <w:t>********</w:t>
            </w:r>
          </w:p>
        </w:tc>
        <w:tc>
          <w:tcPr>
            <w:tcW w:w="1636" w:type="dxa"/>
            <w:noWrap/>
            <w:vAlign w:val="center"/>
          </w:tcPr>
          <w:p>
            <w:pPr>
              <w:widowControl/>
              <w:spacing w:line="240" w:lineRule="auto"/>
              <w:ind w:firstLine="0" w:firstLineChars="0"/>
              <w:jc w:val="center"/>
              <w:textAlignment w:val="center"/>
              <w:rPr>
                <w:rFonts w:hint="eastAsia" w:ascii="宋体" w:hAnsi="宋体" w:cs="宋体"/>
                <w:sz w:val="24"/>
              </w:rPr>
            </w:pPr>
            <w:r>
              <w:rPr>
                <w:rFonts w:hint="eastAsia" w:ascii="宋体" w:hAnsi="宋体" w:eastAsia="宋体" w:cs="宋体"/>
                <w:color w:val="auto"/>
                <w:kern w:val="0"/>
                <w:sz w:val="21"/>
                <w:szCs w:val="21"/>
                <w:lang w:val="en-US" w:eastAsia="zh-CN" w:bidi="ar"/>
              </w:rPr>
              <w:t>********</w:t>
            </w:r>
          </w:p>
        </w:tc>
        <w:tc>
          <w:tcPr>
            <w:tcW w:w="204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922"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930" w:type="dxa"/>
            <w:noWrap/>
            <w:vAlign w:val="center"/>
          </w:tcPr>
          <w:p>
            <w:pPr>
              <w:widowControl/>
              <w:spacing w:line="240" w:lineRule="auto"/>
              <w:ind w:firstLine="0" w:firstLineChars="0"/>
              <w:jc w:val="center"/>
              <w:textAlignment w:val="center"/>
              <w:rPr>
                <w:rFonts w:hint="eastAsia" w:ascii="宋体" w:hAnsi="宋体" w:cs="宋体"/>
                <w:sz w:val="24"/>
              </w:rPr>
            </w:pPr>
            <w:r>
              <w:rPr>
                <w:rFonts w:hint="eastAsia" w:ascii="宋体" w:hAnsi="宋体" w:cs="宋体"/>
                <w:color w:val="auto"/>
                <w:kern w:val="0"/>
                <w:sz w:val="21"/>
                <w:szCs w:val="21"/>
                <w:lang w:val="en-US" w:eastAsia="zh-CN" w:bidi="ar"/>
              </w:rPr>
              <w:t>S</w:t>
            </w:r>
            <w:r>
              <w:rPr>
                <w:rFonts w:hint="eastAsia" w:ascii="宋体" w:hAnsi="宋体" w:eastAsia="宋体" w:cs="宋体"/>
                <w:color w:val="auto"/>
                <w:kern w:val="0"/>
                <w:sz w:val="21"/>
                <w:szCs w:val="21"/>
                <w:lang w:bidi="ar"/>
              </w:rPr>
              <w:t>6</w:t>
            </w:r>
          </w:p>
        </w:tc>
        <w:tc>
          <w:tcPr>
            <w:tcW w:w="1590" w:type="dxa"/>
            <w:noWrap/>
            <w:vAlign w:val="center"/>
          </w:tcPr>
          <w:p>
            <w:pPr>
              <w:widowControl/>
              <w:spacing w:line="240" w:lineRule="auto"/>
              <w:ind w:firstLine="0" w:firstLineChars="0"/>
              <w:jc w:val="center"/>
              <w:textAlignment w:val="center"/>
              <w:rPr>
                <w:rFonts w:hint="eastAsia" w:ascii="宋体" w:hAnsi="宋体" w:cs="宋体"/>
                <w:sz w:val="24"/>
              </w:rPr>
            </w:pPr>
            <w:r>
              <w:rPr>
                <w:rFonts w:hint="eastAsia" w:ascii="宋体" w:hAnsi="宋体" w:eastAsia="宋体" w:cs="宋体"/>
                <w:color w:val="auto"/>
                <w:kern w:val="0"/>
                <w:sz w:val="21"/>
                <w:szCs w:val="21"/>
                <w:lang w:val="en-US" w:eastAsia="zh-CN" w:bidi="ar"/>
              </w:rPr>
              <w:t>********</w:t>
            </w:r>
          </w:p>
        </w:tc>
        <w:tc>
          <w:tcPr>
            <w:tcW w:w="1636" w:type="dxa"/>
            <w:noWrap/>
            <w:vAlign w:val="center"/>
          </w:tcPr>
          <w:p>
            <w:pPr>
              <w:widowControl/>
              <w:spacing w:line="240" w:lineRule="auto"/>
              <w:ind w:firstLine="0" w:firstLineChars="0"/>
              <w:jc w:val="center"/>
              <w:textAlignment w:val="center"/>
              <w:rPr>
                <w:rFonts w:hint="eastAsia" w:ascii="宋体" w:hAnsi="宋体" w:cs="宋体"/>
                <w:sz w:val="24"/>
              </w:rPr>
            </w:pPr>
            <w:r>
              <w:rPr>
                <w:rFonts w:hint="eastAsia" w:ascii="宋体" w:hAnsi="宋体" w:eastAsia="宋体" w:cs="宋体"/>
                <w:color w:val="auto"/>
                <w:kern w:val="0"/>
                <w:sz w:val="21"/>
                <w:szCs w:val="21"/>
                <w:lang w:val="en-US" w:eastAsia="zh-CN" w:bidi="ar"/>
              </w:rPr>
              <w:t>********</w:t>
            </w:r>
          </w:p>
        </w:tc>
        <w:tc>
          <w:tcPr>
            <w:tcW w:w="2040"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c>
          <w:tcPr>
            <w:tcW w:w="1922" w:type="dxa"/>
            <w:noWrap/>
            <w:vAlign w:val="center"/>
          </w:tcPr>
          <w:p>
            <w:pPr>
              <w:widowControl/>
              <w:spacing w:line="240" w:lineRule="auto"/>
              <w:ind w:firstLine="0" w:firstLineChars="0"/>
              <w:jc w:val="center"/>
              <w:textAlignment w:val="center"/>
              <w:rPr>
                <w:rFonts w:ascii="宋体" w:hAnsi="宋体" w:cs="宋体"/>
                <w:sz w:val="24"/>
              </w:rPr>
            </w:pPr>
            <w:r>
              <w:rPr>
                <w:rFonts w:hint="eastAsia" w:ascii="宋体" w:hAnsi="宋体" w:eastAsia="宋体" w:cs="宋体"/>
                <w:color w:val="auto"/>
                <w:kern w:val="0"/>
                <w:sz w:val="21"/>
                <w:szCs w:val="21"/>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8118" w:type="dxa"/>
            <w:gridSpan w:val="5"/>
            <w:noWrap/>
            <w:vAlign w:val="center"/>
          </w:tcPr>
          <w:p>
            <w:pPr>
              <w:pStyle w:val="160"/>
              <w:rPr>
                <w:rFonts w:hint="eastAsia" w:ascii="宋体" w:hAnsi="宋体" w:cs="宋体"/>
                <w:kern w:val="2"/>
                <w:sz w:val="24"/>
                <w:szCs w:val="24"/>
              </w:rPr>
            </w:pPr>
            <w:r>
              <w:rPr>
                <w:rFonts w:hint="eastAsia" w:ascii="宋体" w:hAnsi="宋体" w:cs="宋体"/>
                <w:sz w:val="24"/>
                <w:szCs w:val="24"/>
              </w:rPr>
              <w:t>开采深度：</w:t>
            </w:r>
            <w:r>
              <w:rPr>
                <w:rFonts w:hint="eastAsia" w:ascii="宋体" w:hAnsi="宋体" w:eastAsia="宋体" w:cs="宋体"/>
                <w:color w:val="auto"/>
                <w:sz w:val="24"/>
                <w:szCs w:val="24"/>
              </w:rPr>
              <w:t>1254.5</w:t>
            </w:r>
            <w:r>
              <w:rPr>
                <w:rFonts w:hint="eastAsia" w:ascii="宋体" w:hAnsi="宋体" w:cs="宋体"/>
                <w:sz w:val="24"/>
                <w:szCs w:val="24"/>
              </w:rPr>
              <w:t>米～</w:t>
            </w:r>
            <w:r>
              <w:rPr>
                <w:rFonts w:hint="eastAsia" w:ascii="宋体" w:hAnsi="宋体" w:eastAsia="宋体" w:cs="宋体"/>
                <w:color w:val="auto"/>
                <w:sz w:val="24"/>
                <w:szCs w:val="24"/>
              </w:rPr>
              <w:t>1190</w:t>
            </w:r>
            <w:r>
              <w:rPr>
                <w:rFonts w:hint="eastAsia" w:ascii="宋体" w:hAnsi="宋体" w:cs="宋体"/>
                <w:sz w:val="24"/>
                <w:szCs w:val="24"/>
              </w:rPr>
              <w:t>米；面积</w:t>
            </w:r>
            <w:r>
              <w:rPr>
                <w:rFonts w:hint="eastAsia" w:ascii="宋体" w:hAnsi="宋体" w:eastAsia="宋体" w:cs="宋体"/>
                <w:color w:val="auto"/>
                <w:sz w:val="24"/>
                <w:szCs w:val="24"/>
              </w:rPr>
              <w:t>0.3729</w:t>
            </w:r>
            <w:r>
              <w:rPr>
                <w:rFonts w:hint="eastAsia" w:ascii="宋体" w:hAnsi="宋体" w:cs="宋体"/>
                <w:sz w:val="24"/>
                <w:szCs w:val="24"/>
              </w:rPr>
              <w:t>km</w:t>
            </w:r>
            <w:r>
              <w:rPr>
                <w:rFonts w:hint="eastAsia" w:ascii="宋体" w:hAnsi="宋体" w:cs="宋体"/>
                <w:sz w:val="24"/>
                <w:szCs w:val="24"/>
                <w:vertAlign w:val="superscript"/>
              </w:rPr>
              <w:t>2</w:t>
            </w:r>
            <w:r>
              <w:rPr>
                <w:rFonts w:hint="eastAsia" w:ascii="宋体" w:hAnsi="宋体" w:cs="宋体"/>
                <w:sz w:val="24"/>
                <w:szCs w:val="24"/>
              </w:rPr>
              <w:t>；开采矿种：</w:t>
            </w:r>
            <w:r>
              <w:rPr>
                <w:rFonts w:hint="eastAsia" w:ascii="宋体" w:hAnsi="宋体" w:eastAsia="宋体" w:cs="宋体"/>
                <w:color w:val="auto"/>
                <w:sz w:val="24"/>
                <w:szCs w:val="24"/>
              </w:rPr>
              <w:t>砖瓦用页岩矿</w:t>
            </w:r>
          </w:p>
        </w:tc>
      </w:tr>
    </w:tbl>
    <w:p>
      <w:pPr>
        <w:spacing w:line="480" w:lineRule="exact"/>
        <w:ind w:firstLine="560" w:firstLineChars="200"/>
        <w:rPr>
          <w:rFonts w:hint="eastAsia" w:ascii="宋体" w:hAnsi="宋体" w:cs="宋体"/>
          <w:sz w:val="28"/>
          <w:szCs w:val="28"/>
        </w:rPr>
      </w:pPr>
      <w:r>
        <w:rPr>
          <w:rFonts w:hint="eastAsia" w:ascii="宋体" w:hAnsi="宋体" w:cs="宋体"/>
          <w:sz w:val="28"/>
          <w:szCs w:val="28"/>
        </w:rPr>
        <w:t>2、评审通过资源量估算标高为：</w:t>
      </w:r>
      <w:r>
        <w:rPr>
          <w:rFonts w:hint="eastAsia" w:ascii="宋体" w:hAnsi="宋体" w:cs="宋体"/>
          <w:sz w:val="28"/>
          <w:szCs w:val="28"/>
          <w:lang w:val="en-US" w:eastAsia="zh-CN"/>
        </w:rPr>
        <w:t>****</w:t>
      </w:r>
      <w:r>
        <w:rPr>
          <w:rFonts w:hint="eastAsia" w:ascii="宋体" w:hAnsi="宋体" w:cs="宋体"/>
          <w:sz w:val="28"/>
          <w:szCs w:val="28"/>
        </w:rPr>
        <w:t>～</w:t>
      </w:r>
      <w:r>
        <w:rPr>
          <w:rFonts w:hint="eastAsia" w:ascii="宋体" w:hAnsi="宋体" w:cs="宋体"/>
          <w:sz w:val="28"/>
          <w:szCs w:val="28"/>
          <w:lang w:val="en-US" w:eastAsia="zh-CN"/>
        </w:rPr>
        <w:t>****</w:t>
      </w:r>
      <w:r>
        <w:rPr>
          <w:rFonts w:hint="eastAsia" w:ascii="宋体" w:hAnsi="宋体" w:cs="宋体"/>
          <w:sz w:val="28"/>
          <w:szCs w:val="28"/>
        </w:rPr>
        <w:t>m；设计开采标高为：</w:t>
      </w:r>
      <w:r>
        <w:rPr>
          <w:rFonts w:hint="eastAsia" w:ascii="宋体" w:hAnsi="宋体" w:cs="宋体"/>
          <w:sz w:val="28"/>
          <w:szCs w:val="28"/>
          <w:lang w:val="en-US" w:eastAsia="zh-CN"/>
        </w:rPr>
        <w:t>****</w:t>
      </w:r>
      <w:r>
        <w:rPr>
          <w:rFonts w:hint="eastAsia" w:ascii="宋体" w:hAnsi="宋体" w:cs="宋体"/>
          <w:sz w:val="28"/>
          <w:szCs w:val="28"/>
        </w:rPr>
        <w:t>～</w:t>
      </w:r>
      <w:r>
        <w:rPr>
          <w:rFonts w:hint="eastAsia" w:ascii="宋体" w:hAnsi="宋体" w:cs="宋体"/>
          <w:sz w:val="28"/>
          <w:szCs w:val="28"/>
          <w:lang w:val="en-US" w:eastAsia="zh-CN"/>
        </w:rPr>
        <w:t>****</w:t>
      </w:r>
      <w:r>
        <w:rPr>
          <w:rFonts w:hint="eastAsia" w:ascii="宋体" w:hAnsi="宋体" w:cs="宋体"/>
          <w:sz w:val="28"/>
          <w:szCs w:val="28"/>
        </w:rPr>
        <w:t>m，设计开采标高范围与</w:t>
      </w:r>
      <w:r>
        <w:rPr>
          <w:rFonts w:hint="eastAsia" w:ascii="宋体" w:hAnsi="宋体" w:cs="宋体"/>
          <w:sz w:val="28"/>
          <w:szCs w:val="28"/>
          <w:lang w:val="en-US" w:eastAsia="zh-CN"/>
        </w:rPr>
        <w:t>普</w:t>
      </w:r>
      <w:r>
        <w:rPr>
          <w:rFonts w:hint="eastAsia" w:ascii="宋体" w:hAnsi="宋体" w:cs="宋体"/>
          <w:sz w:val="28"/>
          <w:szCs w:val="28"/>
        </w:rPr>
        <w:t>查报告估算标高范围一致。</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3、矿区范围内地表最高标高：</w:t>
      </w:r>
      <w:r>
        <w:rPr>
          <w:rFonts w:hint="eastAsia" w:ascii="宋体" w:hAnsi="宋体" w:cs="宋体"/>
          <w:sz w:val="28"/>
          <w:szCs w:val="28"/>
          <w:lang w:val="en-US" w:eastAsia="zh-CN"/>
        </w:rPr>
        <w:t>****</w:t>
      </w:r>
      <w:r>
        <w:rPr>
          <w:rFonts w:hint="eastAsia" w:ascii="宋体" w:hAnsi="宋体" w:cs="宋体"/>
          <w:sz w:val="28"/>
          <w:szCs w:val="28"/>
        </w:rPr>
        <w:t>m。</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4、推荐设计生产规模：</w:t>
      </w:r>
      <w:r>
        <w:rPr>
          <w:rFonts w:hint="eastAsia" w:ascii="宋体" w:hAnsi="宋体" w:cs="宋体"/>
          <w:sz w:val="28"/>
          <w:szCs w:val="28"/>
          <w:lang w:val="en-US" w:eastAsia="zh-CN"/>
        </w:rPr>
        <w:t>**</w:t>
      </w:r>
      <w:r>
        <w:rPr>
          <w:rFonts w:hint="eastAsia" w:ascii="宋体" w:hAnsi="宋体" w:cs="宋体"/>
          <w:sz w:val="28"/>
          <w:szCs w:val="28"/>
        </w:rPr>
        <w:t>万</w:t>
      </w:r>
      <w:r>
        <w:rPr>
          <w:rFonts w:hint="eastAsia" w:ascii="宋体" w:hAnsi="宋体" w:cs="宋体"/>
          <w:sz w:val="28"/>
          <w:szCs w:val="28"/>
          <w:lang w:val="en-US" w:eastAsia="zh-CN"/>
        </w:rPr>
        <w:t>立方米</w:t>
      </w:r>
      <w:r>
        <w:rPr>
          <w:rFonts w:hint="eastAsia" w:ascii="宋体" w:hAnsi="宋体" w:cs="宋体"/>
          <w:sz w:val="28"/>
          <w:szCs w:val="28"/>
        </w:rPr>
        <w:t>/年。</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5、开采服务年限：</w:t>
      </w:r>
      <w:r>
        <w:rPr>
          <w:rFonts w:hint="eastAsia" w:ascii="宋体" w:hAnsi="宋体" w:cs="宋体"/>
          <w:sz w:val="28"/>
          <w:szCs w:val="28"/>
          <w:lang w:val="en-US" w:eastAsia="zh-CN"/>
        </w:rPr>
        <w:t>**</w:t>
      </w:r>
      <w:r>
        <w:rPr>
          <w:rFonts w:hint="eastAsia" w:ascii="宋体" w:hAnsi="宋体" w:cs="宋体"/>
          <w:sz w:val="28"/>
          <w:szCs w:val="28"/>
        </w:rPr>
        <w:t>年。</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6、开采方式与开拓方案：推荐设计采用露天开采，开拓方案为公路开拓汽车运输。</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7、采矿方法：自上而下水平分层、台阶式采矿方法。</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8、占用土地类型及矿区面积：占用土地类型为裸</w:t>
      </w:r>
      <w:r>
        <w:rPr>
          <w:rFonts w:hint="eastAsia" w:ascii="宋体" w:hAnsi="宋体" w:cs="宋体"/>
          <w:sz w:val="28"/>
          <w:szCs w:val="28"/>
          <w:lang w:val="en-US" w:eastAsia="zh-CN"/>
        </w:rPr>
        <w:t>土</w:t>
      </w:r>
      <w:r>
        <w:rPr>
          <w:rFonts w:hint="eastAsia" w:ascii="宋体" w:hAnsi="宋体" w:cs="宋体"/>
          <w:sz w:val="28"/>
          <w:szCs w:val="28"/>
        </w:rPr>
        <w:t>地（120</w:t>
      </w:r>
      <w:r>
        <w:rPr>
          <w:rFonts w:hint="eastAsia" w:ascii="宋体" w:hAnsi="宋体" w:cs="宋体"/>
          <w:sz w:val="28"/>
          <w:szCs w:val="28"/>
          <w:lang w:val="en-US" w:eastAsia="zh-CN"/>
        </w:rPr>
        <w:t>6</w:t>
      </w:r>
      <w:r>
        <w:rPr>
          <w:rFonts w:hint="eastAsia" w:ascii="宋体" w:hAnsi="宋体" w:cs="宋体"/>
          <w:sz w:val="28"/>
          <w:szCs w:val="28"/>
        </w:rPr>
        <w:t>），矿区面积</w:t>
      </w:r>
      <w:r>
        <w:rPr>
          <w:rFonts w:hint="eastAsia" w:ascii="宋体" w:hAnsi="宋体" w:cs="宋体"/>
          <w:sz w:val="28"/>
          <w:szCs w:val="28"/>
          <w:lang w:val="en-US" w:eastAsia="zh-CN"/>
        </w:rPr>
        <w:t>****</w:t>
      </w:r>
      <w:r>
        <w:rPr>
          <w:rFonts w:hint="eastAsia" w:ascii="宋体" w:hAnsi="宋体" w:cs="宋体"/>
          <w:sz w:val="28"/>
          <w:szCs w:val="28"/>
        </w:rPr>
        <w:t>km</w:t>
      </w:r>
      <w:r>
        <w:rPr>
          <w:rFonts w:hint="eastAsia" w:ascii="宋体" w:hAnsi="宋体" w:cs="宋体"/>
          <w:sz w:val="28"/>
          <w:szCs w:val="28"/>
          <w:vertAlign w:val="superscript"/>
        </w:rPr>
        <w:t>2</w:t>
      </w:r>
      <w:r>
        <w:rPr>
          <w:rFonts w:hint="eastAsia" w:ascii="宋体" w:hAnsi="宋体" w:cs="宋体"/>
          <w:sz w:val="28"/>
          <w:szCs w:val="28"/>
        </w:rPr>
        <w:t xml:space="preserve">。 </w:t>
      </w:r>
    </w:p>
    <w:p>
      <w:pPr>
        <w:spacing w:line="480" w:lineRule="exact"/>
        <w:ind w:firstLine="560" w:firstLineChars="200"/>
        <w:rPr>
          <w:rFonts w:hint="eastAsia" w:ascii="宋体" w:hAnsi="宋体" w:cs="宋体"/>
          <w:sz w:val="28"/>
          <w:szCs w:val="28"/>
        </w:rPr>
      </w:pPr>
    </w:p>
    <w:p>
      <w:pPr>
        <w:spacing w:line="480" w:lineRule="exact"/>
        <w:ind w:firstLine="560" w:firstLineChars="200"/>
        <w:rPr>
          <w:rFonts w:hint="eastAsia" w:ascii="宋体" w:hAnsi="宋体" w:cs="宋体"/>
          <w:sz w:val="28"/>
          <w:szCs w:val="28"/>
        </w:rPr>
      </w:pPr>
    </w:p>
    <w:p>
      <w:pPr>
        <w:spacing w:line="480" w:lineRule="exact"/>
        <w:ind w:firstLine="560" w:firstLineChars="200"/>
        <w:rPr>
          <w:rFonts w:hint="eastAsia" w:ascii="宋体" w:hAnsi="宋体" w:cs="宋体"/>
          <w:sz w:val="28"/>
          <w:szCs w:val="28"/>
        </w:rPr>
      </w:pPr>
      <w:r>
        <w:rPr>
          <w:rFonts w:hint="eastAsia" w:ascii="宋体" w:hAnsi="宋体" w:cs="宋体"/>
          <w:sz w:val="28"/>
          <w:szCs w:val="28"/>
        </w:rPr>
        <w:t>附件：《</w:t>
      </w:r>
      <w:r>
        <w:rPr>
          <w:rFonts w:hint="eastAsia" w:ascii="宋体" w:hAnsi="宋体" w:cs="宋体"/>
          <w:sz w:val="28"/>
          <w:szCs w:val="28"/>
          <w:lang w:eastAsia="zh-CN"/>
        </w:rPr>
        <w:t>新疆伽师县西克尔镇4号砖瓦用页岩矿</w:t>
      </w:r>
      <w:r>
        <w:rPr>
          <w:rFonts w:hint="eastAsia" w:ascii="宋体" w:hAnsi="宋体" w:cs="宋体"/>
          <w:sz w:val="28"/>
          <w:szCs w:val="28"/>
        </w:rPr>
        <w:t>矿产资源开发利用与生态保护修复方案》专家审查意见</w:t>
      </w:r>
    </w:p>
    <w:p>
      <w:pPr>
        <w:spacing w:line="480" w:lineRule="exact"/>
        <w:ind w:firstLine="560" w:firstLineChars="200"/>
        <w:rPr>
          <w:rFonts w:hint="eastAsia" w:ascii="宋体" w:hAnsi="宋体" w:cs="宋体"/>
          <w:sz w:val="28"/>
          <w:szCs w:val="28"/>
        </w:rPr>
      </w:pPr>
    </w:p>
    <w:p>
      <w:pPr>
        <w:spacing w:line="480" w:lineRule="exact"/>
        <w:ind w:firstLine="560" w:firstLineChars="200"/>
        <w:rPr>
          <w:rFonts w:hint="eastAsia" w:ascii="宋体" w:hAnsi="宋体" w:cs="宋体"/>
          <w:sz w:val="28"/>
          <w:szCs w:val="28"/>
        </w:rPr>
      </w:pPr>
    </w:p>
    <w:p>
      <w:pPr>
        <w:spacing w:line="480" w:lineRule="exact"/>
        <w:ind w:firstLine="560" w:firstLineChars="200"/>
        <w:rPr>
          <w:rFonts w:hint="eastAsia" w:ascii="宋体" w:hAnsi="宋体" w:cs="宋体"/>
          <w:sz w:val="28"/>
          <w:szCs w:val="28"/>
        </w:rPr>
      </w:pPr>
      <w:r>
        <w:rPr>
          <w:rFonts w:hint="eastAsia" w:ascii="宋体" w:hAnsi="宋体" w:cs="宋体"/>
          <w:sz w:val="28"/>
          <w:szCs w:val="28"/>
        </w:rPr>
        <w:t>主送：喀什地区自然资源局</w:t>
      </w:r>
    </w:p>
    <w:p>
      <w:pPr>
        <w:spacing w:line="480" w:lineRule="exact"/>
        <w:ind w:firstLine="560" w:firstLineChars="200"/>
        <w:rPr>
          <w:rFonts w:hint="eastAsia" w:ascii="宋体" w:hAnsi="宋体" w:cs="宋体"/>
          <w:sz w:val="28"/>
          <w:szCs w:val="28"/>
        </w:rPr>
      </w:pPr>
      <w:r>
        <w:rPr>
          <w:rFonts w:hint="eastAsia" w:ascii="宋体" w:hAnsi="宋体" w:cs="宋体"/>
          <w:sz w:val="28"/>
          <w:szCs w:val="28"/>
        </w:rPr>
        <w:t>抄送：</w:t>
      </w:r>
      <w:r>
        <w:rPr>
          <w:rFonts w:hint="eastAsia" w:ascii="宋体" w:hAnsi="宋体"/>
          <w:sz w:val="28"/>
          <w:szCs w:val="28"/>
        </w:rPr>
        <w:t>喀什地区自然资源局、</w:t>
      </w:r>
      <w:r>
        <w:rPr>
          <w:rFonts w:hint="eastAsia" w:ascii="宋体" w:hAnsi="宋体" w:cs="宋体"/>
          <w:sz w:val="28"/>
          <w:szCs w:val="28"/>
          <w:lang w:val="en-US" w:eastAsia="zh-CN"/>
        </w:rPr>
        <w:t>伽师县</w:t>
      </w:r>
      <w:r>
        <w:rPr>
          <w:rFonts w:hint="eastAsia" w:ascii="宋体" w:hAnsi="宋体" w:cs="宋体"/>
          <w:sz w:val="28"/>
          <w:szCs w:val="28"/>
        </w:rPr>
        <w:t>自然资源局  印数：6份</w:t>
      </w:r>
    </w:p>
    <w:p>
      <w:pPr>
        <w:spacing w:line="520" w:lineRule="exact"/>
        <w:rPr>
          <w:rFonts w:hint="eastAsia" w:ascii="宋体" w:hAnsi="宋体" w:cs="宋体"/>
          <w:b/>
          <w:bCs/>
          <w:sz w:val="28"/>
          <w:szCs w:val="28"/>
        </w:rPr>
        <w:sectPr>
          <w:pgSz w:w="11906" w:h="16838"/>
          <w:pgMar w:top="1440" w:right="1800" w:bottom="1440" w:left="1800" w:header="851" w:footer="992" w:gutter="0"/>
          <w:pgNumType w:start="1"/>
          <w:cols w:space="720" w:num="1"/>
          <w:docGrid w:type="lines" w:linePitch="312" w:charSpace="0"/>
        </w:sectPr>
      </w:pPr>
    </w:p>
    <w:p>
      <w:pPr>
        <w:spacing w:line="520" w:lineRule="exact"/>
        <w:jc w:val="center"/>
        <w:rPr>
          <w:rFonts w:hint="eastAsia" w:ascii="宋体" w:hAnsi="宋体" w:cs="宋体"/>
          <w:b/>
          <w:bCs/>
          <w:sz w:val="30"/>
          <w:szCs w:val="30"/>
        </w:rPr>
      </w:pPr>
      <w:r>
        <w:rPr>
          <w:rFonts w:hint="eastAsia" w:ascii="宋体" w:hAnsi="宋体" w:cs="宋体"/>
          <w:b/>
          <w:bCs/>
          <w:sz w:val="30"/>
          <w:szCs w:val="30"/>
        </w:rPr>
        <w:t>《</w:t>
      </w:r>
      <w:r>
        <w:rPr>
          <w:rFonts w:hint="eastAsia" w:ascii="宋体" w:hAnsi="宋体" w:cs="宋体"/>
          <w:b/>
          <w:bCs/>
          <w:sz w:val="30"/>
          <w:szCs w:val="30"/>
          <w:lang w:eastAsia="zh-CN"/>
        </w:rPr>
        <w:t>新疆伽师县西克尔镇4号砖瓦用页岩矿</w:t>
      </w:r>
      <w:r>
        <w:rPr>
          <w:rFonts w:hint="eastAsia" w:ascii="宋体" w:hAnsi="宋体" w:cs="宋体"/>
          <w:b/>
          <w:bCs/>
          <w:sz w:val="30"/>
          <w:szCs w:val="30"/>
        </w:rPr>
        <w:t>矿产资源开发利用与生态保护修复方案》专家审查意见</w:t>
      </w:r>
    </w:p>
    <w:p>
      <w:pPr>
        <w:spacing w:line="520" w:lineRule="exact"/>
        <w:rPr>
          <w:rFonts w:hint="eastAsia" w:ascii="宋体" w:hAnsi="宋体" w:cs="宋体"/>
          <w:sz w:val="28"/>
          <w:szCs w:val="28"/>
        </w:rPr>
      </w:pPr>
    </w:p>
    <w:p>
      <w:pPr>
        <w:spacing w:line="540" w:lineRule="exact"/>
        <w:ind w:firstLine="560" w:firstLineChars="200"/>
        <w:rPr>
          <w:rFonts w:ascii="宋体" w:hAnsi="宋体" w:cs="宋体"/>
          <w:spacing w:val="1"/>
          <w:sz w:val="28"/>
          <w:szCs w:val="28"/>
        </w:rPr>
      </w:pPr>
      <w:r>
        <w:rPr>
          <w:rFonts w:hint="eastAsia" w:ascii="宋体" w:hAnsi="宋体" w:cs="宋体"/>
          <w:sz w:val="28"/>
          <w:szCs w:val="28"/>
        </w:rPr>
        <w:t>中化地质矿山总局新疆地质调查院</w:t>
      </w:r>
      <w:r>
        <w:rPr>
          <w:rFonts w:hint="eastAsia" w:ascii="宋体" w:hAnsi="宋体" w:cs="宋体"/>
          <w:spacing w:val="1"/>
          <w:sz w:val="28"/>
          <w:szCs w:val="28"/>
        </w:rPr>
        <w:t>编制的《</w:t>
      </w:r>
      <w:r>
        <w:rPr>
          <w:rFonts w:hint="eastAsia" w:ascii="宋体" w:hAnsi="宋体" w:cs="宋体"/>
          <w:sz w:val="28"/>
          <w:szCs w:val="28"/>
          <w:lang w:eastAsia="zh-CN"/>
        </w:rPr>
        <w:t>新疆伽师县西克尔镇4号砖瓦用页岩矿</w:t>
      </w:r>
      <w:r>
        <w:rPr>
          <w:rFonts w:hint="eastAsia" w:ascii="宋体" w:hAnsi="宋体" w:cs="宋体"/>
          <w:sz w:val="28"/>
          <w:szCs w:val="28"/>
        </w:rPr>
        <w:t>矿产资源开发利用与生态保护修复方案</w:t>
      </w:r>
      <w:r>
        <w:rPr>
          <w:rFonts w:hint="eastAsia" w:ascii="宋体" w:hAnsi="宋体" w:cs="宋体"/>
          <w:spacing w:val="1"/>
          <w:sz w:val="28"/>
          <w:szCs w:val="28"/>
        </w:rPr>
        <w:t>》（以下简称</w:t>
      </w:r>
      <w:bookmarkStart w:id="298" w:name="_Hlk91835451"/>
      <w:r>
        <w:rPr>
          <w:rFonts w:hint="eastAsia" w:ascii="宋体" w:hAnsi="宋体" w:cs="宋体"/>
          <w:spacing w:val="1"/>
          <w:sz w:val="28"/>
          <w:szCs w:val="28"/>
        </w:rPr>
        <w:t>《方案》</w:t>
      </w:r>
      <w:bookmarkEnd w:id="298"/>
      <w:r>
        <w:rPr>
          <w:rFonts w:hint="eastAsia" w:ascii="宋体" w:hAnsi="宋体" w:cs="宋体"/>
          <w:spacing w:val="1"/>
          <w:sz w:val="28"/>
          <w:szCs w:val="28"/>
        </w:rPr>
        <w:t>）。喀什地区自然资源局委托喀什矿产资源评审中心组织有关专家对该《方案》进行了会审，202</w:t>
      </w:r>
      <w:r>
        <w:rPr>
          <w:rFonts w:hint="eastAsia" w:ascii="宋体" w:hAnsi="宋体" w:cs="宋体"/>
          <w:spacing w:val="1"/>
          <w:sz w:val="28"/>
          <w:szCs w:val="28"/>
          <w:lang w:val="en-US" w:eastAsia="zh-CN"/>
        </w:rPr>
        <w:t>4</w:t>
      </w:r>
      <w:r>
        <w:rPr>
          <w:rFonts w:hint="eastAsia" w:ascii="宋体" w:hAnsi="宋体" w:cs="宋体"/>
          <w:spacing w:val="1"/>
          <w:sz w:val="28"/>
          <w:szCs w:val="28"/>
        </w:rPr>
        <w:t>年</w:t>
      </w:r>
      <w:r>
        <w:rPr>
          <w:rFonts w:hint="eastAsia" w:ascii="宋体" w:hAnsi="宋体" w:cs="宋体"/>
          <w:spacing w:val="1"/>
          <w:sz w:val="28"/>
          <w:szCs w:val="28"/>
          <w:lang w:val="en-US" w:eastAsia="zh-CN"/>
        </w:rPr>
        <w:t>10</w:t>
      </w:r>
      <w:r>
        <w:rPr>
          <w:rFonts w:hint="eastAsia" w:ascii="宋体" w:hAnsi="宋体" w:cs="宋体"/>
          <w:spacing w:val="1"/>
          <w:sz w:val="28"/>
          <w:szCs w:val="28"/>
        </w:rPr>
        <w:t>月2</w:t>
      </w:r>
      <w:r>
        <w:rPr>
          <w:rFonts w:hint="eastAsia" w:ascii="宋体" w:hAnsi="宋体" w:cs="宋体"/>
          <w:spacing w:val="1"/>
          <w:sz w:val="28"/>
          <w:szCs w:val="28"/>
          <w:lang w:val="en-US" w:eastAsia="zh-CN"/>
        </w:rPr>
        <w:t>0</w:t>
      </w:r>
      <w:r>
        <w:rPr>
          <w:rFonts w:hint="eastAsia" w:ascii="宋体" w:hAnsi="宋体" w:cs="宋体"/>
          <w:spacing w:val="1"/>
          <w:sz w:val="28"/>
          <w:szCs w:val="28"/>
        </w:rPr>
        <w:t>日，喀什评审中心聘请了地质、采矿、经济、地环等专业的专家组成专家组（名单附后）在喀什市进行了会审。该《方案》经专家组充分讨论和评议，提出了修改意见。会后，编制单位对《方案》进行修改完善，经专家组复核，《方案》符合规范要求，现形成评审意见如下：</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一、采矿权基本情况及编制目的</w:t>
      </w:r>
    </w:p>
    <w:p>
      <w:pPr>
        <w:spacing w:line="560" w:lineRule="exact"/>
        <w:ind w:firstLine="560" w:firstLineChars="200"/>
        <w:rPr>
          <w:rFonts w:ascii="宋体" w:hAnsi="宋体" w:cs="宋体"/>
          <w:sz w:val="28"/>
          <w:szCs w:val="28"/>
        </w:rPr>
      </w:pPr>
      <w:r>
        <w:rPr>
          <w:rFonts w:hint="eastAsia" w:ascii="宋体" w:hAnsi="宋体" w:cs="宋体"/>
          <w:sz w:val="28"/>
          <w:szCs w:val="28"/>
          <w:lang w:eastAsia="zh-CN"/>
        </w:rPr>
        <w:t>新疆伽师县西克尔镇4号砖瓦用页岩矿</w:t>
      </w:r>
      <w:r>
        <w:rPr>
          <w:rFonts w:hint="eastAsia" w:ascii="宋体" w:hAnsi="宋体" w:cs="宋体"/>
          <w:sz w:val="28"/>
          <w:szCs w:val="28"/>
        </w:rPr>
        <w:t>矿产资源开发利用与生态保护修复方案属于新建矿山。</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编制</w:t>
      </w:r>
      <w:bookmarkStart w:id="299" w:name="_Hlk91836438"/>
      <w:r>
        <w:rPr>
          <w:rFonts w:hint="eastAsia" w:ascii="宋体" w:hAnsi="宋体" w:cs="宋体"/>
          <w:sz w:val="28"/>
          <w:szCs w:val="28"/>
        </w:rPr>
        <w:t>《方案》</w:t>
      </w:r>
      <w:bookmarkEnd w:id="299"/>
      <w:r>
        <w:rPr>
          <w:rFonts w:hint="eastAsia" w:ascii="宋体" w:hAnsi="宋体" w:cs="宋体"/>
          <w:sz w:val="28"/>
          <w:szCs w:val="28"/>
        </w:rPr>
        <w:t>目的：指导矿山企业有序开展矿山生产，提高资源利用率；为采矿权出让收益评估、矿山开发环境影响评价提供技术依据；为矿山企业履行矿山地质环境保护、治理恢复和监测及土地复垦等生态修复法定义务提供技术依据；</w:t>
      </w:r>
      <w:bookmarkStart w:id="300" w:name="_Hlk109644000"/>
      <w:r>
        <w:rPr>
          <w:rFonts w:hint="eastAsia" w:ascii="宋体" w:hAnsi="宋体" w:cs="宋体"/>
          <w:sz w:val="28"/>
          <w:szCs w:val="28"/>
        </w:rPr>
        <w:t>为自然资源管理部门</w:t>
      </w:r>
      <w:bookmarkEnd w:id="300"/>
      <w:r>
        <w:rPr>
          <w:rFonts w:hint="eastAsia" w:ascii="宋体" w:hAnsi="宋体" w:cs="宋体"/>
          <w:sz w:val="28"/>
          <w:szCs w:val="28"/>
        </w:rPr>
        <w:t>对矿山开采依法监管提供技术依据；为自然资源管理部门对矿山企业履行法定义务依法监管提供技术依据；办理采矿许可证提供技术依据。</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二、设计利用资源储量政策符合性</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《方案》资源储量类型确定合理，设计利用资源储量、可采储量的确定符合自治区自然资源厅相关政策要求。</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三、设计利用储量、设计开采规模及服务年限</w:t>
      </w:r>
    </w:p>
    <w:p>
      <w:pPr>
        <w:pStyle w:val="642"/>
        <w:ind w:firstLine="480"/>
        <w:rPr>
          <w:rFonts w:hint="eastAsia" w:ascii="宋体" w:hAnsi="宋体" w:eastAsia="宋体" w:cs="宋体"/>
          <w:sz w:val="28"/>
          <w:szCs w:val="28"/>
        </w:rPr>
      </w:pPr>
      <w:r>
        <w:rPr>
          <w:rFonts w:hint="eastAsia" w:ascii="宋体" w:hAnsi="宋体" w:cs="宋体"/>
          <w:sz w:val="28"/>
          <w:szCs w:val="28"/>
        </w:rPr>
        <w:t>根据《</w:t>
      </w:r>
      <w:r>
        <w:rPr>
          <w:rFonts w:hint="eastAsia" w:ascii="宋体" w:hAnsi="宋体" w:cs="宋体"/>
          <w:sz w:val="28"/>
          <w:szCs w:val="28"/>
          <w:lang w:eastAsia="zh-CN"/>
        </w:rPr>
        <w:t>新疆伽师县西克尔镇4号砖瓦用页岩矿</w:t>
      </w:r>
      <w:r>
        <w:rPr>
          <w:rFonts w:hint="eastAsia" w:ascii="宋体" w:hAnsi="宋体" w:cs="宋体"/>
          <w:sz w:val="28"/>
          <w:szCs w:val="28"/>
          <w:lang w:val="en-US" w:eastAsia="zh-CN"/>
        </w:rPr>
        <w:t>普查</w:t>
      </w:r>
      <w:r>
        <w:rPr>
          <w:rFonts w:ascii="宋体" w:hAnsi="宋体" w:cs="宋体"/>
          <w:sz w:val="28"/>
          <w:szCs w:val="28"/>
        </w:rPr>
        <w:t>报告</w:t>
      </w:r>
      <w:r>
        <w:rPr>
          <w:rFonts w:hint="eastAsia" w:ascii="宋体" w:hAnsi="宋体" w:cs="宋体"/>
          <w:sz w:val="28"/>
          <w:szCs w:val="28"/>
        </w:rPr>
        <w:t>》矿产资源储量评审意见书，以下</w:t>
      </w:r>
      <w:r>
        <w:rPr>
          <w:rFonts w:hint="eastAsia" w:ascii="宋体" w:hAnsi="宋体" w:cs="宋体"/>
          <w:sz w:val="28"/>
          <w:szCs w:val="28"/>
          <w:lang w:val="en-US" w:eastAsia="zh-CN"/>
        </w:rPr>
        <w:t>砖瓦用页岩矿</w:t>
      </w:r>
      <w:r>
        <w:rPr>
          <w:rFonts w:hint="eastAsia" w:ascii="宋体" w:hAnsi="宋体" w:cs="宋体"/>
          <w:sz w:val="28"/>
          <w:szCs w:val="28"/>
        </w:rPr>
        <w:t>资源储量通过评审：</w:t>
      </w:r>
      <w:r>
        <w:rPr>
          <w:rFonts w:ascii="宋体" w:hAnsi="宋体" w:cs="宋体"/>
          <w:sz w:val="28"/>
          <w:szCs w:val="28"/>
        </w:rPr>
        <w:t>矿区范围开采标高内（</w:t>
      </w:r>
      <w:r>
        <w:rPr>
          <w:rFonts w:hint="eastAsia" w:ascii="宋体" w:hAnsi="宋体" w:cs="宋体"/>
          <w:sz w:val="28"/>
          <w:szCs w:val="28"/>
          <w:lang w:val="en-US" w:eastAsia="zh-CN"/>
        </w:rPr>
        <w:t>****</w:t>
      </w:r>
      <w:r>
        <w:rPr>
          <w:rFonts w:hint="eastAsia" w:ascii="宋体" w:hAnsi="宋体" w:cs="宋体"/>
          <w:sz w:val="28"/>
          <w:szCs w:val="28"/>
        </w:rPr>
        <w:t>～</w:t>
      </w:r>
      <w:r>
        <w:rPr>
          <w:rFonts w:hint="eastAsia" w:ascii="宋体" w:hAnsi="宋体" w:cs="宋体"/>
          <w:sz w:val="28"/>
          <w:szCs w:val="28"/>
          <w:lang w:val="en-US" w:eastAsia="zh-CN"/>
        </w:rPr>
        <w:t>****</w:t>
      </w:r>
      <w:r>
        <w:rPr>
          <w:rFonts w:hint="eastAsia" w:ascii="宋体" w:hAnsi="宋体" w:eastAsia="宋体" w:cs="宋体"/>
          <w:sz w:val="28"/>
          <w:szCs w:val="28"/>
        </w:rPr>
        <w:t>米</w:t>
      </w:r>
      <w:r>
        <w:rPr>
          <w:rFonts w:hint="eastAsia" w:ascii="宋体" w:hAnsi="宋体" w:eastAsia="宋体" w:cs="宋体"/>
          <w:color w:val="auto"/>
          <w:sz w:val="28"/>
          <w:szCs w:val="28"/>
          <w:highlight w:val="none"/>
          <w:lang w:val="en-US" w:eastAsia="zh-CN"/>
        </w:rPr>
        <w:t>共求得砖用页岩矿保有资源量</w:t>
      </w:r>
      <w:r>
        <w:rPr>
          <w:rFonts w:hint="eastAsia" w:ascii="宋体" w:hAnsi="宋体" w:cs="宋体"/>
          <w:sz w:val="28"/>
          <w:szCs w:val="28"/>
          <w:lang w:val="en-US" w:eastAsia="zh-CN"/>
        </w:rPr>
        <w:t>****</w:t>
      </w:r>
      <w:r>
        <w:rPr>
          <w:rFonts w:hint="eastAsia" w:ascii="宋体" w:hAnsi="宋体" w:eastAsia="宋体" w:cs="宋体"/>
          <w:color w:val="auto"/>
          <w:sz w:val="28"/>
          <w:szCs w:val="28"/>
          <w:highlight w:val="none"/>
          <w:lang w:val="en-US" w:eastAsia="zh-CN"/>
        </w:rPr>
        <w:t>万m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w:t>
      </w:r>
      <w:r>
        <w:rPr>
          <w:rFonts w:hint="eastAsia" w:ascii="宋体" w:hAnsi="宋体" w:cs="宋体"/>
          <w:sz w:val="28"/>
          <w:szCs w:val="28"/>
          <w:lang w:val="en-US" w:eastAsia="zh-CN"/>
        </w:rPr>
        <w:t>****</w:t>
      </w:r>
      <w:r>
        <w:rPr>
          <w:rFonts w:hint="eastAsia" w:ascii="宋体" w:hAnsi="宋体" w:eastAsia="宋体" w:cs="宋体"/>
          <w:color w:val="auto"/>
          <w:sz w:val="28"/>
          <w:szCs w:val="28"/>
          <w:highlight w:val="none"/>
          <w:lang w:val="en-US" w:eastAsia="zh-CN"/>
        </w:rPr>
        <w:t>万t)，其中推断资源量</w:t>
      </w:r>
      <w:r>
        <w:rPr>
          <w:rFonts w:hint="eastAsia" w:ascii="宋体" w:hAnsi="宋体" w:cs="宋体"/>
          <w:sz w:val="28"/>
          <w:szCs w:val="28"/>
          <w:lang w:val="en-US" w:eastAsia="zh-CN"/>
        </w:rPr>
        <w:t>****</w:t>
      </w:r>
      <w:r>
        <w:rPr>
          <w:rFonts w:hint="eastAsia" w:ascii="宋体" w:hAnsi="宋体" w:eastAsia="宋体" w:cs="宋体"/>
          <w:color w:val="auto"/>
          <w:sz w:val="28"/>
          <w:szCs w:val="28"/>
          <w:highlight w:val="none"/>
          <w:lang w:val="en-US" w:eastAsia="zh-CN"/>
        </w:rPr>
        <w:t>万m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w:t>
      </w:r>
      <w:r>
        <w:rPr>
          <w:rFonts w:hint="eastAsia" w:ascii="宋体" w:hAnsi="宋体" w:cs="宋体"/>
          <w:sz w:val="28"/>
          <w:szCs w:val="28"/>
          <w:lang w:val="en-US" w:eastAsia="zh-CN"/>
        </w:rPr>
        <w:t>****</w:t>
      </w:r>
      <w:r>
        <w:rPr>
          <w:rFonts w:hint="eastAsia" w:ascii="宋体" w:hAnsi="宋体" w:eastAsia="宋体" w:cs="宋体"/>
          <w:color w:val="auto"/>
          <w:sz w:val="28"/>
          <w:szCs w:val="28"/>
          <w:highlight w:val="none"/>
          <w:lang w:val="en-US" w:eastAsia="zh-CN"/>
        </w:rPr>
        <w:t>万t)。普查区内夹石量</w:t>
      </w:r>
      <w:r>
        <w:rPr>
          <w:rFonts w:hint="eastAsia" w:ascii="宋体" w:hAnsi="宋体" w:cs="宋体"/>
          <w:sz w:val="28"/>
          <w:szCs w:val="28"/>
          <w:lang w:val="en-US" w:eastAsia="zh-CN"/>
        </w:rPr>
        <w:t>****</w:t>
      </w:r>
      <w:r>
        <w:rPr>
          <w:rFonts w:hint="eastAsia" w:ascii="宋体" w:hAnsi="宋体" w:eastAsia="宋体" w:cs="宋体"/>
          <w:color w:val="auto"/>
          <w:sz w:val="28"/>
          <w:szCs w:val="28"/>
          <w:highlight w:val="none"/>
          <w:lang w:val="en-US" w:eastAsia="zh-CN"/>
        </w:rPr>
        <w:t>万m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，总剥采比</w:t>
      </w:r>
      <w:r>
        <w:rPr>
          <w:rFonts w:hint="eastAsia" w:ascii="宋体" w:hAnsi="宋体" w:cs="宋体"/>
          <w:sz w:val="28"/>
          <w:szCs w:val="28"/>
          <w:lang w:val="en-US" w:eastAsia="zh-CN"/>
        </w:rPr>
        <w:t>**</w:t>
      </w:r>
      <w:r>
        <w:rPr>
          <w:rFonts w:hint="eastAsia" w:ascii="宋体" w:hAnsi="宋体" w:eastAsia="宋体" w:cs="宋体"/>
          <w:color w:val="auto"/>
          <w:sz w:val="28"/>
          <w:szCs w:val="28"/>
          <w:highlight w:val="none"/>
          <w:lang w:val="en-US" w:eastAsia="zh-CN"/>
        </w:rPr>
        <w:t>:1m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z w:val="28"/>
          <w:szCs w:val="28"/>
          <w:highlight w:val="none"/>
          <w:lang w:val="en-US" w:eastAsia="zh-CN"/>
        </w:rPr>
        <w:t>/m</w:t>
      </w:r>
      <w:r>
        <w:rPr>
          <w:rFonts w:hint="eastAsia" w:ascii="宋体" w:hAnsi="宋体" w:eastAsia="宋体" w:cs="宋体"/>
          <w:color w:val="auto"/>
          <w:sz w:val="28"/>
          <w:szCs w:val="28"/>
          <w:highlight w:val="none"/>
          <w:vertAlign w:val="superscript"/>
          <w:lang w:val="en-US" w:eastAsia="zh-CN"/>
        </w:rPr>
        <w:t>3</w:t>
      </w:r>
      <w:r>
        <w:rPr>
          <w:rFonts w:hint="eastAsia" w:ascii="宋体" w:hAnsi="宋体" w:eastAsia="宋体" w:cs="宋体"/>
          <w:color w:val="auto"/>
          <w:spacing w:val="-2"/>
          <w:sz w:val="28"/>
          <w:szCs w:val="28"/>
          <w:highlight w:val="none"/>
          <w:vertAlign w:val="baseline"/>
          <w:lang w:eastAsia="zh-CN"/>
        </w:rPr>
        <w:t>。</w:t>
      </w:r>
    </w:p>
    <w:p>
      <w:pPr>
        <w:spacing w:line="360" w:lineRule="auto"/>
        <w:ind w:firstLine="480"/>
        <w:rPr>
          <w:rFonts w:hint="eastAsia" w:ascii="宋体" w:hAnsi="宋体" w:eastAsia="宋体" w:cs="宋体"/>
          <w:sz w:val="28"/>
          <w:szCs w:val="28"/>
        </w:rPr>
      </w:pPr>
      <w:r>
        <w:rPr>
          <w:rFonts w:hint="eastAsia" w:ascii="宋体" w:hAnsi="宋体" w:eastAsia="宋体" w:cs="宋体"/>
          <w:sz w:val="28"/>
          <w:szCs w:val="28"/>
        </w:rPr>
        <w:t>设计可采资源储量：</w:t>
      </w:r>
      <w:r>
        <w:rPr>
          <w:rFonts w:hint="eastAsia" w:ascii="宋体" w:hAnsi="宋体" w:eastAsia="宋体" w:cs="宋体"/>
          <w:color w:val="auto"/>
          <w:spacing w:val="-2"/>
          <w:sz w:val="28"/>
          <w:szCs w:val="28"/>
          <w:highlight w:val="none"/>
        </w:rPr>
        <w:t>本矿山</w:t>
      </w:r>
      <w:r>
        <w:rPr>
          <w:rFonts w:hint="eastAsia" w:ascii="宋体" w:hAnsi="宋体" w:eastAsia="宋体" w:cs="宋体"/>
          <w:color w:val="auto"/>
          <w:spacing w:val="-2"/>
          <w:sz w:val="28"/>
          <w:szCs w:val="28"/>
          <w:highlight w:val="none"/>
          <w:lang w:eastAsia="zh-CN"/>
        </w:rPr>
        <w:t>设计采矿</w:t>
      </w:r>
      <w:r>
        <w:rPr>
          <w:rFonts w:hint="eastAsia" w:ascii="宋体" w:hAnsi="宋体" w:eastAsia="宋体" w:cs="宋体"/>
          <w:color w:val="auto"/>
          <w:spacing w:val="-2"/>
          <w:sz w:val="28"/>
          <w:szCs w:val="28"/>
          <w:highlight w:val="none"/>
        </w:rPr>
        <w:t>损失率为</w:t>
      </w:r>
      <w:r>
        <w:rPr>
          <w:rFonts w:hint="eastAsia" w:ascii="宋体" w:hAnsi="宋体" w:cs="宋体"/>
          <w:sz w:val="28"/>
          <w:szCs w:val="28"/>
          <w:lang w:val="en-US" w:eastAsia="zh-CN"/>
        </w:rPr>
        <w:t>**</w:t>
      </w:r>
      <w:r>
        <w:rPr>
          <w:rFonts w:hint="eastAsia" w:ascii="宋体" w:hAnsi="宋体" w:eastAsia="宋体" w:cs="宋体"/>
          <w:color w:val="auto"/>
          <w:spacing w:val="-2"/>
          <w:sz w:val="28"/>
          <w:szCs w:val="28"/>
          <w:highlight w:val="none"/>
        </w:rPr>
        <w:t>%，回采率为</w:t>
      </w:r>
      <w:r>
        <w:rPr>
          <w:rFonts w:hint="eastAsia" w:ascii="宋体" w:hAnsi="宋体" w:cs="宋体"/>
          <w:sz w:val="28"/>
          <w:szCs w:val="28"/>
          <w:lang w:val="en-US" w:eastAsia="zh-CN"/>
        </w:rPr>
        <w:t>**</w:t>
      </w:r>
      <w:r>
        <w:rPr>
          <w:rFonts w:hint="eastAsia" w:ascii="宋体" w:hAnsi="宋体" w:eastAsia="宋体" w:cs="宋体"/>
          <w:color w:val="auto"/>
          <w:spacing w:val="-2"/>
          <w:sz w:val="28"/>
          <w:szCs w:val="28"/>
          <w:highlight w:val="none"/>
          <w:lang w:val="en-US" w:eastAsia="zh-CN"/>
        </w:rPr>
        <w:t>%</w:t>
      </w:r>
      <w:r>
        <w:rPr>
          <w:rFonts w:hint="eastAsia" w:ascii="宋体" w:hAnsi="宋体" w:eastAsia="宋体" w:cs="宋体"/>
          <w:color w:val="auto"/>
          <w:spacing w:val="-2"/>
          <w:sz w:val="28"/>
          <w:szCs w:val="28"/>
          <w:highlight w:val="none"/>
        </w:rPr>
        <w:t>。故矿山可采资源量=设计利用资源量</w:t>
      </w:r>
      <w:r>
        <w:rPr>
          <w:rFonts w:hint="eastAsia" w:ascii="宋体" w:hAnsi="宋体" w:eastAsia="宋体" w:cs="宋体"/>
          <w:color w:val="auto"/>
          <w:spacing w:val="-4"/>
          <w:sz w:val="28"/>
          <w:szCs w:val="28"/>
          <w:highlight w:val="none"/>
        </w:rPr>
        <w:t>×</w:t>
      </w:r>
      <w:r>
        <w:rPr>
          <w:rFonts w:hint="eastAsia" w:ascii="宋体" w:hAnsi="宋体" w:eastAsia="宋体" w:cs="宋体"/>
          <w:color w:val="auto"/>
          <w:spacing w:val="-2"/>
          <w:sz w:val="28"/>
          <w:szCs w:val="28"/>
          <w:highlight w:val="none"/>
        </w:rPr>
        <w:t>回采率。即Q2=</w:t>
      </w:r>
      <w:r>
        <w:rPr>
          <w:rFonts w:hint="eastAsia" w:ascii="宋体" w:hAnsi="宋体" w:cs="宋体"/>
          <w:sz w:val="28"/>
          <w:szCs w:val="28"/>
          <w:lang w:val="en-US" w:eastAsia="zh-CN"/>
        </w:rPr>
        <w:t>****</w:t>
      </w:r>
      <w:r>
        <w:rPr>
          <w:rFonts w:hint="eastAsia" w:ascii="宋体" w:hAnsi="宋体" w:eastAsia="宋体" w:cs="宋体"/>
          <w:color w:val="auto"/>
          <w:spacing w:val="-4"/>
          <w:sz w:val="28"/>
          <w:szCs w:val="28"/>
          <w:highlight w:val="none"/>
        </w:rPr>
        <w:t>×</w:t>
      </w:r>
      <w:r>
        <w:rPr>
          <w:rFonts w:hint="eastAsia" w:ascii="宋体" w:hAnsi="宋体" w:cs="宋体"/>
          <w:sz w:val="28"/>
          <w:szCs w:val="28"/>
          <w:lang w:val="en-US" w:eastAsia="zh-CN"/>
        </w:rPr>
        <w:t>**</w:t>
      </w:r>
      <w:r>
        <w:rPr>
          <w:rFonts w:hint="eastAsia" w:ascii="宋体" w:hAnsi="宋体" w:eastAsia="宋体" w:cs="宋体"/>
          <w:color w:val="auto"/>
          <w:spacing w:val="-4"/>
          <w:sz w:val="28"/>
          <w:szCs w:val="28"/>
          <w:highlight w:val="none"/>
          <w:lang w:val="en-US" w:eastAsia="zh-CN"/>
        </w:rPr>
        <w:t>%</w:t>
      </w:r>
      <w:r>
        <w:rPr>
          <w:rFonts w:hint="eastAsia" w:ascii="宋体" w:hAnsi="宋体" w:eastAsia="宋体" w:cs="宋体"/>
          <w:color w:val="auto"/>
          <w:spacing w:val="-2"/>
          <w:sz w:val="28"/>
          <w:szCs w:val="28"/>
          <w:highlight w:val="none"/>
        </w:rPr>
        <w:t>≈</w:t>
      </w:r>
      <w:r>
        <w:rPr>
          <w:rFonts w:hint="eastAsia" w:ascii="宋体" w:hAnsi="宋体" w:cs="宋体"/>
          <w:sz w:val="28"/>
          <w:szCs w:val="28"/>
          <w:lang w:val="en-US" w:eastAsia="zh-CN"/>
        </w:rPr>
        <w:t>****</w:t>
      </w:r>
      <w:r>
        <w:rPr>
          <w:rFonts w:hint="eastAsia" w:ascii="宋体" w:hAnsi="宋体" w:eastAsia="宋体" w:cs="宋体"/>
          <w:color w:val="auto"/>
          <w:spacing w:val="-2"/>
          <w:sz w:val="28"/>
          <w:szCs w:val="28"/>
          <w:highlight w:val="none"/>
        </w:rPr>
        <w:t>万</w:t>
      </w:r>
      <w:r>
        <w:rPr>
          <w:rFonts w:hint="eastAsia" w:ascii="宋体" w:hAnsi="宋体" w:eastAsia="宋体" w:cs="宋体"/>
          <w:color w:val="auto"/>
          <w:spacing w:val="-2"/>
          <w:sz w:val="28"/>
          <w:szCs w:val="28"/>
          <w:highlight w:val="none"/>
          <w:lang w:val="en-US" w:eastAsia="zh-CN"/>
        </w:rPr>
        <w:t>m³</w:t>
      </w:r>
      <w:r>
        <w:rPr>
          <w:rFonts w:hint="eastAsia" w:ascii="宋体" w:hAnsi="宋体" w:eastAsia="宋体" w:cs="宋体"/>
          <w:color w:val="auto"/>
          <w:spacing w:val="-2"/>
          <w:sz w:val="28"/>
          <w:szCs w:val="28"/>
          <w:highlight w:val="none"/>
        </w:rPr>
        <w:t>。（式中Q2为可采资源量）</w:t>
      </w:r>
      <w:r>
        <w:rPr>
          <w:rFonts w:hint="eastAsia" w:ascii="宋体" w:hAnsi="宋体" w:eastAsia="宋体" w:cs="宋体"/>
          <w:color w:val="auto"/>
          <w:spacing w:val="-4"/>
          <w:sz w:val="28"/>
          <w:szCs w:val="28"/>
          <w:lang w:val="en-US" w:eastAsia="zh-CN"/>
        </w:rPr>
        <w:t>。</w:t>
      </w:r>
    </w:p>
    <w:p>
      <w:pPr>
        <w:spacing w:line="360" w:lineRule="auto"/>
        <w:ind w:firstLine="480"/>
        <w:rPr>
          <w:rFonts w:hint="eastAsia" w:ascii="宋体" w:hAnsi="宋体" w:cs="宋体"/>
          <w:sz w:val="28"/>
          <w:szCs w:val="28"/>
        </w:rPr>
      </w:pPr>
      <w:r>
        <w:rPr>
          <w:rFonts w:hint="eastAsia" w:ascii="宋体" w:hAnsi="宋体" w:cs="宋体"/>
          <w:spacing w:val="-4"/>
          <w:sz w:val="28"/>
          <w:szCs w:val="28"/>
        </w:rPr>
        <w:t>设计矿山生产规模为</w:t>
      </w:r>
      <w:r>
        <w:rPr>
          <w:rFonts w:hint="eastAsia" w:ascii="宋体" w:hAnsi="宋体" w:cs="宋体"/>
          <w:sz w:val="28"/>
          <w:szCs w:val="28"/>
          <w:lang w:val="en-US" w:eastAsia="zh-CN"/>
        </w:rPr>
        <w:t>****</w:t>
      </w:r>
      <w:r>
        <w:rPr>
          <w:rFonts w:hint="eastAsia" w:ascii="宋体" w:hAnsi="宋体" w:cs="宋体"/>
          <w:spacing w:val="-4"/>
          <w:sz w:val="28"/>
          <w:szCs w:val="28"/>
        </w:rPr>
        <w:t>万</w:t>
      </w:r>
      <w:r>
        <w:rPr>
          <w:rFonts w:hint="eastAsia" w:ascii="宋体" w:hAnsi="宋体" w:cs="宋体"/>
          <w:spacing w:val="-4"/>
          <w:sz w:val="28"/>
          <w:szCs w:val="28"/>
          <w:lang w:val="en-US" w:eastAsia="zh-CN"/>
        </w:rPr>
        <w:t>立方米</w:t>
      </w:r>
      <w:r>
        <w:rPr>
          <w:rFonts w:hint="eastAsia" w:ascii="宋体" w:hAnsi="宋体" w:cs="宋体"/>
          <w:spacing w:val="-4"/>
          <w:sz w:val="28"/>
          <w:szCs w:val="28"/>
        </w:rPr>
        <w:t>/年；矿山服务年限</w:t>
      </w:r>
      <w:r>
        <w:rPr>
          <w:rFonts w:hint="eastAsia" w:ascii="宋体" w:hAnsi="宋体" w:cs="宋体"/>
          <w:sz w:val="28"/>
          <w:szCs w:val="28"/>
          <w:lang w:val="en-US" w:eastAsia="zh-CN"/>
        </w:rPr>
        <w:t>****</w:t>
      </w:r>
      <w:r>
        <w:rPr>
          <w:rFonts w:hint="eastAsia" w:ascii="宋体" w:hAnsi="宋体" w:cs="宋体"/>
          <w:spacing w:val="-4"/>
          <w:sz w:val="28"/>
          <w:szCs w:val="28"/>
        </w:rPr>
        <w:t>年（</w:t>
      </w:r>
      <w:r>
        <w:rPr>
          <w:rFonts w:hint="eastAsia" w:ascii="宋体" w:hAnsi="宋体" w:cs="宋体"/>
          <w:sz w:val="28"/>
          <w:szCs w:val="28"/>
          <w:lang w:val="en-US" w:eastAsia="zh-CN"/>
        </w:rPr>
        <w:t>**</w:t>
      </w:r>
      <w:r>
        <w:rPr>
          <w:rFonts w:hint="eastAsia" w:ascii="宋体" w:hAnsi="宋体" w:cs="宋体"/>
          <w:spacing w:val="-4"/>
          <w:sz w:val="28"/>
          <w:szCs w:val="28"/>
        </w:rPr>
        <w:t>年</w:t>
      </w:r>
      <w:r>
        <w:rPr>
          <w:rFonts w:hint="eastAsia" w:ascii="宋体" w:hAnsi="宋体" w:cs="宋体"/>
          <w:sz w:val="28"/>
          <w:szCs w:val="28"/>
          <w:lang w:val="en-US" w:eastAsia="zh-CN"/>
        </w:rPr>
        <w:t>**</w:t>
      </w:r>
      <w:r>
        <w:rPr>
          <w:rFonts w:hint="eastAsia" w:ascii="宋体" w:hAnsi="宋体" w:cs="宋体"/>
          <w:spacing w:val="-4"/>
          <w:sz w:val="28"/>
          <w:szCs w:val="28"/>
          <w:lang w:val="en-US" w:eastAsia="zh-CN"/>
        </w:rPr>
        <w:t>月</w:t>
      </w:r>
      <w:r>
        <w:rPr>
          <w:rFonts w:hint="eastAsia" w:ascii="宋体" w:hAnsi="宋体" w:cs="宋体"/>
          <w:spacing w:val="-4"/>
          <w:sz w:val="28"/>
          <w:szCs w:val="28"/>
        </w:rPr>
        <w:t>）。</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四、采矿方案</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采矿方法：矿体出露地表，处于最低侵蚀基准面之上，露天开采条件好。根据矿体赋存特征及地形条件，设计采用</w:t>
      </w:r>
      <w:r>
        <w:rPr>
          <w:rFonts w:hint="eastAsia" w:ascii="宋体" w:hAnsi="宋体" w:cs="宋体"/>
          <w:sz w:val="28"/>
          <w:szCs w:val="28"/>
          <w:lang w:val="en-US" w:eastAsia="zh-CN"/>
        </w:rPr>
        <w:t>山坡-凹陷</w:t>
      </w:r>
      <w:r>
        <w:rPr>
          <w:rFonts w:hint="eastAsia" w:ascii="宋体" w:hAnsi="宋体" w:cs="宋体"/>
          <w:sz w:val="28"/>
          <w:szCs w:val="28"/>
          <w:lang w:eastAsia="zh-CN"/>
        </w:rPr>
        <w:t>露天开采方式</w:t>
      </w:r>
      <w:r>
        <w:rPr>
          <w:rFonts w:hint="eastAsia" w:ascii="宋体" w:hAnsi="宋体" w:cs="宋体"/>
          <w:sz w:val="28"/>
          <w:szCs w:val="28"/>
        </w:rPr>
        <w:t>。</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 xml:space="preserve">开拓运输方案：采用公路开拓汽车运输方案。 </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五、产品方案</w:t>
      </w:r>
    </w:p>
    <w:p>
      <w:pPr>
        <w:spacing w:line="520" w:lineRule="exact"/>
        <w:ind w:firstLine="560" w:firstLineChars="200"/>
        <w:rPr>
          <w:rFonts w:hint="eastAsia" w:ascii="宋体" w:hAnsi="宋体" w:cs="宋体"/>
          <w:sz w:val="28"/>
          <w:szCs w:val="28"/>
        </w:rPr>
      </w:pPr>
      <w:r>
        <w:rPr>
          <w:rFonts w:hint="eastAsia" w:ascii="宋体" w:hAnsi="宋体" w:cs="宋体"/>
          <w:sz w:val="28"/>
          <w:szCs w:val="28"/>
        </w:rPr>
        <w:t>矿山产品为</w:t>
      </w:r>
      <w:r>
        <w:rPr>
          <w:rFonts w:hint="eastAsia" w:ascii="宋体" w:hAnsi="宋体" w:cs="宋体"/>
          <w:sz w:val="28"/>
          <w:szCs w:val="28"/>
          <w:lang w:val="en-US" w:eastAsia="zh-CN"/>
        </w:rPr>
        <w:t>砖瓦用页岩</w:t>
      </w:r>
      <w:r>
        <w:rPr>
          <w:rFonts w:hint="eastAsia" w:ascii="宋体" w:hAnsi="宋体" w:cs="宋体"/>
          <w:sz w:val="28"/>
          <w:szCs w:val="28"/>
        </w:rPr>
        <w:t>，矿石块度小于或等于</w:t>
      </w:r>
      <w:r>
        <w:rPr>
          <w:rFonts w:hint="eastAsia" w:ascii="宋体" w:hAnsi="宋体" w:cs="宋体"/>
          <w:sz w:val="28"/>
          <w:szCs w:val="28"/>
          <w:lang w:val="en-US" w:eastAsia="zh-CN"/>
        </w:rPr>
        <w:t>3</w:t>
      </w:r>
      <w:r>
        <w:rPr>
          <w:rFonts w:hint="eastAsia" w:ascii="宋体" w:hAnsi="宋体" w:cs="宋体"/>
          <w:sz w:val="28"/>
          <w:szCs w:val="28"/>
        </w:rPr>
        <w:t>00毫米。</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六、绿色矿山建设</w:t>
      </w:r>
    </w:p>
    <w:p>
      <w:pPr>
        <w:keepNext w:val="0"/>
        <w:keepLines w:val="0"/>
        <w:pageBreakBefore w:val="0"/>
        <w:kinsoku/>
        <w:wordWrap/>
        <w:overflowPunct/>
        <w:topLinePunct w:val="0"/>
        <w:autoSpaceDE w:val="0"/>
        <w:autoSpaceDN w:val="0"/>
        <w:bidi w:val="0"/>
        <w:adjustRightInd w:val="0"/>
        <w:snapToGrid w:val="0"/>
        <w:spacing w:line="560" w:lineRule="exact"/>
        <w:ind w:firstLine="544" w:firstLineChars="200"/>
        <w:textAlignment w:val="baseline"/>
        <w:rPr>
          <w:rFonts w:ascii="宋体" w:hAnsi="宋体" w:cs="宋体"/>
          <w:snapToGrid w:val="0"/>
          <w:spacing w:val="-2"/>
          <w:kern w:val="0"/>
          <w:sz w:val="28"/>
          <w:szCs w:val="28"/>
        </w:rPr>
      </w:pPr>
      <w:r>
        <w:rPr>
          <w:rFonts w:hint="eastAsia" w:ascii="宋体" w:hAnsi="宋体" w:cs="宋体"/>
          <w:snapToGrid w:val="0"/>
          <w:spacing w:val="-4"/>
          <w:kern w:val="0"/>
          <w:sz w:val="28"/>
          <w:szCs w:val="28"/>
        </w:rPr>
        <w:t>设计采用的开采工艺符合《非金属矿行业绿色矿山建设规范》（DZ/T0312-2018）</w:t>
      </w:r>
      <w:r>
        <w:rPr>
          <w:rFonts w:hint="eastAsia" w:ascii="宋体" w:hAnsi="宋体" w:cs="宋体"/>
          <w:snapToGrid w:val="0"/>
          <w:spacing w:val="-2"/>
          <w:kern w:val="0"/>
          <w:sz w:val="28"/>
          <w:szCs w:val="28"/>
        </w:rPr>
        <w:t>要求。设计</w:t>
      </w:r>
      <w:r>
        <w:rPr>
          <w:rFonts w:hint="eastAsia" w:ascii="宋体" w:hAnsi="宋体" w:cs="宋体"/>
          <w:snapToGrid w:val="0"/>
          <w:spacing w:val="1"/>
          <w:kern w:val="0"/>
          <w:sz w:val="28"/>
          <w:szCs w:val="28"/>
        </w:rPr>
        <w:t>采矿回采率、选矿回收率、综合利用率指标为：</w:t>
      </w:r>
    </w:p>
    <w:p>
      <w:pPr>
        <w:keepNext w:val="0"/>
        <w:keepLines w:val="0"/>
        <w:pageBreakBefore w:val="0"/>
        <w:widowControl/>
        <w:kinsoku/>
        <w:wordWrap/>
        <w:overflowPunct/>
        <w:topLinePunct w:val="0"/>
        <w:autoSpaceDE w:val="0"/>
        <w:autoSpaceDN w:val="0"/>
        <w:bidi w:val="0"/>
        <w:adjustRightInd w:val="0"/>
        <w:snapToGrid w:val="0"/>
        <w:spacing w:line="560" w:lineRule="exact"/>
        <w:ind w:firstLine="564" w:firstLineChars="200"/>
        <w:textAlignment w:val="baseline"/>
        <w:rPr>
          <w:rFonts w:ascii="宋体" w:hAnsi="宋体" w:cs="宋体"/>
          <w:snapToGrid w:val="0"/>
          <w:spacing w:val="1"/>
          <w:kern w:val="0"/>
          <w:sz w:val="28"/>
          <w:szCs w:val="28"/>
        </w:rPr>
      </w:pPr>
      <w:r>
        <w:rPr>
          <w:rFonts w:hint="eastAsia" w:ascii="宋体" w:hAnsi="宋体" w:cs="宋体"/>
          <w:snapToGrid w:val="0"/>
          <w:spacing w:val="1"/>
          <w:kern w:val="0"/>
          <w:sz w:val="28"/>
          <w:szCs w:val="28"/>
        </w:rPr>
        <w:t>开采回采率：本矿属于简单露天矿山，设计采矿回采率为95%；</w:t>
      </w:r>
      <w:r>
        <w:rPr>
          <w:rFonts w:hint="eastAsia" w:ascii="宋体" w:hAnsi="宋体" w:cs="宋体"/>
          <w:snapToGrid w:val="0"/>
          <w:spacing w:val="1"/>
          <w:kern w:val="0"/>
          <w:sz w:val="28"/>
          <w:szCs w:val="28"/>
          <w:lang w:val="en-US" w:eastAsia="zh-CN"/>
        </w:rPr>
        <w:t>依据自然资源部关于《粉石英等36种矿产资源合理开发利用“三率”最低指标要求（试行）》的公告（自然资源部公告 2021年第21号文）</w:t>
      </w:r>
      <w:r>
        <w:rPr>
          <w:rFonts w:hint="eastAsia" w:ascii="宋体" w:hAnsi="宋体" w:cs="宋体"/>
          <w:snapToGrid w:val="0"/>
          <w:spacing w:val="1"/>
          <w:kern w:val="0"/>
          <w:sz w:val="28"/>
          <w:szCs w:val="28"/>
        </w:rPr>
        <w:t>：露天矿山开采回采率不低于90%。本矿山设计回采率为95%，满足规范要求；</w:t>
      </w:r>
    </w:p>
    <w:p>
      <w:pPr>
        <w:widowControl/>
        <w:kinsoku w:val="0"/>
        <w:autoSpaceDE w:val="0"/>
        <w:autoSpaceDN w:val="0"/>
        <w:adjustRightInd w:val="0"/>
        <w:snapToGrid w:val="0"/>
        <w:spacing w:line="560" w:lineRule="exact"/>
        <w:ind w:firstLine="564" w:firstLineChars="200"/>
        <w:textAlignment w:val="baseline"/>
        <w:rPr>
          <w:rFonts w:ascii="宋体" w:hAnsi="宋体" w:cs="宋体"/>
          <w:snapToGrid w:val="0"/>
          <w:spacing w:val="1"/>
          <w:kern w:val="0"/>
          <w:sz w:val="28"/>
          <w:szCs w:val="28"/>
        </w:rPr>
      </w:pPr>
      <w:r>
        <w:rPr>
          <w:rFonts w:hint="eastAsia" w:ascii="宋体" w:hAnsi="宋体" w:cs="宋体"/>
          <w:snapToGrid w:val="0"/>
          <w:spacing w:val="1"/>
          <w:kern w:val="0"/>
          <w:sz w:val="28"/>
          <w:szCs w:val="28"/>
        </w:rPr>
        <w:t>选矿回收率（本矿山开采矿石为</w:t>
      </w:r>
      <w:r>
        <w:rPr>
          <w:rFonts w:hint="eastAsia" w:ascii="宋体" w:hAnsi="宋体" w:cs="宋体"/>
          <w:snapToGrid w:val="0"/>
          <w:spacing w:val="1"/>
          <w:kern w:val="0"/>
          <w:sz w:val="28"/>
          <w:szCs w:val="28"/>
          <w:lang w:val="en-US" w:eastAsia="zh-CN"/>
        </w:rPr>
        <w:t>砖瓦用页岩矿</w:t>
      </w:r>
      <w:r>
        <w:rPr>
          <w:rFonts w:hint="eastAsia" w:ascii="宋体" w:hAnsi="宋体" w:cs="宋体"/>
          <w:snapToGrid w:val="0"/>
          <w:spacing w:val="1"/>
          <w:kern w:val="0"/>
          <w:sz w:val="28"/>
          <w:szCs w:val="28"/>
        </w:rPr>
        <w:t>，不存在选矿过程，故不涉及选矿回收率）；</w:t>
      </w:r>
    </w:p>
    <w:p>
      <w:pPr>
        <w:widowControl/>
        <w:kinsoku w:val="0"/>
        <w:autoSpaceDE w:val="0"/>
        <w:autoSpaceDN w:val="0"/>
        <w:adjustRightInd w:val="0"/>
        <w:snapToGrid w:val="0"/>
        <w:spacing w:line="560" w:lineRule="exact"/>
        <w:ind w:firstLine="564" w:firstLineChars="200"/>
        <w:textAlignment w:val="baseline"/>
        <w:rPr>
          <w:rFonts w:hint="eastAsia" w:ascii="宋体" w:hAnsi="宋体" w:cs="宋体"/>
          <w:sz w:val="28"/>
          <w:szCs w:val="28"/>
        </w:rPr>
      </w:pPr>
      <w:r>
        <w:rPr>
          <w:rFonts w:hint="eastAsia" w:ascii="宋体" w:hAnsi="宋体" w:cs="宋体"/>
          <w:snapToGrid w:val="0"/>
          <w:color w:val="000000"/>
          <w:spacing w:val="1"/>
          <w:kern w:val="0"/>
          <w:sz w:val="28"/>
          <w:szCs w:val="28"/>
        </w:rPr>
        <w:t>综合利用率：根据相关指标要求，</w:t>
      </w:r>
      <w:r>
        <w:rPr>
          <w:rFonts w:hint="eastAsia" w:ascii="宋体" w:hAnsi="宋体" w:cs="宋体"/>
          <w:snapToGrid w:val="0"/>
          <w:spacing w:val="1"/>
          <w:kern w:val="0"/>
          <w:sz w:val="28"/>
          <w:szCs w:val="28"/>
          <w:lang w:val="en-US" w:eastAsia="zh-CN"/>
        </w:rPr>
        <w:t>砖瓦用页岩矿</w:t>
      </w:r>
      <w:r>
        <w:rPr>
          <w:rFonts w:hint="eastAsia" w:ascii="宋体" w:hAnsi="宋体" w:cs="宋体"/>
          <w:snapToGrid w:val="0"/>
          <w:color w:val="000000"/>
          <w:spacing w:val="1"/>
          <w:kern w:val="0"/>
          <w:sz w:val="28"/>
          <w:szCs w:val="28"/>
        </w:rPr>
        <w:t>无伴生矿产，暂不设指标要求。对于矿山废石的利用，鼓励有条件的矿山应用于矿山充填及制作建筑材料等。</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七、矿区地质环境治理恢复</w:t>
      </w:r>
    </w:p>
    <w:p>
      <w:pPr>
        <w:spacing w:line="560" w:lineRule="exact"/>
        <w:ind w:firstLine="560" w:firstLineChars="200"/>
        <w:rPr>
          <w:rFonts w:ascii="宋体" w:hAnsi="宋体" w:cs="宋体"/>
          <w:sz w:val="28"/>
          <w:szCs w:val="28"/>
        </w:rPr>
      </w:pPr>
      <w:r>
        <w:rPr>
          <w:rFonts w:hint="eastAsia" w:ascii="宋体" w:hAnsi="宋体" w:cs="宋体"/>
          <w:sz w:val="28"/>
          <w:szCs w:val="28"/>
        </w:rPr>
        <w:t>（一）本次工作查明了矿山环境现状，分析了矿山环境发展趋势，其论述内容基本全面，结论基本正确。</w:t>
      </w:r>
    </w:p>
    <w:p>
      <w:pPr>
        <w:spacing w:line="560" w:lineRule="exact"/>
        <w:ind w:firstLine="560" w:firstLineChars="200"/>
        <w:rPr>
          <w:rFonts w:ascii="宋体" w:hAnsi="宋体" w:cs="宋体"/>
          <w:sz w:val="28"/>
          <w:szCs w:val="28"/>
        </w:rPr>
      </w:pPr>
      <w:r>
        <w:rPr>
          <w:rFonts w:hint="eastAsia" w:ascii="宋体" w:hAnsi="宋体" w:cs="宋体"/>
          <w:sz w:val="28"/>
          <w:szCs w:val="28"/>
        </w:rPr>
        <w:t>（二）评估区重要程度为</w:t>
      </w:r>
      <w:r>
        <w:rPr>
          <w:rFonts w:hint="eastAsia" w:ascii="宋体" w:hAnsi="宋体" w:cs="宋体"/>
          <w:b/>
          <w:bCs/>
          <w:sz w:val="28"/>
          <w:szCs w:val="28"/>
        </w:rPr>
        <w:t>一般区</w:t>
      </w:r>
      <w:r>
        <w:rPr>
          <w:rFonts w:hint="eastAsia" w:ascii="宋体" w:hAnsi="宋体" w:cs="宋体"/>
          <w:sz w:val="28"/>
          <w:szCs w:val="28"/>
        </w:rPr>
        <w:t>，矿山地质环境条件复杂程度为</w:t>
      </w:r>
      <w:r>
        <w:rPr>
          <w:rFonts w:hint="eastAsia" w:ascii="宋体" w:hAnsi="宋体" w:cs="宋体"/>
          <w:b/>
          <w:bCs/>
          <w:sz w:val="28"/>
          <w:szCs w:val="28"/>
        </w:rPr>
        <w:t>中等</w:t>
      </w:r>
      <w:r>
        <w:rPr>
          <w:rFonts w:hint="eastAsia" w:ascii="宋体" w:hAnsi="宋体" w:cs="宋体"/>
          <w:sz w:val="28"/>
          <w:szCs w:val="28"/>
        </w:rPr>
        <w:t>，建设规模属</w:t>
      </w:r>
      <w:r>
        <w:rPr>
          <w:rFonts w:hint="eastAsia" w:ascii="宋体" w:hAnsi="宋体" w:cs="宋体"/>
          <w:b/>
          <w:bCs/>
          <w:sz w:val="28"/>
          <w:szCs w:val="28"/>
          <w:lang w:val="en-US" w:eastAsia="zh-CN"/>
        </w:rPr>
        <w:t>中</w:t>
      </w:r>
      <w:r>
        <w:rPr>
          <w:rFonts w:hint="eastAsia" w:ascii="宋体" w:hAnsi="宋体" w:cs="宋体"/>
          <w:b/>
          <w:bCs/>
          <w:sz w:val="28"/>
          <w:szCs w:val="28"/>
        </w:rPr>
        <w:t>型矿山</w:t>
      </w:r>
      <w:r>
        <w:rPr>
          <w:rFonts w:hint="eastAsia" w:ascii="宋体" w:hAnsi="宋体" w:cs="宋体"/>
          <w:sz w:val="28"/>
          <w:szCs w:val="28"/>
        </w:rPr>
        <w:t>，根据矿山环境影响评估分级，本矿山地质环境影响评估等级为</w:t>
      </w:r>
      <w:r>
        <w:rPr>
          <w:rFonts w:hint="eastAsia" w:ascii="宋体" w:hAnsi="宋体" w:cs="宋体"/>
          <w:b/>
          <w:bCs/>
          <w:sz w:val="28"/>
          <w:szCs w:val="28"/>
        </w:rPr>
        <w:t>二级</w:t>
      </w:r>
      <w:r>
        <w:rPr>
          <w:rFonts w:hint="eastAsia" w:ascii="宋体" w:hAnsi="宋体" w:cs="宋体"/>
          <w:sz w:val="28"/>
          <w:szCs w:val="28"/>
        </w:rPr>
        <w:t>。评估等级划分正确，评估范围确定合理。</w:t>
      </w:r>
    </w:p>
    <w:p>
      <w:pPr>
        <w:spacing w:line="560" w:lineRule="exact"/>
        <w:ind w:firstLine="560" w:firstLineChars="200"/>
        <w:rPr>
          <w:rFonts w:ascii="宋体" w:hAnsi="宋体" w:cs="宋体"/>
          <w:sz w:val="28"/>
          <w:szCs w:val="28"/>
        </w:rPr>
      </w:pPr>
      <w:r>
        <w:rPr>
          <w:rFonts w:hint="eastAsia" w:ascii="宋体" w:hAnsi="宋体" w:cs="宋体"/>
          <w:sz w:val="28"/>
          <w:szCs w:val="28"/>
        </w:rPr>
        <w:t>（三）矿山地质环境影响现状评估分区</w:t>
      </w:r>
      <w:bookmarkStart w:id="301" w:name="_Hlk93598119"/>
      <w:r>
        <w:rPr>
          <w:rFonts w:hint="eastAsia" w:ascii="宋体" w:hAnsi="宋体" w:cs="宋体"/>
          <w:sz w:val="28"/>
          <w:szCs w:val="28"/>
        </w:rPr>
        <w:t>：</w:t>
      </w:r>
      <w:bookmarkEnd w:id="301"/>
      <w:r>
        <w:rPr>
          <w:rFonts w:hint="eastAsia" w:ascii="宋体" w:hAnsi="宋体" w:cs="宋体"/>
          <w:sz w:val="28"/>
          <w:szCs w:val="28"/>
        </w:rPr>
        <w:t>根据评估区内地质灾害、含水层破坏、地形地貌景观影响、水土环境污染等方面的现状评估结果，考虑各方面影响情况和影响面积的叠加，将评估区内矿山地质环境影响现状评估划分1个分区，“较轻区”。</w:t>
      </w:r>
    </w:p>
    <w:p>
      <w:pPr>
        <w:spacing w:line="560" w:lineRule="exact"/>
        <w:ind w:firstLine="560" w:firstLineChars="200"/>
        <w:rPr>
          <w:rFonts w:ascii="宋体" w:hAnsi="宋体" w:cs="宋体"/>
          <w:sz w:val="28"/>
          <w:szCs w:val="28"/>
        </w:rPr>
      </w:pPr>
      <w:r>
        <w:rPr>
          <w:rFonts w:hint="eastAsia" w:ascii="宋体" w:hAnsi="宋体" w:cs="宋体"/>
          <w:sz w:val="28"/>
          <w:szCs w:val="28"/>
        </w:rPr>
        <w:t>较轻区：面积</w:t>
      </w:r>
      <w:r>
        <w:rPr>
          <w:rFonts w:hint="eastAsia" w:ascii="宋体" w:hAnsi="宋体" w:cs="宋体"/>
          <w:sz w:val="28"/>
          <w:szCs w:val="28"/>
          <w:lang w:val="en-US" w:eastAsia="zh-CN"/>
        </w:rPr>
        <w:t>****</w:t>
      </w:r>
      <w:r>
        <w:rPr>
          <w:rFonts w:hint="eastAsia" w:ascii="宋体" w:hAnsi="宋体" w:cs="宋体"/>
          <w:sz w:val="28"/>
          <w:szCs w:val="28"/>
        </w:rPr>
        <w:t>公顷，包括整个评估区范围。地质灾害不发育；对含水层破坏程度较轻；对地形地貌景观破坏程度较轻；对水土环境污染较轻；对大气环境污染较轻。</w:t>
      </w:r>
    </w:p>
    <w:p>
      <w:pPr>
        <w:spacing w:line="560" w:lineRule="exact"/>
        <w:ind w:firstLine="560" w:firstLineChars="200"/>
        <w:rPr>
          <w:rFonts w:ascii="宋体" w:hAnsi="宋体" w:cs="宋体"/>
          <w:sz w:val="28"/>
          <w:szCs w:val="28"/>
        </w:rPr>
      </w:pPr>
      <w:r>
        <w:rPr>
          <w:rFonts w:hint="eastAsia" w:ascii="宋体" w:hAnsi="宋体" w:cs="宋体"/>
          <w:sz w:val="28"/>
          <w:szCs w:val="28"/>
        </w:rPr>
        <w:t>（四）矿山地质环境影响预测评估分区</w:t>
      </w:r>
      <w:bookmarkStart w:id="302" w:name="_Hlk93598145"/>
      <w:r>
        <w:rPr>
          <w:rFonts w:hint="eastAsia" w:ascii="宋体" w:hAnsi="宋体" w:cs="宋体"/>
          <w:sz w:val="28"/>
          <w:szCs w:val="28"/>
        </w:rPr>
        <w:t>：</w:t>
      </w:r>
      <w:bookmarkEnd w:id="302"/>
      <w:r>
        <w:rPr>
          <w:rFonts w:hint="eastAsia" w:ascii="宋体" w:hAnsi="宋体" w:cs="宋体"/>
          <w:sz w:val="28"/>
          <w:szCs w:val="28"/>
        </w:rPr>
        <w:t>根据评估区内地质灾害、含水层破坏、地形地貌景观影响、水土环境污染、大气环境污染等方面的现状评估结果，考虑各方面影响情况和影响面积的叠加，将评估区内矿山地质环境影响预测评估划分3个分区。</w:t>
      </w:r>
    </w:p>
    <w:p>
      <w:pPr>
        <w:widowControl/>
        <w:kinsoku w:val="0"/>
        <w:autoSpaceDE w:val="0"/>
        <w:autoSpaceDN w:val="0"/>
        <w:adjustRightInd w:val="0"/>
        <w:snapToGrid w:val="0"/>
        <w:spacing w:line="560" w:lineRule="exact"/>
        <w:ind w:firstLine="560" w:firstLineChars="200"/>
        <w:textAlignment w:val="baseline"/>
        <w:rPr>
          <w:rFonts w:hint="eastAsia" w:ascii="宋体" w:hAnsi="宋体" w:cs="宋体"/>
          <w:snapToGrid w:val="0"/>
          <w:kern w:val="0"/>
          <w:sz w:val="28"/>
          <w:szCs w:val="28"/>
        </w:rPr>
      </w:pPr>
      <w:r>
        <w:rPr>
          <w:rFonts w:hint="eastAsia" w:ascii="宋体" w:hAnsi="宋体" w:cs="宋体"/>
          <w:sz w:val="28"/>
          <w:szCs w:val="28"/>
        </w:rPr>
        <w:t>严重区：面积</w:t>
      </w:r>
      <w:r>
        <w:rPr>
          <w:rFonts w:hint="eastAsia" w:ascii="宋体" w:hAnsi="宋体" w:cs="宋体"/>
          <w:sz w:val="28"/>
          <w:szCs w:val="28"/>
          <w:lang w:val="en-US" w:eastAsia="zh-CN"/>
        </w:rPr>
        <w:t>****</w:t>
      </w:r>
      <w:r>
        <w:rPr>
          <w:rFonts w:hint="eastAsia" w:ascii="宋体" w:hAnsi="宋体" w:cs="宋体"/>
          <w:sz w:val="28"/>
          <w:szCs w:val="28"/>
        </w:rPr>
        <w:t>公顷，包括规</w:t>
      </w:r>
      <w:r>
        <w:rPr>
          <w:rFonts w:hint="eastAsia" w:ascii="宋体" w:hAnsi="宋体" w:cs="宋体"/>
          <w:snapToGrid w:val="0"/>
          <w:kern w:val="0"/>
          <w:sz w:val="28"/>
          <w:szCs w:val="28"/>
        </w:rPr>
        <w:t>划露天</w:t>
      </w:r>
      <w:r>
        <w:rPr>
          <w:rFonts w:ascii="宋体" w:hAnsi="宋体" w:cs="宋体"/>
          <w:snapToGrid w:val="0"/>
          <w:kern w:val="0"/>
          <w:sz w:val="28"/>
          <w:szCs w:val="28"/>
        </w:rPr>
        <w:t>采场</w:t>
      </w:r>
      <w:r>
        <w:rPr>
          <w:rFonts w:hint="eastAsia"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z w:val="28"/>
          <w:szCs w:val="28"/>
        </w:rPr>
      </w:pPr>
      <w:r>
        <w:rPr>
          <w:rFonts w:hint="eastAsia" w:ascii="宋体" w:hAnsi="宋体" w:cs="宋体"/>
          <w:snapToGrid w:val="0"/>
          <w:kern w:val="0"/>
          <w:sz w:val="28"/>
          <w:szCs w:val="28"/>
        </w:rPr>
        <w:t>较严重区：面积</w:t>
      </w:r>
      <w:r>
        <w:rPr>
          <w:rFonts w:hint="eastAsia" w:ascii="宋体" w:hAnsi="宋体" w:cs="宋体"/>
          <w:sz w:val="28"/>
          <w:szCs w:val="28"/>
          <w:lang w:val="en-US" w:eastAsia="zh-CN"/>
        </w:rPr>
        <w:t>****</w:t>
      </w:r>
      <w:r>
        <w:rPr>
          <w:rFonts w:hint="eastAsia" w:ascii="宋体" w:hAnsi="宋体" w:cs="宋体"/>
          <w:snapToGrid w:val="0"/>
          <w:kern w:val="0"/>
          <w:sz w:val="28"/>
          <w:szCs w:val="28"/>
        </w:rPr>
        <w:t>公顷，包括</w:t>
      </w:r>
      <w:r>
        <w:rPr>
          <w:rFonts w:hint="eastAsia" w:ascii="宋体" w:hAnsi="宋体" w:cs="宋体"/>
          <w:snapToGrid w:val="0"/>
          <w:kern w:val="0"/>
          <w:sz w:val="28"/>
          <w:szCs w:val="28"/>
          <w:lang w:val="en-US" w:eastAsia="zh-CN"/>
        </w:rPr>
        <w:t>拟建排土场、拟建</w:t>
      </w:r>
      <w:r>
        <w:rPr>
          <w:rFonts w:hint="eastAsia" w:ascii="宋体" w:hAnsi="宋体" w:cs="宋体"/>
          <w:snapToGrid w:val="0"/>
          <w:kern w:val="0"/>
          <w:sz w:val="28"/>
          <w:szCs w:val="28"/>
        </w:rPr>
        <w:t>生活区</w:t>
      </w:r>
      <w:r>
        <w:rPr>
          <w:rFonts w:hint="eastAsia" w:ascii="宋体" w:hAnsi="宋体" w:cs="宋体"/>
          <w:snapToGrid w:val="0"/>
          <w:kern w:val="0"/>
          <w:sz w:val="28"/>
          <w:szCs w:val="28"/>
          <w:lang w:val="en-US" w:eastAsia="zh-CN"/>
        </w:rPr>
        <w:t>和拟建矿山道路</w:t>
      </w:r>
      <w:r>
        <w:rPr>
          <w:rFonts w:hint="eastAsia" w:ascii="宋体" w:hAnsi="宋体" w:cs="宋体"/>
          <w:sz w:val="28"/>
          <w:szCs w:val="28"/>
        </w:rPr>
        <w:t>。</w:t>
      </w:r>
    </w:p>
    <w:p>
      <w:pPr>
        <w:spacing w:line="560" w:lineRule="exact"/>
        <w:ind w:firstLine="560" w:firstLineChars="200"/>
        <w:rPr>
          <w:rFonts w:ascii="宋体" w:hAnsi="宋体" w:cs="宋体"/>
          <w:sz w:val="28"/>
          <w:szCs w:val="28"/>
        </w:rPr>
      </w:pPr>
      <w:r>
        <w:rPr>
          <w:rFonts w:hint="eastAsia" w:ascii="宋体" w:hAnsi="宋体" w:cs="宋体"/>
          <w:sz w:val="28"/>
          <w:szCs w:val="28"/>
        </w:rPr>
        <w:t>较轻区：面积</w:t>
      </w:r>
      <w:r>
        <w:rPr>
          <w:rFonts w:hint="eastAsia" w:ascii="宋体" w:hAnsi="宋体" w:cs="宋体"/>
          <w:sz w:val="28"/>
          <w:szCs w:val="28"/>
          <w:lang w:val="en-US" w:eastAsia="zh-CN"/>
        </w:rPr>
        <w:t>****</w:t>
      </w:r>
      <w:r>
        <w:rPr>
          <w:rFonts w:hint="eastAsia" w:ascii="宋体" w:hAnsi="宋体" w:cs="宋体"/>
          <w:sz w:val="28"/>
          <w:szCs w:val="28"/>
        </w:rPr>
        <w:t>公顷，上述区域外评估区内其他区域。</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（五）确定了矿山环境保护与治理恢复的原则、目标和任务，对矿区进行了矿山环境保护与治理恢复分区，并提出了具体的保护、治理以及监测方案，并进行了经费概算。</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依据现状评估和预测评估结论，将本矿山地质环境保护与治理恢复分区划分为重点防治区(Ⅰ)、次重点防治区(Ⅱ)和一般防治区(Ⅲ)。分述如下：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（1）矿山地质环境保护与治理恢复重点防治区（Ⅰ）</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矿山地质环境保护与治理恢复重点防治区（Ⅰ）面积约</w:t>
      </w:r>
      <w:r>
        <w:rPr>
          <w:rFonts w:hint="eastAsia" w:ascii="宋体" w:hAnsi="宋体" w:cs="宋体"/>
          <w:sz w:val="28"/>
          <w:szCs w:val="28"/>
          <w:lang w:val="en-US" w:eastAsia="zh-CN"/>
        </w:rPr>
        <w:t>****</w:t>
      </w:r>
      <w:r>
        <w:rPr>
          <w:rFonts w:hint="eastAsia" w:ascii="宋体" w:hAnsi="宋体" w:cs="宋体"/>
          <w:snapToGrid w:val="0"/>
          <w:kern w:val="0"/>
          <w:sz w:val="28"/>
          <w:szCs w:val="28"/>
        </w:rPr>
        <w:t>公顷。包括规划露天采矿场。</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（2）矿山地质环境保护与治理恢复次重点防治区（Ⅱ）</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矿山地质环境保护与治理恢复次重点防治区（Ⅱ）面积约</w:t>
      </w:r>
      <w:r>
        <w:rPr>
          <w:rFonts w:hint="eastAsia" w:ascii="宋体" w:hAnsi="宋体" w:cs="宋体"/>
          <w:sz w:val="28"/>
          <w:szCs w:val="28"/>
          <w:lang w:val="en-US" w:eastAsia="zh-CN"/>
        </w:rPr>
        <w:t>****</w:t>
      </w:r>
      <w:r>
        <w:rPr>
          <w:rFonts w:hint="eastAsia" w:ascii="宋体" w:hAnsi="宋体" w:cs="宋体"/>
          <w:snapToGrid w:val="0"/>
          <w:kern w:val="0"/>
          <w:sz w:val="28"/>
          <w:szCs w:val="28"/>
        </w:rPr>
        <w:t>公顷。分布范围包括</w:t>
      </w:r>
      <w:r>
        <w:rPr>
          <w:rFonts w:hint="eastAsia" w:ascii="宋体" w:hAnsi="宋体" w:cs="宋体"/>
          <w:snapToGrid w:val="0"/>
          <w:kern w:val="0"/>
          <w:sz w:val="28"/>
          <w:szCs w:val="28"/>
          <w:lang w:val="en-US" w:eastAsia="zh-CN"/>
        </w:rPr>
        <w:t>拟建排土场、拟建</w:t>
      </w:r>
      <w:r>
        <w:rPr>
          <w:rFonts w:hint="eastAsia" w:ascii="宋体" w:hAnsi="宋体" w:cs="宋体"/>
          <w:snapToGrid w:val="0"/>
          <w:kern w:val="0"/>
          <w:sz w:val="28"/>
          <w:szCs w:val="28"/>
        </w:rPr>
        <w:t>生活区</w:t>
      </w:r>
      <w:r>
        <w:rPr>
          <w:rFonts w:hint="eastAsia" w:ascii="宋体" w:hAnsi="宋体" w:cs="宋体"/>
          <w:snapToGrid w:val="0"/>
          <w:kern w:val="0"/>
          <w:sz w:val="28"/>
          <w:szCs w:val="28"/>
          <w:lang w:val="en-US" w:eastAsia="zh-CN"/>
        </w:rPr>
        <w:t>和拟建矿山道路</w:t>
      </w:r>
      <w:r>
        <w:rPr>
          <w:rFonts w:hint="eastAsia"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（3）矿山地质环境保护与治理恢复一般防治区（Ⅲ）</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矿山地质环境保护与治理恢复一般区（Ⅲ）面积</w:t>
      </w:r>
      <w:r>
        <w:rPr>
          <w:rFonts w:hint="eastAsia" w:ascii="宋体" w:hAnsi="宋体" w:cs="宋体"/>
          <w:sz w:val="28"/>
          <w:szCs w:val="28"/>
          <w:lang w:val="en-US" w:eastAsia="zh-CN"/>
        </w:rPr>
        <w:t>****</w:t>
      </w:r>
      <w:r>
        <w:rPr>
          <w:rFonts w:hint="eastAsia" w:ascii="宋体" w:hAnsi="宋体" w:cs="宋体"/>
          <w:snapToGrid w:val="0"/>
          <w:kern w:val="0"/>
          <w:sz w:val="28"/>
          <w:szCs w:val="28"/>
        </w:rPr>
        <w:t>公顷，为除重点、次重点防治区外评估区内其他未破坏地区。</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2、地质环境治理工程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1）矿山地质灾害防治及监测：崩塌灾害预防措施：为防止规划露天采矿场崩塌隐患点造成人员伤亡及财产损失，计划在场地各个入口处设置警示牌，告知入矿须知。警示牌写明“露天采矿区域，非工作人员禁止入内”在预测崩塌地段设置警示牌，提醒施工人员过往安全，警示牌写明“崩塌地段，注意安全”等。 在规划露天采矿场外围约5米设置铁丝围栏进行危险预警；铁丝围栏采用混凝土柱拉设5道刺丝，混凝土柱规格：0.12×0.12×2.0米，混凝土柱间距3米，地下埋深0.4米；铁丝围栏起到拦挡作用，防治非矿山工作人员、周边牛羊误入矿区崩塌地段。</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对于采坑边坡预测崩塌地段，可进行清理坡面浮石降低坡度等措施，用降低坡高或放缓坡角来改善边坡的稳定性。</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主要监测采坑边坡地段岩体完整性和裂隙发育、扩大程度等，观测记录定期上报，若发生崩塌地质灾害隐患应及时疏散周边受威胁人员和设备，清理危岩体，并对发生崩塌区域进行专项勘查，由矿山自行监测。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（2）含水层破坏的预防、修复及监测：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开采过程中严格按照开采设计规范合法开采，禁止超深超规模开采，避免采矿破坏含水层结构；矿山开采过程中严格按有关要求控制开采强度，最大程度减轻对周围岩体的扰动破坏，减轻开采震动对含水层透水性的影响，从而减轻地下水渗漏。</w:t>
      </w:r>
    </w:p>
    <w:p>
      <w:pPr>
        <w:widowControl/>
        <w:numPr>
          <w:ilvl w:val="0"/>
          <w:numId w:val="5"/>
        </w:numPr>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地形地貌景观破坏的预防、修复及监测：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①地形地貌景观破坏的预防</w:t>
      </w:r>
    </w:p>
    <w:p>
      <w:pPr>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优化开采方案，尽量避免或减少破坏原始地形地貌景观；边开采边治理，对不再使用的地面工程等设施及时清理，恢复自然地形地貌景观。</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②地形地貌景观破坏的治理</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闭坑后，露天采矿场进行回填，同时消除地质灾害隐患，回填后与周围地形地貌相协调；</w:t>
      </w:r>
      <w:r>
        <w:rPr>
          <w:rFonts w:hint="eastAsia" w:ascii="宋体" w:hAnsi="宋体" w:cs="宋体"/>
          <w:snapToGrid w:val="0"/>
          <w:kern w:val="0"/>
          <w:sz w:val="28"/>
          <w:szCs w:val="28"/>
          <w:lang w:val="en-US" w:eastAsia="zh-CN"/>
        </w:rPr>
        <w:t>拟建排土场</w:t>
      </w:r>
      <w:r>
        <w:rPr>
          <w:rFonts w:hint="eastAsia" w:ascii="宋体" w:hAnsi="宋体" w:cs="宋体"/>
          <w:snapToGrid w:val="0"/>
          <w:kern w:val="0"/>
          <w:sz w:val="28"/>
          <w:szCs w:val="28"/>
        </w:rPr>
        <w:t>废石全部回填采坑、恢复原生地形地貌；矿山道路对场地进行平整，平整后与周围地形地貌相协调。</w:t>
      </w:r>
    </w:p>
    <w:p>
      <w:pPr>
        <w:widowControl/>
        <w:numPr>
          <w:ilvl w:val="0"/>
          <w:numId w:val="5"/>
        </w:numPr>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bookmarkStart w:id="303" w:name="_Toc76982307"/>
      <w:bookmarkStart w:id="304" w:name="_Toc4933"/>
      <w:bookmarkStart w:id="305" w:name="_Toc76982487"/>
      <w:bookmarkStart w:id="306" w:name="_Toc76981923"/>
      <w:r>
        <w:rPr>
          <w:rFonts w:ascii="宋体" w:hAnsi="宋体" w:cs="宋体"/>
          <w:snapToGrid w:val="0"/>
          <w:kern w:val="0"/>
          <w:sz w:val="28"/>
          <w:szCs w:val="28"/>
        </w:rPr>
        <w:t>水土环境污染</w:t>
      </w:r>
      <w:bookmarkEnd w:id="303"/>
      <w:bookmarkEnd w:id="304"/>
      <w:bookmarkEnd w:id="305"/>
      <w:bookmarkEnd w:id="306"/>
      <w:r>
        <w:rPr>
          <w:rFonts w:hint="eastAsia" w:ascii="宋体" w:hAnsi="宋体" w:cs="宋体"/>
          <w:snapToGrid w:val="0"/>
          <w:kern w:val="0"/>
          <w:sz w:val="28"/>
          <w:szCs w:val="28"/>
        </w:rPr>
        <w:t>的预防、修复及监测：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①水土环境污染的预防</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洒水降尘，减少在风力、装卸扰动作用下产生的二次扬尘污染，保护矿区周边生态环境，和矿山工作人员的身体健康。</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②水土环境污染的修复</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矿山生产工艺简单，各生产环节不会对水土环境造成污染，根据现场调查取样未发现水土污染情况，根据本方案水土环境影响程度现状分析与预测评估结果，废石中不含有毒有害物质，矿山对水土环境影响程度现状较轻，预测污染较轻。因此本方案主要考虑预防和保护措施，不单独安排修复工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（5）大气环境的预防、修复及监测：矿山开采对大气污染程度较轻，考虑矿山采矿结束后自然恢复，因此不进行大气污染修复工程设计。</w:t>
      </w:r>
    </w:p>
    <w:p>
      <w:pPr>
        <w:widowControl/>
        <w:kinsoku w:val="0"/>
        <w:autoSpaceDE w:val="0"/>
        <w:autoSpaceDN w:val="0"/>
        <w:adjustRightInd w:val="0"/>
        <w:snapToGrid w:val="0"/>
        <w:spacing w:line="560" w:lineRule="exact"/>
        <w:ind w:firstLine="560" w:firstLineChars="200"/>
        <w:textAlignment w:val="baseline"/>
        <w:rPr>
          <w:rFonts w:hint="eastAsia" w:ascii="宋体" w:hAnsi="宋体" w:cs="宋体"/>
          <w:sz w:val="28"/>
          <w:szCs w:val="28"/>
        </w:rPr>
      </w:pPr>
      <w:r>
        <w:rPr>
          <w:rFonts w:hint="eastAsia" w:ascii="宋体" w:hAnsi="宋体" w:cs="宋体"/>
          <w:snapToGrid w:val="0"/>
          <w:kern w:val="0"/>
          <w:sz w:val="28"/>
          <w:szCs w:val="28"/>
        </w:rPr>
        <w:t>矿山定期对规划露天采矿场、</w:t>
      </w:r>
      <w:r>
        <w:rPr>
          <w:rFonts w:hint="eastAsia" w:ascii="宋体" w:hAnsi="宋体" w:cs="宋体"/>
          <w:snapToGrid w:val="0"/>
          <w:kern w:val="0"/>
          <w:sz w:val="28"/>
          <w:szCs w:val="28"/>
          <w:lang w:val="en-US" w:eastAsia="zh-CN"/>
        </w:rPr>
        <w:t>拟建排土场</w:t>
      </w:r>
      <w:r>
        <w:rPr>
          <w:rFonts w:hint="eastAsia" w:ascii="宋体" w:hAnsi="宋体" w:cs="宋体"/>
          <w:snapToGrid w:val="0"/>
          <w:kern w:val="0"/>
          <w:sz w:val="28"/>
          <w:szCs w:val="28"/>
        </w:rPr>
        <w:t>和</w:t>
      </w:r>
      <w:r>
        <w:rPr>
          <w:rFonts w:hint="eastAsia" w:ascii="宋体" w:hAnsi="宋体" w:cs="宋体"/>
          <w:snapToGrid w:val="0"/>
          <w:kern w:val="0"/>
          <w:sz w:val="28"/>
          <w:szCs w:val="28"/>
          <w:lang w:val="en-US" w:eastAsia="zh-CN"/>
        </w:rPr>
        <w:t>拟建</w:t>
      </w:r>
      <w:r>
        <w:rPr>
          <w:rFonts w:hint="eastAsia" w:ascii="宋体" w:hAnsi="宋体" w:cs="宋体"/>
          <w:snapToGrid w:val="0"/>
          <w:kern w:val="0"/>
          <w:sz w:val="28"/>
          <w:szCs w:val="28"/>
        </w:rPr>
        <w:t>矿山道路采取洒水降尘措施，以减轻扬尘对大气的污染。严格落实环评报告提出的各项大气污染防护措施，加大环保力度，减轻大气污染，维持空气现状水平</w:t>
      </w:r>
      <w:r>
        <w:rPr>
          <w:rFonts w:ascii="宋体" w:hAnsi="宋体" w:cs="宋体"/>
          <w:snapToGrid w:val="0"/>
          <w:kern w:val="0"/>
          <w:sz w:val="28"/>
          <w:szCs w:val="28"/>
        </w:rPr>
        <w:t>。</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 xml:space="preserve">八、矿区土地复垦 </w:t>
      </w:r>
    </w:p>
    <w:p>
      <w:pPr>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1、矿区土地利用现状</w:t>
      </w:r>
    </w:p>
    <w:p>
      <w:pPr>
        <w:keepNext w:val="0"/>
        <w:keepLines w:val="0"/>
        <w:pageBreakBefore w:val="0"/>
        <w:widowControl/>
        <w:kinsoku/>
        <w:wordWrap/>
        <w:overflowPunct w:val="0"/>
        <w:topLinePunct w:val="0"/>
        <w:autoSpaceDE w:val="0"/>
        <w:autoSpaceDN w:val="0"/>
        <w:bidi w:val="0"/>
        <w:adjustRightInd w:val="0"/>
        <w:snapToGrid w:val="0"/>
        <w:spacing w:line="560" w:lineRule="exact"/>
        <w:ind w:firstLine="560" w:firstLineChars="200"/>
        <w:textAlignment w:val="baseline"/>
        <w:rPr>
          <w:rFonts w:ascii="宋体" w:hAnsi="宋体" w:cs="宋体"/>
          <w:snapToGrid w:val="0"/>
          <w:color w:val="0000FF"/>
          <w:kern w:val="0"/>
          <w:sz w:val="28"/>
          <w:szCs w:val="28"/>
        </w:rPr>
      </w:pPr>
      <w:r>
        <w:rPr>
          <w:rFonts w:hint="eastAsia" w:ascii="宋体" w:hAnsi="宋体" w:cs="宋体"/>
          <w:snapToGrid w:val="0"/>
          <w:kern w:val="0"/>
          <w:sz w:val="28"/>
          <w:szCs w:val="28"/>
        </w:rPr>
        <w:t>依据</w:t>
      </w:r>
      <w:r>
        <w:rPr>
          <w:rFonts w:hint="eastAsia" w:ascii="宋体" w:hAnsi="宋体" w:cs="宋体"/>
          <w:snapToGrid w:val="0"/>
          <w:kern w:val="0"/>
          <w:sz w:val="28"/>
          <w:szCs w:val="28"/>
          <w:lang w:val="en-US" w:eastAsia="zh-CN"/>
        </w:rPr>
        <w:t>伽师县</w:t>
      </w:r>
      <w:r>
        <w:rPr>
          <w:rFonts w:hint="eastAsia" w:ascii="宋体" w:hAnsi="宋体" w:cs="宋体"/>
          <w:snapToGrid w:val="0"/>
          <w:kern w:val="0"/>
          <w:sz w:val="28"/>
          <w:szCs w:val="28"/>
        </w:rPr>
        <w:t>自然资源局出具的土地权属和规划证明函，结合《国土空间调查、规划、用途管制用地用海分类指南（试行）》自然资办发〔2020〕51号；矿区布局所占用土地权属为国有土地，总面积</w:t>
      </w:r>
      <w:r>
        <w:rPr>
          <w:rFonts w:hint="eastAsia" w:ascii="宋体" w:hAnsi="宋体" w:cs="宋体"/>
          <w:sz w:val="28"/>
          <w:szCs w:val="28"/>
          <w:lang w:val="en-US" w:eastAsia="zh-CN"/>
        </w:rPr>
        <w:t>****</w:t>
      </w:r>
      <w:r>
        <w:rPr>
          <w:rFonts w:hint="eastAsia" w:ascii="宋体" w:hAnsi="宋体" w:cs="宋体"/>
          <w:snapToGrid w:val="0"/>
          <w:kern w:val="0"/>
          <w:sz w:val="28"/>
          <w:szCs w:val="28"/>
        </w:rPr>
        <w:t>公顷，矿区范围全区土地类型为</w:t>
      </w:r>
      <w:r>
        <w:rPr>
          <w:rFonts w:ascii="宋体" w:hAnsi="宋体" w:cs="宋体"/>
          <w:snapToGrid w:val="0"/>
          <w:kern w:val="0"/>
          <w:sz w:val="28"/>
          <w:szCs w:val="28"/>
          <w:lang w:val="zh-CN"/>
        </w:rPr>
        <w:t>其他土地（12）</w:t>
      </w:r>
      <w:r>
        <w:rPr>
          <w:rFonts w:hint="eastAsia" w:ascii="宋体" w:hAnsi="宋体" w:cs="宋体"/>
          <w:snapToGrid w:val="0"/>
          <w:kern w:val="0"/>
          <w:sz w:val="28"/>
          <w:szCs w:val="28"/>
        </w:rPr>
        <w:t>中</w:t>
      </w:r>
      <w:r>
        <w:rPr>
          <w:rFonts w:ascii="宋体" w:hAnsi="宋体" w:cs="宋体"/>
          <w:snapToGrid w:val="0"/>
          <w:kern w:val="0"/>
          <w:sz w:val="28"/>
          <w:szCs w:val="28"/>
          <w:lang w:val="zh-CN"/>
        </w:rPr>
        <w:t>的裸</w:t>
      </w:r>
      <w:r>
        <w:rPr>
          <w:rFonts w:hint="eastAsia" w:ascii="宋体" w:hAnsi="宋体" w:cs="宋体"/>
          <w:snapToGrid w:val="0"/>
          <w:kern w:val="0"/>
          <w:sz w:val="28"/>
          <w:szCs w:val="28"/>
          <w:lang w:val="en-US" w:eastAsia="zh-CN"/>
        </w:rPr>
        <w:t>土</w:t>
      </w:r>
      <w:r>
        <w:rPr>
          <w:rFonts w:ascii="宋体" w:hAnsi="宋体" w:cs="宋体"/>
          <w:snapToGrid w:val="0"/>
          <w:kern w:val="0"/>
          <w:sz w:val="28"/>
          <w:szCs w:val="28"/>
          <w:lang w:val="zh-CN"/>
        </w:rPr>
        <w:t>地（120</w:t>
      </w:r>
      <w:r>
        <w:rPr>
          <w:rFonts w:hint="eastAsia" w:ascii="宋体" w:hAnsi="宋体" w:cs="宋体"/>
          <w:snapToGrid w:val="0"/>
          <w:kern w:val="0"/>
          <w:sz w:val="28"/>
          <w:szCs w:val="28"/>
          <w:lang w:val="en-US" w:eastAsia="zh-CN"/>
        </w:rPr>
        <w:t>6</w:t>
      </w:r>
      <w:r>
        <w:rPr>
          <w:rFonts w:ascii="宋体" w:hAnsi="宋体" w:cs="宋体"/>
          <w:snapToGrid w:val="0"/>
          <w:kern w:val="0"/>
          <w:sz w:val="28"/>
          <w:szCs w:val="28"/>
          <w:lang w:val="zh-CN"/>
        </w:rPr>
        <w:t>）</w:t>
      </w:r>
      <w:r>
        <w:rPr>
          <w:rFonts w:hint="eastAsia"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2、</w:t>
      </w:r>
      <w:r>
        <w:rPr>
          <w:rFonts w:ascii="宋体" w:hAnsi="宋体" w:cs="宋体"/>
          <w:snapToGrid w:val="0"/>
          <w:kern w:val="0"/>
          <w:sz w:val="28"/>
          <w:szCs w:val="28"/>
        </w:rPr>
        <w:t>土地复垦区与复垦责任范围</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根据土地损毁分析与预测结果，依照土地复垦方案编制规程对复垦区的定义，对于本项目来说，复垦区为矿山损毁土地，包括规划露天采矿场、</w:t>
      </w:r>
      <w:r>
        <w:rPr>
          <w:rFonts w:hint="eastAsia" w:ascii="宋体" w:hAnsi="宋体" w:cs="宋体"/>
          <w:snapToGrid w:val="0"/>
          <w:kern w:val="0"/>
          <w:sz w:val="28"/>
          <w:szCs w:val="28"/>
          <w:lang w:val="en-US" w:eastAsia="zh-CN"/>
        </w:rPr>
        <w:t>拟建排土场、拟建</w:t>
      </w:r>
      <w:r>
        <w:rPr>
          <w:rFonts w:hint="eastAsia" w:ascii="宋体" w:hAnsi="宋体" w:cs="宋体"/>
          <w:snapToGrid w:val="0"/>
          <w:kern w:val="0"/>
          <w:sz w:val="28"/>
          <w:szCs w:val="28"/>
        </w:rPr>
        <w:t>生活区</w:t>
      </w:r>
      <w:r>
        <w:rPr>
          <w:rFonts w:hint="eastAsia" w:ascii="宋体" w:hAnsi="宋体" w:cs="宋体"/>
          <w:snapToGrid w:val="0"/>
          <w:kern w:val="0"/>
          <w:sz w:val="28"/>
          <w:szCs w:val="28"/>
          <w:lang w:val="en-US" w:eastAsia="zh-CN"/>
        </w:rPr>
        <w:t>和拟建矿山道路</w:t>
      </w:r>
      <w:r>
        <w:rPr>
          <w:rFonts w:hint="eastAsia" w:ascii="宋体" w:hAnsi="宋体" w:cs="宋体"/>
          <w:snapToGrid w:val="0"/>
          <w:kern w:val="0"/>
          <w:sz w:val="28"/>
          <w:szCs w:val="28"/>
        </w:rPr>
        <w:t>。确定本方案复垦区=矿山拟损毁土地=</w:t>
      </w:r>
      <w:r>
        <w:rPr>
          <w:rFonts w:hint="eastAsia" w:ascii="宋体" w:hAnsi="宋体" w:cs="宋体"/>
          <w:sz w:val="28"/>
          <w:szCs w:val="28"/>
          <w:lang w:val="en-US" w:eastAsia="zh-CN"/>
        </w:rPr>
        <w:t>****</w:t>
      </w:r>
      <w:r>
        <w:rPr>
          <w:rFonts w:hint="eastAsia" w:ascii="宋体" w:hAnsi="宋体" w:cs="宋体"/>
          <w:snapToGrid w:val="0"/>
          <w:kern w:val="0"/>
          <w:sz w:val="28"/>
          <w:szCs w:val="28"/>
        </w:rPr>
        <w:t>公顷。</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复垦责任范围：根据前述土地损毁分析与预测结果，结合项目区实际情况，依照《土地复垦方案编制规程，第一部分：通则》，复垦区指“生产建设项目损毁土地和永久性建设用地构成的区域”，土地复垦责任范围是指“复垦区中损毁土地及不再留续使用的永久性建设用地共同构成的区域”。矿山闭坑后所有场地均不再留续使用，基本恢复原有土地类型功能。矿山原有土地类型为</w:t>
      </w:r>
      <w:r>
        <w:rPr>
          <w:rFonts w:ascii="宋体" w:hAnsi="宋体" w:cs="宋体"/>
          <w:snapToGrid w:val="0"/>
          <w:kern w:val="0"/>
          <w:sz w:val="28"/>
          <w:szCs w:val="28"/>
        </w:rPr>
        <w:t>裸</w:t>
      </w:r>
      <w:r>
        <w:rPr>
          <w:rFonts w:hint="eastAsia" w:ascii="宋体" w:hAnsi="宋体" w:cs="宋体"/>
          <w:snapToGrid w:val="0"/>
          <w:kern w:val="0"/>
          <w:sz w:val="28"/>
          <w:szCs w:val="28"/>
          <w:lang w:val="en-US" w:eastAsia="zh-CN"/>
        </w:rPr>
        <w:t>土</w:t>
      </w:r>
      <w:r>
        <w:rPr>
          <w:rFonts w:ascii="宋体" w:hAnsi="宋体" w:cs="宋体"/>
          <w:snapToGrid w:val="0"/>
          <w:kern w:val="0"/>
          <w:sz w:val="28"/>
          <w:szCs w:val="28"/>
        </w:rPr>
        <w:t>地</w:t>
      </w:r>
      <w:r>
        <w:rPr>
          <w:rFonts w:hint="eastAsia" w:ascii="宋体" w:hAnsi="宋体" w:cs="宋体"/>
          <w:snapToGrid w:val="0"/>
          <w:kern w:val="0"/>
          <w:sz w:val="28"/>
          <w:szCs w:val="28"/>
        </w:rPr>
        <w:t>。复垦责任范围</w:t>
      </w:r>
      <w:r>
        <w:rPr>
          <w:rFonts w:hint="eastAsia" w:ascii="宋体" w:hAnsi="宋体" w:cs="宋体"/>
          <w:sz w:val="28"/>
          <w:szCs w:val="28"/>
          <w:lang w:val="en-US" w:eastAsia="zh-CN"/>
        </w:rPr>
        <w:t>****</w:t>
      </w:r>
      <w:r>
        <w:rPr>
          <w:rFonts w:hint="eastAsia" w:ascii="宋体" w:hAnsi="宋体" w:cs="宋体"/>
          <w:snapToGrid w:val="0"/>
          <w:kern w:val="0"/>
          <w:sz w:val="28"/>
          <w:szCs w:val="28"/>
        </w:rPr>
        <w:t>公顷，土地复垦率100%。</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ascii="宋体" w:hAnsi="宋体" w:cs="宋体"/>
          <w:snapToGrid w:val="0"/>
          <w:kern w:val="0"/>
          <w:sz w:val="28"/>
          <w:szCs w:val="28"/>
        </w:rPr>
        <w:t>3</w:t>
      </w:r>
      <w:r>
        <w:rPr>
          <w:rFonts w:hint="eastAsia" w:ascii="宋体" w:hAnsi="宋体" w:cs="宋体"/>
          <w:snapToGrid w:val="0"/>
          <w:kern w:val="0"/>
          <w:sz w:val="28"/>
          <w:szCs w:val="28"/>
        </w:rPr>
        <w:t>、矿区土地适宜性评价</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本方案复垦适宜性评价范围为复垦责任区，合计面积</w:t>
      </w:r>
      <w:r>
        <w:rPr>
          <w:rFonts w:hint="eastAsia" w:ascii="宋体" w:hAnsi="宋体" w:cs="宋体"/>
          <w:sz w:val="28"/>
          <w:szCs w:val="28"/>
          <w:lang w:val="en-US" w:eastAsia="zh-CN"/>
        </w:rPr>
        <w:t>****</w:t>
      </w:r>
      <w:r>
        <w:rPr>
          <w:rFonts w:hint="eastAsia" w:ascii="宋体" w:hAnsi="宋体" w:cs="宋体"/>
          <w:snapToGrid w:val="0"/>
          <w:kern w:val="0"/>
          <w:sz w:val="28"/>
          <w:szCs w:val="28"/>
        </w:rPr>
        <w:t>公顷，包括规划露天采矿场、</w:t>
      </w:r>
      <w:r>
        <w:rPr>
          <w:rFonts w:hint="eastAsia" w:ascii="宋体" w:hAnsi="宋体" w:cs="宋体"/>
          <w:snapToGrid w:val="0"/>
          <w:kern w:val="0"/>
          <w:sz w:val="28"/>
          <w:szCs w:val="28"/>
          <w:lang w:val="en-US" w:eastAsia="zh-CN"/>
        </w:rPr>
        <w:t>拟建排土场、拟建</w:t>
      </w:r>
      <w:r>
        <w:rPr>
          <w:rFonts w:hint="eastAsia" w:ascii="宋体" w:hAnsi="宋体" w:cs="宋体"/>
          <w:snapToGrid w:val="0"/>
          <w:kern w:val="0"/>
          <w:sz w:val="28"/>
          <w:szCs w:val="28"/>
        </w:rPr>
        <w:t>生活区</w:t>
      </w:r>
      <w:r>
        <w:rPr>
          <w:rFonts w:hint="eastAsia" w:ascii="宋体" w:hAnsi="宋体" w:cs="宋体"/>
          <w:snapToGrid w:val="0"/>
          <w:kern w:val="0"/>
          <w:sz w:val="28"/>
          <w:szCs w:val="28"/>
          <w:lang w:val="en-US" w:eastAsia="zh-CN"/>
        </w:rPr>
        <w:t>和拟建矿山道路</w:t>
      </w:r>
      <w:r>
        <w:rPr>
          <w:rFonts w:hint="eastAsia" w:ascii="宋体" w:hAnsi="宋体" w:cs="宋体"/>
          <w:snapToGrid w:val="0"/>
          <w:kern w:val="0"/>
          <w:sz w:val="28"/>
          <w:szCs w:val="28"/>
        </w:rPr>
        <w:t>，确定损毁土地的复垦方向以恢复原功能为主，即复垦为</w:t>
      </w:r>
      <w:r>
        <w:rPr>
          <w:rFonts w:ascii="宋体" w:hAnsi="宋体" w:cs="宋体"/>
          <w:snapToGrid w:val="0"/>
          <w:kern w:val="0"/>
          <w:sz w:val="28"/>
          <w:szCs w:val="28"/>
        </w:rPr>
        <w:t>裸</w:t>
      </w:r>
      <w:r>
        <w:rPr>
          <w:rFonts w:hint="eastAsia" w:ascii="宋体" w:hAnsi="宋体" w:cs="宋体"/>
          <w:snapToGrid w:val="0"/>
          <w:kern w:val="0"/>
          <w:sz w:val="28"/>
          <w:szCs w:val="28"/>
          <w:lang w:val="en-US" w:eastAsia="zh-CN"/>
        </w:rPr>
        <w:t>土</w:t>
      </w:r>
      <w:r>
        <w:rPr>
          <w:rFonts w:ascii="宋体" w:hAnsi="宋体" w:cs="宋体"/>
          <w:snapToGrid w:val="0"/>
          <w:kern w:val="0"/>
          <w:sz w:val="28"/>
          <w:szCs w:val="28"/>
        </w:rPr>
        <w:t>地</w:t>
      </w:r>
      <w:r>
        <w:rPr>
          <w:rFonts w:hint="eastAsia"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ascii="宋体" w:hAnsi="宋体" w:cs="宋体"/>
          <w:snapToGrid w:val="0"/>
          <w:kern w:val="0"/>
          <w:sz w:val="28"/>
          <w:szCs w:val="28"/>
        </w:rPr>
        <w:t>4</w:t>
      </w:r>
      <w:r>
        <w:rPr>
          <w:rFonts w:hint="eastAsia" w:ascii="宋体" w:hAnsi="宋体" w:cs="宋体"/>
          <w:snapToGrid w:val="0"/>
          <w:kern w:val="0"/>
          <w:sz w:val="28"/>
          <w:szCs w:val="28"/>
        </w:rPr>
        <w:t>、矿区水土资源平衡分析</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（1）表土水土资源平衡分析</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项目区土地类型为</w:t>
      </w:r>
      <w:r>
        <w:rPr>
          <w:rFonts w:hint="eastAsia" w:ascii="宋体" w:hAnsi="宋体" w:cs="宋体"/>
          <w:snapToGrid w:val="0"/>
          <w:kern w:val="0"/>
          <w:sz w:val="28"/>
          <w:szCs w:val="28"/>
          <w:lang w:val="en-US" w:eastAsia="zh-CN"/>
        </w:rPr>
        <w:t>裸土地</w:t>
      </w:r>
      <w:r>
        <w:rPr>
          <w:rFonts w:hint="eastAsia" w:ascii="宋体" w:hAnsi="宋体" w:cs="宋体"/>
          <w:snapToGrid w:val="0"/>
          <w:kern w:val="0"/>
          <w:sz w:val="28"/>
          <w:szCs w:val="28"/>
        </w:rPr>
        <w:t>，无有效表土层，不进行表土剥离，复垦不需要拉运表土，故未进行表土资源平衡分析。</w:t>
      </w:r>
    </w:p>
    <w:p>
      <w:pPr>
        <w:widowControl/>
        <w:kinsoku w:val="0"/>
        <w:autoSpaceDE w:val="0"/>
        <w:autoSpaceDN w:val="0"/>
        <w:adjustRightInd w:val="0"/>
        <w:snapToGrid w:val="0"/>
        <w:spacing w:line="560" w:lineRule="exact"/>
        <w:ind w:firstLine="560" w:firstLineChars="200"/>
        <w:textAlignment w:val="baseline"/>
        <w:rPr>
          <w:rFonts w:hint="eastAsia" w:ascii="宋体" w:hAnsi="宋体" w:cs="宋体"/>
          <w:sz w:val="28"/>
          <w:szCs w:val="28"/>
        </w:rPr>
      </w:pPr>
      <w:r>
        <w:rPr>
          <w:rFonts w:hint="eastAsia" w:ascii="宋体" w:hAnsi="宋体" w:cs="宋体"/>
          <w:sz w:val="28"/>
          <w:szCs w:val="28"/>
        </w:rPr>
        <w:t>（2）土石方资源平衡分析</w:t>
      </w:r>
    </w:p>
    <w:p>
      <w:pPr>
        <w:widowControl/>
        <w:kinsoku w:val="0"/>
        <w:autoSpaceDE w:val="0"/>
        <w:autoSpaceDN w:val="0"/>
        <w:adjustRightInd w:val="0"/>
        <w:snapToGrid w:val="0"/>
        <w:spacing w:line="560" w:lineRule="exact"/>
        <w:ind w:firstLine="560" w:firstLineChars="200"/>
        <w:textAlignment w:val="baseline"/>
        <w:rPr>
          <w:rFonts w:ascii="宋体" w:hAnsi="宋体" w:cs="宋体"/>
          <w:sz w:val="28"/>
          <w:szCs w:val="28"/>
        </w:rPr>
      </w:pPr>
      <w:r>
        <w:rPr>
          <w:rFonts w:hint="eastAsia" w:ascii="宋体" w:hAnsi="宋体" w:cs="宋体"/>
          <w:sz w:val="28"/>
          <w:szCs w:val="28"/>
          <w:lang w:val="zh-CN"/>
        </w:rPr>
        <w:t>矿山生产过程中的废石来源于采矿过程中产生的剥离物。根据</w:t>
      </w:r>
      <w:r>
        <w:rPr>
          <w:rFonts w:hint="eastAsia" w:ascii="宋体" w:hAnsi="宋体" w:cs="宋体"/>
          <w:sz w:val="28"/>
          <w:szCs w:val="28"/>
          <w:lang w:val="en-US" w:eastAsia="zh-CN"/>
        </w:rPr>
        <w:t>计算圈定境界内共产生</w:t>
      </w:r>
      <w:r>
        <w:rPr>
          <w:rFonts w:hint="eastAsia" w:ascii="宋体" w:hAnsi="宋体" w:cs="宋体"/>
          <w:sz w:val="28"/>
          <w:szCs w:val="28"/>
          <w:lang w:val="zh-CN"/>
        </w:rPr>
        <w:t>废石量为</w:t>
      </w:r>
      <w:r>
        <w:rPr>
          <w:rFonts w:hint="eastAsia" w:ascii="宋体" w:hAnsi="宋体" w:cs="宋体"/>
          <w:sz w:val="28"/>
          <w:szCs w:val="28"/>
          <w:lang w:val="en-US" w:eastAsia="zh-CN"/>
        </w:rPr>
        <w:t>****万m³</w:t>
      </w:r>
      <w:r>
        <w:rPr>
          <w:rFonts w:ascii="宋体" w:hAnsi="宋体" w:cs="宋体"/>
          <w:sz w:val="28"/>
          <w:szCs w:val="28"/>
        </w:rPr>
        <w:t>。矿山采用</w:t>
      </w:r>
      <w:r>
        <w:rPr>
          <w:rFonts w:hint="eastAsia" w:ascii="宋体" w:hAnsi="宋体" w:cs="宋体"/>
          <w:sz w:val="28"/>
          <w:szCs w:val="28"/>
        </w:rPr>
        <w:t>“</w:t>
      </w:r>
      <w:r>
        <w:rPr>
          <w:rFonts w:ascii="宋体" w:hAnsi="宋体" w:cs="宋体"/>
          <w:sz w:val="28"/>
          <w:szCs w:val="28"/>
        </w:rPr>
        <w:t>一边开采，一边回填</w:t>
      </w:r>
      <w:r>
        <w:rPr>
          <w:rFonts w:hint="eastAsia" w:ascii="宋体" w:hAnsi="宋体" w:cs="宋体"/>
          <w:sz w:val="28"/>
          <w:szCs w:val="28"/>
        </w:rPr>
        <w:t>”</w:t>
      </w:r>
      <w:r>
        <w:rPr>
          <w:rFonts w:ascii="宋体" w:hAnsi="宋体" w:cs="宋体"/>
          <w:sz w:val="28"/>
          <w:szCs w:val="28"/>
        </w:rPr>
        <w:t>的方式，</w:t>
      </w:r>
      <w:r>
        <w:rPr>
          <w:rFonts w:hint="eastAsia" w:ascii="宋体" w:hAnsi="宋体" w:cs="宋体"/>
          <w:sz w:val="28"/>
          <w:szCs w:val="28"/>
        </w:rPr>
        <w:t>矿山开采结束后将废石全部用于回填露天采场。</w:t>
      </w:r>
    </w:p>
    <w:p>
      <w:pPr>
        <w:widowControl/>
        <w:kinsoku w:val="0"/>
        <w:autoSpaceDE w:val="0"/>
        <w:autoSpaceDN w:val="0"/>
        <w:adjustRightInd w:val="0"/>
        <w:snapToGrid w:val="0"/>
        <w:spacing w:line="560" w:lineRule="exact"/>
        <w:ind w:firstLine="560" w:firstLineChars="200"/>
        <w:textAlignment w:val="baseline"/>
        <w:rPr>
          <w:rFonts w:hint="eastAsia" w:ascii="宋体" w:hAnsi="宋体" w:cs="宋体"/>
          <w:sz w:val="28"/>
          <w:szCs w:val="28"/>
        </w:rPr>
      </w:pPr>
      <w:r>
        <w:rPr>
          <w:rFonts w:hint="eastAsia" w:ascii="宋体" w:hAnsi="宋体" w:cs="宋体"/>
          <w:sz w:val="28"/>
          <w:szCs w:val="28"/>
        </w:rPr>
        <w:t>露天采场</w:t>
      </w:r>
      <w:r>
        <w:rPr>
          <w:rFonts w:ascii="宋体" w:hAnsi="宋体" w:cs="宋体"/>
          <w:sz w:val="28"/>
          <w:szCs w:val="28"/>
        </w:rPr>
        <w:t>凹陷部分体积明显大于废石总量，部分废石回填采矿场凹陷部位，回填后形成采场底部坡度在2°～5°的一个斜坡面，边部则形成一个坡度不大于</w:t>
      </w:r>
      <w:r>
        <w:rPr>
          <w:rFonts w:hint="eastAsia" w:ascii="宋体" w:hAnsi="宋体" w:cs="宋体"/>
          <w:sz w:val="28"/>
          <w:szCs w:val="28"/>
        </w:rPr>
        <w:t>45</w:t>
      </w:r>
      <w:r>
        <w:rPr>
          <w:rFonts w:ascii="宋体" w:hAnsi="宋体" w:cs="宋体"/>
          <w:sz w:val="28"/>
          <w:szCs w:val="28"/>
        </w:rPr>
        <w:t>°的斜坡面。</w:t>
      </w:r>
      <w:r>
        <w:rPr>
          <w:rFonts w:hint="eastAsia" w:ascii="宋体" w:hAnsi="宋体" w:cs="宋体"/>
          <w:sz w:val="28"/>
          <w:szCs w:val="28"/>
        </w:rPr>
        <w:t>基本满足挖填土石方平衡。</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ascii="宋体" w:hAnsi="宋体" w:cs="宋体"/>
          <w:snapToGrid w:val="0"/>
          <w:kern w:val="0"/>
          <w:sz w:val="28"/>
          <w:szCs w:val="28"/>
        </w:rPr>
        <w:t>5</w:t>
      </w:r>
      <w:r>
        <w:rPr>
          <w:rFonts w:hint="eastAsia" w:ascii="宋体" w:hAnsi="宋体" w:cs="宋体"/>
          <w:snapToGrid w:val="0"/>
          <w:kern w:val="0"/>
          <w:sz w:val="28"/>
          <w:szCs w:val="28"/>
        </w:rPr>
        <w:t>、土地复垦工程措施</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bookmarkStart w:id="307" w:name="_Hlk92294388"/>
      <w:r>
        <w:rPr>
          <w:rFonts w:hint="eastAsia" w:ascii="宋体" w:hAnsi="宋体" w:cs="宋体"/>
          <w:snapToGrid w:val="0"/>
          <w:kern w:val="0"/>
          <w:sz w:val="28"/>
          <w:szCs w:val="28"/>
        </w:rPr>
        <w:t>本方案根据该项目用地类型、土地损毁类型和损毁程度以及损毁前的土地利用状况划分为</w:t>
      </w:r>
      <w:r>
        <w:rPr>
          <w:rFonts w:hint="eastAsia" w:ascii="宋体" w:hAnsi="宋体" w:cs="宋体"/>
          <w:snapToGrid w:val="0"/>
          <w:kern w:val="0"/>
          <w:sz w:val="28"/>
          <w:szCs w:val="28"/>
          <w:lang w:val="en-US" w:eastAsia="zh-CN"/>
        </w:rPr>
        <w:t>四</w:t>
      </w:r>
      <w:r>
        <w:rPr>
          <w:rFonts w:hint="eastAsia" w:ascii="宋体" w:hAnsi="宋体" w:cs="宋体"/>
          <w:snapToGrid w:val="0"/>
          <w:kern w:val="0"/>
          <w:sz w:val="28"/>
          <w:szCs w:val="28"/>
        </w:rPr>
        <w:t>个评价单元，即规划露天采矿场、</w:t>
      </w:r>
      <w:r>
        <w:rPr>
          <w:rFonts w:hint="eastAsia" w:ascii="宋体" w:hAnsi="宋体" w:cs="宋体"/>
          <w:snapToGrid w:val="0"/>
          <w:kern w:val="0"/>
          <w:sz w:val="28"/>
          <w:szCs w:val="28"/>
          <w:lang w:val="en-US" w:eastAsia="zh-CN"/>
        </w:rPr>
        <w:t>拟建排土场、拟建</w:t>
      </w:r>
      <w:r>
        <w:rPr>
          <w:rFonts w:hint="eastAsia" w:ascii="宋体" w:hAnsi="宋体" w:cs="宋体"/>
          <w:snapToGrid w:val="0"/>
          <w:kern w:val="0"/>
          <w:sz w:val="28"/>
          <w:szCs w:val="28"/>
        </w:rPr>
        <w:t>生活区</w:t>
      </w:r>
      <w:r>
        <w:rPr>
          <w:rFonts w:hint="eastAsia" w:ascii="宋体" w:hAnsi="宋体" w:cs="宋体"/>
          <w:snapToGrid w:val="0"/>
          <w:kern w:val="0"/>
          <w:sz w:val="28"/>
          <w:szCs w:val="28"/>
          <w:lang w:val="en-US" w:eastAsia="zh-CN"/>
        </w:rPr>
        <w:t>和拟建矿山道路</w:t>
      </w:r>
      <w:r>
        <w:rPr>
          <w:rFonts w:hint="eastAsia"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土地复垦措施主要包括</w:t>
      </w:r>
      <w:r>
        <w:rPr>
          <w:rFonts w:ascii="宋体" w:hAnsi="宋体" w:cs="宋体"/>
          <w:snapToGrid w:val="0"/>
          <w:kern w:val="0"/>
          <w:sz w:val="28"/>
          <w:szCs w:val="28"/>
        </w:rPr>
        <w:t>建筑物拆除</w:t>
      </w:r>
      <w:r>
        <w:rPr>
          <w:rFonts w:hint="eastAsia" w:ascii="宋体" w:hAnsi="宋体" w:cs="宋体"/>
          <w:snapToGrid w:val="0"/>
          <w:kern w:val="0"/>
          <w:sz w:val="28"/>
          <w:szCs w:val="28"/>
        </w:rPr>
        <w:t>、回填工程、土地平整，土地复垦工程矿山闭坑后完成。</w:t>
      </w:r>
      <w:bookmarkEnd w:id="307"/>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6、土地复垦监测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bookmarkStart w:id="308" w:name="_Hlk92295462"/>
      <w:r>
        <w:rPr>
          <w:rFonts w:hint="eastAsia" w:ascii="宋体" w:hAnsi="宋体" w:cs="宋体"/>
          <w:snapToGrid w:val="0"/>
          <w:kern w:val="0"/>
          <w:sz w:val="28"/>
          <w:szCs w:val="28"/>
        </w:rPr>
        <w:t>本方案土地复垦方向均为</w:t>
      </w:r>
      <w:r>
        <w:rPr>
          <w:rFonts w:ascii="宋体" w:hAnsi="宋体" w:cs="宋体"/>
          <w:snapToGrid w:val="0"/>
          <w:kern w:val="0"/>
          <w:sz w:val="28"/>
          <w:szCs w:val="28"/>
        </w:rPr>
        <w:t>裸</w:t>
      </w:r>
      <w:r>
        <w:rPr>
          <w:rFonts w:hint="eastAsia" w:ascii="宋体" w:hAnsi="宋体" w:cs="宋体"/>
          <w:snapToGrid w:val="0"/>
          <w:kern w:val="0"/>
          <w:sz w:val="28"/>
          <w:szCs w:val="28"/>
          <w:lang w:val="en-US" w:eastAsia="zh-CN"/>
        </w:rPr>
        <w:t>土</w:t>
      </w:r>
      <w:r>
        <w:rPr>
          <w:rFonts w:ascii="宋体" w:hAnsi="宋体" w:cs="宋体"/>
          <w:snapToGrid w:val="0"/>
          <w:kern w:val="0"/>
          <w:sz w:val="28"/>
          <w:szCs w:val="28"/>
        </w:rPr>
        <w:t>地</w:t>
      </w:r>
      <w:r>
        <w:rPr>
          <w:rFonts w:hint="eastAsia" w:ascii="宋体" w:hAnsi="宋体" w:cs="宋体"/>
          <w:snapToGrid w:val="0"/>
          <w:kern w:val="0"/>
          <w:sz w:val="28"/>
          <w:szCs w:val="28"/>
        </w:rPr>
        <w:t>，方案复垦监测主要内容为土地损毁、复垦效果两项监测。监测方法结合地质灾害监测及地形地貌景观监测，采取无人机航拍方式进行定位定量监测，对拟损毁土地面积进行统计，并结合人工核实，确定土地损毁程度</w:t>
      </w:r>
      <w:bookmarkEnd w:id="308"/>
      <w:r>
        <w:rPr>
          <w:rFonts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ascii="宋体" w:hAnsi="宋体" w:cs="宋体"/>
          <w:snapToGrid w:val="0"/>
          <w:kern w:val="0"/>
          <w:sz w:val="28"/>
          <w:szCs w:val="28"/>
        </w:rPr>
        <w:t>7</w:t>
      </w:r>
      <w:r>
        <w:rPr>
          <w:rFonts w:hint="eastAsia" w:ascii="宋体" w:hAnsi="宋体" w:cs="宋体"/>
          <w:snapToGrid w:val="0"/>
          <w:kern w:val="0"/>
          <w:sz w:val="28"/>
          <w:szCs w:val="28"/>
        </w:rPr>
        <w:t>、土地复垦实施年限</w:t>
      </w:r>
    </w:p>
    <w:p>
      <w:pPr>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本矿山为新建矿山，矿山采用</w:t>
      </w:r>
      <w:r>
        <w:rPr>
          <w:rFonts w:hint="eastAsia" w:ascii="宋体" w:hAnsi="宋体" w:cs="宋体"/>
          <w:snapToGrid w:val="0"/>
          <w:kern w:val="0"/>
          <w:sz w:val="28"/>
          <w:szCs w:val="28"/>
          <w:lang w:val="en-US" w:eastAsia="zh-CN"/>
        </w:rPr>
        <w:t>山坡-凹陷</w:t>
      </w:r>
      <w:r>
        <w:rPr>
          <w:rFonts w:hint="eastAsia" w:ascii="宋体" w:hAnsi="宋体" w:cs="宋体"/>
          <w:snapToGrid w:val="0"/>
          <w:kern w:val="0"/>
          <w:sz w:val="28"/>
          <w:szCs w:val="28"/>
        </w:rPr>
        <w:t>露天开采，剩余矿山总服务年限</w:t>
      </w:r>
      <w:r>
        <w:rPr>
          <w:rFonts w:hint="eastAsia" w:ascii="宋体" w:hAnsi="宋体" w:cs="宋体"/>
          <w:sz w:val="28"/>
          <w:szCs w:val="28"/>
          <w:lang w:val="en-US" w:eastAsia="zh-CN"/>
        </w:rPr>
        <w:t>****</w:t>
      </w:r>
      <w:r>
        <w:rPr>
          <w:rFonts w:hint="eastAsia" w:ascii="宋体" w:hAnsi="宋体" w:cs="宋体"/>
          <w:snapToGrid w:val="0"/>
          <w:kern w:val="0"/>
          <w:sz w:val="28"/>
          <w:szCs w:val="28"/>
        </w:rPr>
        <w:t>年。其中，矿山服务年限为</w:t>
      </w:r>
      <w:r>
        <w:rPr>
          <w:rFonts w:hint="eastAsia" w:ascii="宋体" w:hAnsi="宋体" w:cs="宋体"/>
          <w:sz w:val="28"/>
          <w:szCs w:val="28"/>
          <w:lang w:val="en-US" w:eastAsia="zh-CN"/>
        </w:rPr>
        <w:t>****</w:t>
      </w:r>
      <w:r>
        <w:rPr>
          <w:rFonts w:hint="eastAsia" w:ascii="宋体" w:hAnsi="宋体" w:cs="宋体"/>
          <w:snapToGrid w:val="0"/>
          <w:kern w:val="0"/>
          <w:sz w:val="28"/>
          <w:szCs w:val="28"/>
        </w:rPr>
        <w:t>年</w:t>
      </w:r>
      <w:r>
        <w:rPr>
          <w:rFonts w:hint="eastAsia" w:ascii="宋体" w:hAnsi="宋体" w:cs="宋体"/>
          <w:sz w:val="28"/>
          <w:szCs w:val="28"/>
          <w:lang w:val="en-US" w:eastAsia="zh-CN"/>
        </w:rPr>
        <w:t>**</w:t>
      </w:r>
      <w:r>
        <w:rPr>
          <w:rFonts w:hint="eastAsia" w:ascii="宋体" w:hAnsi="宋体" w:cs="宋体"/>
          <w:snapToGrid w:val="0"/>
          <w:kern w:val="0"/>
          <w:sz w:val="28"/>
          <w:szCs w:val="28"/>
        </w:rPr>
        <w:t>月-</w:t>
      </w:r>
      <w:r>
        <w:rPr>
          <w:rFonts w:hint="eastAsia" w:ascii="宋体" w:hAnsi="宋体" w:cs="宋体"/>
          <w:sz w:val="28"/>
          <w:szCs w:val="28"/>
          <w:lang w:val="en-US" w:eastAsia="zh-CN"/>
        </w:rPr>
        <w:t>****</w:t>
      </w:r>
      <w:r>
        <w:rPr>
          <w:rFonts w:hint="eastAsia" w:ascii="宋体" w:hAnsi="宋体" w:cs="宋体"/>
          <w:snapToGrid w:val="0"/>
          <w:kern w:val="0"/>
          <w:sz w:val="28"/>
          <w:szCs w:val="28"/>
        </w:rPr>
        <w:t>年</w:t>
      </w:r>
      <w:r>
        <w:rPr>
          <w:rFonts w:hint="eastAsia" w:ascii="宋体" w:hAnsi="宋体" w:cs="宋体"/>
          <w:sz w:val="28"/>
          <w:szCs w:val="28"/>
          <w:lang w:val="en-US" w:eastAsia="zh-CN"/>
        </w:rPr>
        <w:t>**</w:t>
      </w:r>
      <w:r>
        <w:rPr>
          <w:rFonts w:hint="eastAsia" w:ascii="宋体" w:hAnsi="宋体" w:cs="宋体"/>
          <w:snapToGrid w:val="0"/>
          <w:kern w:val="0"/>
          <w:sz w:val="28"/>
          <w:szCs w:val="28"/>
        </w:rPr>
        <w:t>月。该矿山不满足“边开采、边复垦”的条件，闭坑后一次性复垦。</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ascii="宋体" w:hAnsi="宋体" w:cs="宋体"/>
          <w:snapToGrid w:val="0"/>
          <w:kern w:val="0"/>
          <w:sz w:val="28"/>
          <w:szCs w:val="28"/>
        </w:rPr>
        <w:t>8</w:t>
      </w:r>
      <w:r>
        <w:rPr>
          <w:rFonts w:hint="eastAsia" w:ascii="宋体" w:hAnsi="宋体" w:cs="宋体"/>
          <w:snapToGrid w:val="0"/>
          <w:kern w:val="0"/>
          <w:sz w:val="28"/>
          <w:szCs w:val="28"/>
        </w:rPr>
        <w:t>、土地复垦阶段工作安排</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阶段实施的原则，将矿山土地复垦工作划分为近期</w:t>
      </w:r>
      <w:r>
        <w:rPr>
          <w:rFonts w:hint="eastAsia" w:ascii="宋体" w:hAnsi="宋体" w:cs="宋体"/>
          <w:sz w:val="28"/>
          <w:szCs w:val="28"/>
          <w:lang w:val="en-US" w:eastAsia="zh-CN"/>
        </w:rPr>
        <w:t>**</w:t>
      </w:r>
      <w:r>
        <w:rPr>
          <w:rFonts w:hint="eastAsia"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）、中期</w:t>
      </w:r>
      <w:r>
        <w:rPr>
          <w:rFonts w:hint="eastAsia" w:ascii="宋体" w:hAnsi="宋体" w:cs="宋体"/>
          <w:sz w:val="28"/>
          <w:szCs w:val="28"/>
          <w:lang w:val="en-US" w:eastAsia="zh-CN"/>
        </w:rPr>
        <w:t>**</w:t>
      </w:r>
      <w:r>
        <w:rPr>
          <w:rFonts w:hint="eastAsia"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）、远期</w:t>
      </w:r>
      <w:r>
        <w:rPr>
          <w:rFonts w:hint="eastAsia" w:ascii="宋体" w:hAnsi="宋体" w:cs="宋体"/>
          <w:sz w:val="28"/>
          <w:szCs w:val="28"/>
          <w:lang w:val="en-US" w:eastAsia="zh-CN"/>
        </w:rPr>
        <w:t>**</w:t>
      </w:r>
      <w:r>
        <w:rPr>
          <w:rFonts w:hint="eastAsia"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）及复垦期（</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）。实施计划如下：</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（1）近期</w:t>
      </w:r>
      <w:r>
        <w:rPr>
          <w:rFonts w:hint="eastAsia" w:ascii="宋体" w:hAnsi="宋体" w:cs="宋体"/>
          <w:sz w:val="28"/>
          <w:szCs w:val="28"/>
          <w:lang w:val="en-US" w:eastAsia="zh-CN"/>
        </w:rPr>
        <w:t>**</w:t>
      </w:r>
      <w:r>
        <w:rPr>
          <w:rFonts w:hint="eastAsia" w:ascii="宋体" w:hAnsi="宋体" w:cs="宋体"/>
          <w:snapToGrid w:val="0"/>
          <w:kern w:val="0"/>
          <w:sz w:val="28"/>
          <w:szCs w:val="28"/>
        </w:rPr>
        <w:t>年工作部署（</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近期</w:t>
      </w:r>
      <w:r>
        <w:rPr>
          <w:rFonts w:hint="eastAsia" w:ascii="宋体" w:hAnsi="宋体" w:cs="宋体"/>
          <w:sz w:val="28"/>
          <w:szCs w:val="28"/>
          <w:lang w:val="en-US" w:eastAsia="zh-CN"/>
        </w:rPr>
        <w:t>**</w:t>
      </w:r>
      <w:r>
        <w:rPr>
          <w:rFonts w:hint="eastAsia" w:ascii="宋体" w:hAnsi="宋体" w:cs="宋体"/>
          <w:snapToGrid w:val="0"/>
          <w:kern w:val="0"/>
          <w:sz w:val="28"/>
          <w:szCs w:val="28"/>
        </w:rPr>
        <w:t>年为矿山生产期，土地复垦工作主要是对土地损毁监测，土地损毁每年人工巡视监测</w:t>
      </w:r>
      <w:r>
        <w:rPr>
          <w:rFonts w:hint="eastAsia" w:ascii="宋体" w:hAnsi="宋体" w:cs="宋体"/>
          <w:sz w:val="28"/>
          <w:szCs w:val="28"/>
          <w:lang w:val="en-US" w:eastAsia="zh-CN"/>
        </w:rPr>
        <w:t>**</w:t>
      </w:r>
      <w:r>
        <w:rPr>
          <w:rFonts w:hint="eastAsia" w:ascii="宋体" w:hAnsi="宋体" w:cs="宋体"/>
          <w:snapToGrid w:val="0"/>
          <w:kern w:val="0"/>
          <w:sz w:val="28"/>
          <w:szCs w:val="28"/>
        </w:rPr>
        <w:t>次，近期</w:t>
      </w:r>
      <w:r>
        <w:rPr>
          <w:rFonts w:hint="eastAsia" w:ascii="宋体" w:hAnsi="宋体" w:cs="宋体"/>
          <w:sz w:val="28"/>
          <w:szCs w:val="28"/>
          <w:lang w:val="en-US" w:eastAsia="zh-CN"/>
        </w:rPr>
        <w:t>**</w:t>
      </w:r>
      <w:r>
        <w:rPr>
          <w:rFonts w:hint="eastAsia" w:ascii="宋体" w:hAnsi="宋体" w:cs="宋体"/>
          <w:snapToGrid w:val="0"/>
          <w:kern w:val="0"/>
          <w:sz w:val="28"/>
          <w:szCs w:val="28"/>
        </w:rPr>
        <w:t>年工作量监测</w:t>
      </w:r>
      <w:r>
        <w:rPr>
          <w:rFonts w:hint="eastAsia" w:ascii="宋体" w:hAnsi="宋体" w:cs="宋体"/>
          <w:sz w:val="28"/>
          <w:szCs w:val="28"/>
          <w:lang w:val="en-US" w:eastAsia="zh-CN"/>
        </w:rPr>
        <w:t>**</w:t>
      </w:r>
      <w:r>
        <w:rPr>
          <w:rFonts w:hint="eastAsia" w:ascii="宋体" w:hAnsi="宋体" w:cs="宋体"/>
          <w:snapToGrid w:val="0"/>
          <w:kern w:val="0"/>
          <w:sz w:val="28"/>
          <w:szCs w:val="28"/>
        </w:rPr>
        <w:t>次。</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（2）中期</w:t>
      </w:r>
      <w:r>
        <w:rPr>
          <w:rFonts w:hint="eastAsia" w:ascii="宋体" w:hAnsi="宋体" w:cs="宋体"/>
          <w:sz w:val="28"/>
          <w:szCs w:val="28"/>
          <w:lang w:val="en-US" w:eastAsia="zh-CN"/>
        </w:rPr>
        <w:t>**</w:t>
      </w:r>
      <w:r>
        <w:rPr>
          <w:rFonts w:hint="eastAsia" w:ascii="宋体" w:hAnsi="宋体" w:cs="宋体"/>
          <w:snapToGrid w:val="0"/>
          <w:kern w:val="0"/>
          <w:sz w:val="28"/>
          <w:szCs w:val="28"/>
        </w:rPr>
        <w:t>年工作部署（</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中期</w:t>
      </w:r>
      <w:r>
        <w:rPr>
          <w:rFonts w:hint="eastAsia" w:ascii="宋体" w:hAnsi="宋体" w:cs="宋体"/>
          <w:sz w:val="28"/>
          <w:szCs w:val="28"/>
          <w:lang w:val="en-US" w:eastAsia="zh-CN"/>
        </w:rPr>
        <w:t>**</w:t>
      </w:r>
      <w:r>
        <w:rPr>
          <w:rFonts w:hint="eastAsia" w:ascii="宋体" w:hAnsi="宋体" w:cs="宋体"/>
          <w:snapToGrid w:val="0"/>
          <w:kern w:val="0"/>
          <w:sz w:val="28"/>
          <w:szCs w:val="28"/>
        </w:rPr>
        <w:t>年为矿山生产期，土地复垦工作主要是对土地损毁监测，土地损毁每年人工巡视监测</w:t>
      </w:r>
      <w:r>
        <w:rPr>
          <w:rFonts w:hint="eastAsia" w:ascii="宋体" w:hAnsi="宋体" w:cs="宋体"/>
          <w:sz w:val="28"/>
          <w:szCs w:val="28"/>
          <w:lang w:val="en-US" w:eastAsia="zh-CN"/>
        </w:rPr>
        <w:t>**</w:t>
      </w:r>
      <w:r>
        <w:rPr>
          <w:rFonts w:hint="eastAsia" w:ascii="宋体" w:hAnsi="宋体" w:cs="宋体"/>
          <w:snapToGrid w:val="0"/>
          <w:kern w:val="0"/>
          <w:sz w:val="28"/>
          <w:szCs w:val="28"/>
        </w:rPr>
        <w:t>次，中期</w:t>
      </w:r>
      <w:r>
        <w:rPr>
          <w:rFonts w:hint="eastAsia" w:ascii="宋体" w:hAnsi="宋体" w:cs="宋体"/>
          <w:sz w:val="28"/>
          <w:szCs w:val="28"/>
          <w:lang w:val="en-US" w:eastAsia="zh-CN"/>
        </w:rPr>
        <w:t>**</w:t>
      </w:r>
      <w:r>
        <w:rPr>
          <w:rFonts w:hint="eastAsia" w:ascii="宋体" w:hAnsi="宋体" w:cs="宋体"/>
          <w:snapToGrid w:val="0"/>
          <w:kern w:val="0"/>
          <w:sz w:val="28"/>
          <w:szCs w:val="28"/>
        </w:rPr>
        <w:t>年工作量监测</w:t>
      </w:r>
      <w:r>
        <w:rPr>
          <w:rFonts w:hint="eastAsia" w:ascii="宋体" w:hAnsi="宋体" w:cs="宋体"/>
          <w:sz w:val="28"/>
          <w:szCs w:val="28"/>
          <w:lang w:val="en-US" w:eastAsia="zh-CN"/>
        </w:rPr>
        <w:t>**</w:t>
      </w:r>
      <w:r>
        <w:rPr>
          <w:rFonts w:hint="eastAsia" w:ascii="宋体" w:hAnsi="宋体" w:cs="宋体"/>
          <w:snapToGrid w:val="0"/>
          <w:kern w:val="0"/>
          <w:sz w:val="28"/>
          <w:szCs w:val="28"/>
        </w:rPr>
        <w:t>次。</w:t>
      </w:r>
    </w:p>
    <w:p>
      <w:pPr>
        <w:widowControl/>
        <w:kinsoku w:val="0"/>
        <w:autoSpaceDE w:val="0"/>
        <w:autoSpaceDN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（3）远期</w:t>
      </w:r>
      <w:r>
        <w:rPr>
          <w:rFonts w:hint="eastAsia" w:ascii="宋体" w:hAnsi="宋体" w:cs="宋体"/>
          <w:sz w:val="28"/>
          <w:szCs w:val="28"/>
          <w:lang w:val="en-US" w:eastAsia="zh-CN"/>
        </w:rPr>
        <w:t>**</w:t>
      </w:r>
      <w:r>
        <w:rPr>
          <w:rFonts w:hint="eastAsia" w:ascii="宋体" w:hAnsi="宋体" w:cs="宋体"/>
          <w:snapToGrid w:val="0"/>
          <w:kern w:val="0"/>
          <w:sz w:val="28"/>
          <w:szCs w:val="28"/>
        </w:rPr>
        <w:t>年工作部署（</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远期</w:t>
      </w:r>
      <w:r>
        <w:rPr>
          <w:rFonts w:hint="eastAsia" w:ascii="宋体" w:hAnsi="宋体" w:cs="宋体"/>
          <w:sz w:val="28"/>
          <w:szCs w:val="28"/>
          <w:lang w:val="en-US" w:eastAsia="zh-CN"/>
        </w:rPr>
        <w:t>**</w:t>
      </w:r>
      <w:r>
        <w:rPr>
          <w:rFonts w:hint="eastAsia" w:ascii="宋体" w:hAnsi="宋体" w:cs="宋体"/>
          <w:snapToGrid w:val="0"/>
          <w:kern w:val="0"/>
          <w:sz w:val="28"/>
          <w:szCs w:val="28"/>
        </w:rPr>
        <w:t>年为矿山生产期，土地复垦工作主要是对土地损毁监测，土地损毁每年人工巡视监测</w:t>
      </w:r>
      <w:r>
        <w:rPr>
          <w:rFonts w:hint="eastAsia" w:ascii="宋体" w:hAnsi="宋体" w:cs="宋体"/>
          <w:sz w:val="28"/>
          <w:szCs w:val="28"/>
          <w:lang w:val="en-US" w:eastAsia="zh-CN"/>
        </w:rPr>
        <w:t>**</w:t>
      </w:r>
      <w:r>
        <w:rPr>
          <w:rFonts w:hint="eastAsia" w:ascii="宋体" w:hAnsi="宋体" w:cs="宋体"/>
          <w:snapToGrid w:val="0"/>
          <w:kern w:val="0"/>
          <w:sz w:val="28"/>
          <w:szCs w:val="28"/>
        </w:rPr>
        <w:t>次，远期</w:t>
      </w:r>
      <w:r>
        <w:rPr>
          <w:rFonts w:hint="eastAsia" w:ascii="宋体" w:hAnsi="宋体" w:cs="宋体"/>
          <w:sz w:val="28"/>
          <w:szCs w:val="28"/>
          <w:lang w:val="en-US" w:eastAsia="zh-CN"/>
        </w:rPr>
        <w:t>**</w:t>
      </w:r>
      <w:r>
        <w:rPr>
          <w:rFonts w:hint="eastAsia" w:ascii="宋体" w:hAnsi="宋体" w:cs="宋体"/>
          <w:snapToGrid w:val="0"/>
          <w:kern w:val="0"/>
          <w:sz w:val="28"/>
          <w:szCs w:val="28"/>
        </w:rPr>
        <w:t>年工作量监测</w:t>
      </w:r>
      <w:r>
        <w:rPr>
          <w:rFonts w:hint="eastAsia" w:ascii="宋体" w:hAnsi="宋体" w:cs="宋体"/>
          <w:sz w:val="28"/>
          <w:szCs w:val="28"/>
          <w:lang w:val="en-US" w:eastAsia="zh-CN"/>
        </w:rPr>
        <w:t>**</w:t>
      </w:r>
      <w:r>
        <w:rPr>
          <w:rFonts w:hint="eastAsia" w:ascii="宋体" w:hAnsi="宋体" w:cs="宋体"/>
          <w:snapToGrid w:val="0"/>
          <w:kern w:val="0"/>
          <w:sz w:val="28"/>
          <w:szCs w:val="28"/>
        </w:rPr>
        <w:t>次。</w:t>
      </w:r>
    </w:p>
    <w:p>
      <w:pPr>
        <w:keepNext w:val="0"/>
        <w:keepLines w:val="0"/>
        <w:pageBreakBefore w:val="0"/>
        <w:widowControl/>
        <w:kinsoku/>
        <w:wordWrap/>
        <w:overflowPunct/>
        <w:topLinePunct w:val="0"/>
        <w:autoSpaceDE w:val="0"/>
        <w:autoSpaceDN w:val="0"/>
        <w:bidi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（4）复垦期</w:t>
      </w:r>
      <w:r>
        <w:rPr>
          <w:rFonts w:hint="eastAsia" w:ascii="宋体" w:hAnsi="宋体" w:cs="宋体"/>
          <w:sz w:val="28"/>
          <w:szCs w:val="28"/>
          <w:lang w:val="en-US" w:eastAsia="zh-CN"/>
        </w:rPr>
        <w:t>**</w:t>
      </w:r>
      <w:r>
        <w:rPr>
          <w:rFonts w:hint="eastAsia" w:ascii="宋体" w:hAnsi="宋体" w:cs="宋体"/>
          <w:snapToGrid w:val="0"/>
          <w:kern w:val="0"/>
          <w:sz w:val="28"/>
          <w:szCs w:val="28"/>
        </w:rPr>
        <w:t>年工作部署（</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z w:val="28"/>
          <w:szCs w:val="28"/>
          <w:lang w:val="en-US" w:eastAsia="zh-CN"/>
        </w:rPr>
        <w:t>****</w:t>
      </w:r>
      <w:r>
        <w:rPr>
          <w:rFonts w:ascii="宋体" w:hAnsi="宋体" w:cs="宋体"/>
          <w:snapToGrid w:val="0"/>
          <w:kern w:val="0"/>
          <w:sz w:val="28"/>
          <w:szCs w:val="28"/>
        </w:rPr>
        <w:t>年</w:t>
      </w:r>
      <w:r>
        <w:rPr>
          <w:rFonts w:hint="eastAsia" w:ascii="宋体" w:hAnsi="宋体" w:cs="宋体"/>
          <w:sz w:val="28"/>
          <w:szCs w:val="28"/>
          <w:lang w:val="en-US" w:eastAsia="zh-CN"/>
        </w:rPr>
        <w:t>**</w:t>
      </w:r>
      <w:r>
        <w:rPr>
          <w:rFonts w:ascii="宋体" w:hAnsi="宋体" w:cs="宋体"/>
          <w:snapToGrid w:val="0"/>
          <w:kern w:val="0"/>
          <w:sz w:val="28"/>
          <w:szCs w:val="28"/>
        </w:rPr>
        <w:t>月</w:t>
      </w:r>
      <w:r>
        <w:rPr>
          <w:rFonts w:hint="eastAsia" w:ascii="宋体" w:hAnsi="宋体" w:cs="宋体"/>
          <w:snapToGrid w:val="0"/>
          <w:kern w:val="0"/>
          <w:sz w:val="28"/>
          <w:szCs w:val="28"/>
        </w:rPr>
        <w:t>）</w:t>
      </w:r>
    </w:p>
    <w:p>
      <w:pPr>
        <w:keepNext w:val="0"/>
        <w:keepLines w:val="0"/>
        <w:pageBreakBefore w:val="0"/>
        <w:widowControl/>
        <w:kinsoku/>
        <w:wordWrap/>
        <w:overflowPunct/>
        <w:topLinePunct w:val="0"/>
        <w:autoSpaceDE w:val="0"/>
        <w:autoSpaceDN w:val="0"/>
        <w:bidi w:val="0"/>
        <w:adjustRightInd w:val="0"/>
        <w:snapToGrid w:val="0"/>
        <w:spacing w:line="560" w:lineRule="exact"/>
        <w:ind w:firstLine="560" w:firstLineChars="200"/>
        <w:textAlignment w:val="baseline"/>
        <w:rPr>
          <w:rFonts w:ascii="宋体" w:hAnsi="宋体" w:cs="宋体"/>
          <w:snapToGrid w:val="0"/>
          <w:kern w:val="0"/>
          <w:sz w:val="28"/>
          <w:szCs w:val="28"/>
        </w:rPr>
      </w:pPr>
      <w:r>
        <w:rPr>
          <w:rFonts w:hint="eastAsia" w:ascii="宋体" w:hAnsi="宋体" w:cs="宋体"/>
          <w:snapToGrid w:val="0"/>
          <w:kern w:val="0"/>
          <w:sz w:val="28"/>
          <w:szCs w:val="28"/>
        </w:rPr>
        <w:t>复垦期</w:t>
      </w:r>
      <w:r>
        <w:rPr>
          <w:rFonts w:hint="eastAsia" w:ascii="宋体" w:hAnsi="宋体" w:cs="宋体"/>
          <w:sz w:val="28"/>
          <w:szCs w:val="28"/>
          <w:lang w:val="en-US" w:eastAsia="zh-CN"/>
        </w:rPr>
        <w:t>**</w:t>
      </w:r>
      <w:r>
        <w:rPr>
          <w:rFonts w:hint="eastAsia" w:ascii="宋体" w:hAnsi="宋体" w:cs="宋体"/>
          <w:snapToGrid w:val="0"/>
          <w:kern w:val="0"/>
          <w:sz w:val="28"/>
          <w:szCs w:val="28"/>
        </w:rPr>
        <w:t>年内土地复垦工作主要是</w:t>
      </w:r>
      <w:r>
        <w:rPr>
          <w:rFonts w:hint="eastAsia" w:ascii="宋体" w:hAnsi="宋体" w:cs="宋体"/>
          <w:sz w:val="28"/>
          <w:szCs w:val="28"/>
        </w:rPr>
        <w:t>规划露天</w:t>
      </w:r>
      <w:r>
        <w:rPr>
          <w:rFonts w:hint="eastAsia" w:ascii="宋体" w:hAnsi="宋体" w:cs="宋体"/>
          <w:snapToGrid w:val="0"/>
          <w:kern w:val="0"/>
          <w:sz w:val="28"/>
          <w:szCs w:val="28"/>
        </w:rPr>
        <w:t>采矿场采坑回填、</w:t>
      </w:r>
      <w:r>
        <w:rPr>
          <w:rFonts w:hint="eastAsia" w:ascii="宋体" w:hAnsi="宋体" w:cs="宋体"/>
          <w:sz w:val="28"/>
          <w:szCs w:val="28"/>
          <w:lang w:val="en-US" w:eastAsia="zh-CN"/>
        </w:rPr>
        <w:t>拟建排土场</w:t>
      </w:r>
      <w:r>
        <w:rPr>
          <w:rFonts w:hint="eastAsia" w:ascii="宋体" w:hAnsi="宋体" w:cs="宋体"/>
          <w:snapToGrid w:val="0"/>
          <w:kern w:val="0"/>
          <w:sz w:val="28"/>
          <w:szCs w:val="28"/>
        </w:rPr>
        <w:t>场地平整、</w:t>
      </w:r>
      <w:r>
        <w:rPr>
          <w:rFonts w:hint="eastAsia" w:ascii="宋体" w:hAnsi="宋体" w:cs="宋体"/>
          <w:sz w:val="28"/>
          <w:szCs w:val="28"/>
          <w:lang w:val="en-US" w:eastAsia="zh-CN"/>
        </w:rPr>
        <w:t>拟建生活区</w:t>
      </w:r>
      <w:r>
        <w:rPr>
          <w:rFonts w:hint="eastAsia" w:ascii="宋体" w:hAnsi="宋体" w:cs="宋体"/>
          <w:sz w:val="28"/>
          <w:szCs w:val="28"/>
        </w:rPr>
        <w:t>场地</w:t>
      </w:r>
      <w:r>
        <w:rPr>
          <w:rFonts w:hint="eastAsia" w:ascii="宋体" w:hAnsi="宋体" w:cs="宋体"/>
          <w:snapToGrid w:val="0"/>
          <w:kern w:val="0"/>
          <w:sz w:val="28"/>
          <w:szCs w:val="28"/>
        </w:rPr>
        <w:t>平整</w:t>
      </w:r>
      <w:r>
        <w:rPr>
          <w:rFonts w:hint="eastAsia" w:ascii="宋体" w:hAnsi="宋体" w:cs="宋体"/>
          <w:sz w:val="28"/>
          <w:szCs w:val="28"/>
        </w:rPr>
        <w:t>、</w:t>
      </w:r>
      <w:r>
        <w:rPr>
          <w:rFonts w:hint="eastAsia" w:ascii="宋体" w:hAnsi="宋体" w:cs="宋体"/>
          <w:sz w:val="28"/>
          <w:szCs w:val="28"/>
          <w:lang w:val="en-US" w:eastAsia="zh-CN"/>
        </w:rPr>
        <w:t>拟建</w:t>
      </w:r>
      <w:r>
        <w:rPr>
          <w:rFonts w:hint="eastAsia" w:ascii="宋体" w:hAnsi="宋体" w:cs="宋体"/>
          <w:snapToGrid w:val="0"/>
          <w:kern w:val="0"/>
          <w:sz w:val="28"/>
          <w:szCs w:val="28"/>
        </w:rPr>
        <w:t>矿山道路场地平整；土地复垦效果监测每年</w:t>
      </w:r>
      <w:r>
        <w:rPr>
          <w:rFonts w:hint="eastAsia" w:ascii="宋体" w:hAnsi="宋体" w:cs="宋体"/>
          <w:sz w:val="28"/>
          <w:szCs w:val="28"/>
          <w:lang w:val="en-US" w:eastAsia="zh-CN"/>
        </w:rPr>
        <w:t>**</w:t>
      </w:r>
      <w:r>
        <w:rPr>
          <w:rFonts w:hint="eastAsia" w:ascii="宋体" w:hAnsi="宋体" w:cs="宋体"/>
          <w:snapToGrid w:val="0"/>
          <w:kern w:val="0"/>
          <w:sz w:val="28"/>
          <w:szCs w:val="28"/>
        </w:rPr>
        <w:t>次，复垦期</w:t>
      </w:r>
      <w:r>
        <w:rPr>
          <w:rFonts w:hint="eastAsia" w:ascii="宋体" w:hAnsi="宋体" w:cs="宋体"/>
          <w:sz w:val="28"/>
          <w:szCs w:val="28"/>
          <w:lang w:val="en-US" w:eastAsia="zh-CN"/>
        </w:rPr>
        <w:t>**</w:t>
      </w:r>
      <w:r>
        <w:rPr>
          <w:rFonts w:hint="eastAsia" w:ascii="宋体" w:hAnsi="宋体" w:cs="宋体"/>
          <w:snapToGrid w:val="0"/>
          <w:kern w:val="0"/>
          <w:sz w:val="28"/>
          <w:szCs w:val="28"/>
        </w:rPr>
        <w:t>年监测</w:t>
      </w:r>
      <w:r>
        <w:rPr>
          <w:rFonts w:hint="eastAsia" w:ascii="宋体" w:hAnsi="宋体" w:cs="宋体"/>
          <w:sz w:val="28"/>
          <w:szCs w:val="28"/>
          <w:lang w:val="en-US" w:eastAsia="zh-CN"/>
        </w:rPr>
        <w:t>**</w:t>
      </w:r>
      <w:r>
        <w:rPr>
          <w:rFonts w:hint="eastAsia" w:ascii="宋体" w:hAnsi="宋体" w:cs="宋体"/>
          <w:snapToGrid w:val="0"/>
          <w:kern w:val="0"/>
          <w:sz w:val="28"/>
          <w:szCs w:val="28"/>
        </w:rPr>
        <w:t>次</w:t>
      </w:r>
      <w:r>
        <w:rPr>
          <w:rFonts w:ascii="宋体" w:hAnsi="宋体" w:cs="宋体"/>
          <w:snapToGrid w:val="0"/>
          <w:kern w:val="0"/>
          <w:sz w:val="28"/>
          <w:szCs w:val="28"/>
        </w:rPr>
        <w:t>。</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九、技术经济指标</w:t>
      </w:r>
    </w:p>
    <w:p>
      <w:pPr>
        <w:keepNext w:val="0"/>
        <w:keepLines w:val="0"/>
        <w:pageBreakBefore w:val="0"/>
        <w:widowControl/>
        <w:kinsoku/>
        <w:wordWrap/>
        <w:overflowPunct/>
        <w:topLinePunct w:val="0"/>
        <w:autoSpaceDE w:val="0"/>
        <w:autoSpaceDN w:val="0"/>
        <w:bidi w:val="0"/>
        <w:adjustRightInd w:val="0"/>
        <w:snapToGrid w:val="0"/>
        <w:spacing w:line="560" w:lineRule="exact"/>
        <w:ind w:firstLine="560" w:firstLineChars="200"/>
        <w:textAlignment w:val="baseline"/>
        <w:rPr>
          <w:rFonts w:hint="eastAsia" w:ascii="宋体" w:hAnsi="宋体" w:eastAsia="宋体" w:cs="宋体"/>
          <w:snapToGrid w:val="0"/>
          <w:kern w:val="0"/>
          <w:sz w:val="28"/>
          <w:szCs w:val="28"/>
        </w:rPr>
      </w:pPr>
      <w:r>
        <w:rPr>
          <w:rFonts w:hint="eastAsia" w:ascii="宋体" w:hAnsi="宋体" w:eastAsia="宋体" w:cs="宋体"/>
          <w:snapToGrid w:val="0"/>
          <w:kern w:val="0"/>
          <w:sz w:val="28"/>
          <w:szCs w:val="28"/>
        </w:rPr>
        <w:t>（一）项目总投资</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万元。项目建成投产后，年</w:t>
      </w:r>
      <w:r>
        <w:rPr>
          <w:rFonts w:hint="eastAsia" w:ascii="宋体" w:hAnsi="宋体" w:eastAsia="宋体" w:cs="宋体"/>
          <w:snapToGrid w:val="0"/>
          <w:kern w:val="0"/>
          <w:sz w:val="28"/>
          <w:szCs w:val="28"/>
          <w:lang w:val="en-US" w:eastAsia="zh-CN"/>
        </w:rPr>
        <w:t>均</w:t>
      </w:r>
      <w:r>
        <w:rPr>
          <w:rFonts w:hint="eastAsia" w:ascii="宋体" w:hAnsi="宋体" w:eastAsia="宋体" w:cs="宋体"/>
          <w:snapToGrid w:val="0"/>
          <w:kern w:val="0"/>
          <w:sz w:val="28"/>
          <w:szCs w:val="28"/>
        </w:rPr>
        <w:t>销售收入为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万元，利润总额为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万元，年上缴所得税额为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万元，税后利润为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万元。投资净利润率为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%，总投资收益率为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w:t>
      </w:r>
      <w:r>
        <w:rPr>
          <w:rFonts w:hint="eastAsia" w:ascii="宋体" w:hAnsi="宋体" w:eastAsia="宋体" w:cs="宋体"/>
          <w:snapToGrid w:val="0"/>
          <w:kern w:val="0"/>
          <w:sz w:val="28"/>
          <w:szCs w:val="28"/>
          <w:lang w:val="en-US" w:eastAsia="zh-CN"/>
        </w:rPr>
        <w:t>税前动态</w:t>
      </w:r>
      <w:r>
        <w:rPr>
          <w:rFonts w:hint="eastAsia" w:ascii="宋体" w:hAnsi="宋体" w:eastAsia="宋体" w:cs="宋体"/>
          <w:snapToGrid w:val="0"/>
          <w:kern w:val="0"/>
          <w:sz w:val="28"/>
          <w:szCs w:val="28"/>
        </w:rPr>
        <w:t>投资回收期</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年</w:t>
      </w:r>
      <w:r>
        <w:rPr>
          <w:rFonts w:hint="eastAsia" w:ascii="宋体" w:hAnsi="宋体" w:eastAsia="宋体" w:cs="宋体"/>
          <w:snapToGrid w:val="0"/>
          <w:kern w:val="0"/>
          <w:sz w:val="28"/>
          <w:szCs w:val="28"/>
          <w:lang w:eastAsia="zh-CN"/>
        </w:rPr>
        <w:t>，</w:t>
      </w:r>
      <w:r>
        <w:rPr>
          <w:rFonts w:hint="eastAsia" w:ascii="宋体" w:hAnsi="宋体" w:eastAsia="宋体" w:cs="宋体"/>
          <w:snapToGrid w:val="0"/>
          <w:kern w:val="0"/>
          <w:sz w:val="28"/>
          <w:szCs w:val="28"/>
          <w:lang w:val="en-US" w:eastAsia="zh-CN"/>
        </w:rPr>
        <w:t>税后动态</w:t>
      </w:r>
      <w:r>
        <w:rPr>
          <w:rFonts w:hint="eastAsia" w:ascii="宋体" w:hAnsi="宋体" w:eastAsia="宋体" w:cs="宋体"/>
          <w:snapToGrid w:val="0"/>
          <w:kern w:val="0"/>
          <w:sz w:val="28"/>
          <w:szCs w:val="28"/>
        </w:rPr>
        <w:t>投资回收期</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年。融资前所得税后财务净现值（Ic=10%）为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万元，为大于零的正值，表明项目财务可行。</w:t>
      </w:r>
    </w:p>
    <w:p>
      <w:pPr>
        <w:widowControl/>
        <w:kinsoku w:val="0"/>
        <w:autoSpaceDE w:val="0"/>
        <w:autoSpaceDN w:val="0"/>
        <w:adjustRightInd w:val="0"/>
        <w:snapToGrid w:val="0"/>
        <w:spacing w:line="560" w:lineRule="exact"/>
        <w:ind w:firstLine="560" w:firstLineChars="200"/>
        <w:textAlignment w:val="baseline"/>
        <w:rPr>
          <w:rFonts w:hint="eastAsia" w:ascii="宋体" w:hAnsi="宋体" w:cs="宋体"/>
          <w:snapToGrid w:val="0"/>
          <w:kern w:val="0"/>
          <w:sz w:val="28"/>
          <w:szCs w:val="28"/>
        </w:rPr>
      </w:pPr>
      <w:r>
        <w:rPr>
          <w:rFonts w:hint="eastAsia" w:ascii="宋体" w:hAnsi="宋体" w:cs="宋体"/>
          <w:snapToGrid w:val="0"/>
          <w:kern w:val="0"/>
          <w:sz w:val="28"/>
          <w:szCs w:val="28"/>
        </w:rPr>
        <w:t>（二）本方案矿山地质环境治理与土地复垦工程经费由矿山地质环境治理工程经费和土地复垦工程经费两部分组成。</w:t>
      </w:r>
      <w:bookmarkStart w:id="309" w:name="_Hlk92704194"/>
    </w:p>
    <w:bookmarkEnd w:id="309"/>
    <w:p>
      <w:pPr>
        <w:widowControl/>
        <w:kinsoku w:val="0"/>
        <w:autoSpaceDE w:val="0"/>
        <w:autoSpaceDN w:val="0"/>
        <w:adjustRightInd w:val="0"/>
        <w:snapToGrid w:val="0"/>
        <w:spacing w:line="560" w:lineRule="exact"/>
        <w:ind w:firstLine="560" w:firstLineChars="200"/>
        <w:textAlignment w:val="baseline"/>
        <w:rPr>
          <w:rFonts w:hint="eastAsia" w:ascii="宋体" w:hAnsi="宋体" w:eastAsia="宋体" w:cs="宋体"/>
          <w:snapToGrid w:val="0"/>
          <w:kern w:val="0"/>
          <w:sz w:val="28"/>
          <w:szCs w:val="28"/>
        </w:rPr>
      </w:pPr>
      <w:r>
        <w:rPr>
          <w:rFonts w:hint="eastAsia" w:ascii="宋体" w:hAnsi="宋体" w:eastAsia="宋体" w:cs="宋体"/>
          <w:snapToGrid w:val="0"/>
          <w:kern w:val="0"/>
          <w:sz w:val="28"/>
          <w:szCs w:val="28"/>
        </w:rPr>
        <w:t>矿山服务期内矿山地质环境保护与恢复治理静态总投资为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万元。其中工程施工费为</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万元，其他费用</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w:t>
      </w:r>
      <w:r>
        <w:rPr>
          <w:rFonts w:hint="eastAsia" w:ascii="宋体" w:hAnsi="宋体" w:eastAsia="宋体" w:cs="宋体"/>
          <w:snapToGrid w:val="0"/>
          <w:kern w:val="0"/>
          <w:sz w:val="28"/>
          <w:szCs w:val="28"/>
          <w:lang w:val="en-US" w:eastAsia="zh-CN"/>
        </w:rPr>
        <w:t>监测费</w:t>
      </w:r>
      <w:r>
        <w:rPr>
          <w:rFonts w:hint="eastAsia" w:ascii="宋体" w:hAnsi="宋体" w:cs="宋体"/>
          <w:sz w:val="28"/>
          <w:szCs w:val="28"/>
          <w:lang w:val="en-US" w:eastAsia="zh-CN"/>
        </w:rPr>
        <w:t>****</w:t>
      </w:r>
      <w:r>
        <w:rPr>
          <w:rFonts w:hint="eastAsia" w:ascii="宋体" w:hAnsi="宋体" w:eastAsia="宋体" w:cs="宋体"/>
          <w:snapToGrid w:val="0"/>
          <w:kern w:val="0"/>
          <w:sz w:val="28"/>
          <w:szCs w:val="28"/>
          <w:lang w:val="en-US" w:eastAsia="zh-CN"/>
        </w:rPr>
        <w:t>万元，</w:t>
      </w:r>
      <w:r>
        <w:rPr>
          <w:rFonts w:hint="eastAsia" w:ascii="宋体" w:hAnsi="宋体" w:eastAsia="宋体" w:cs="宋体"/>
          <w:snapToGrid w:val="0"/>
          <w:kern w:val="0"/>
          <w:sz w:val="28"/>
          <w:szCs w:val="28"/>
        </w:rPr>
        <w:t>预备费</w:t>
      </w:r>
      <w:r>
        <w:rPr>
          <w:rFonts w:hint="eastAsia" w:ascii="宋体" w:hAnsi="宋体" w:cs="宋体"/>
          <w:sz w:val="28"/>
          <w:szCs w:val="28"/>
          <w:lang w:val="en-US" w:eastAsia="zh-CN"/>
        </w:rPr>
        <w:t>****</w:t>
      </w:r>
      <w:r>
        <w:rPr>
          <w:rFonts w:hint="eastAsia" w:ascii="宋体" w:hAnsi="宋体" w:eastAsia="宋体" w:cs="宋体"/>
          <w:snapToGrid w:val="0"/>
          <w:kern w:val="0"/>
          <w:sz w:val="28"/>
          <w:szCs w:val="28"/>
        </w:rPr>
        <w:t>万元。</w:t>
      </w:r>
    </w:p>
    <w:p>
      <w:pPr>
        <w:widowControl/>
        <w:kinsoku w:val="0"/>
        <w:autoSpaceDE w:val="0"/>
        <w:autoSpaceDN w:val="0"/>
        <w:adjustRightInd w:val="0"/>
        <w:snapToGrid w:val="0"/>
        <w:spacing w:line="560" w:lineRule="exact"/>
        <w:ind w:firstLine="560" w:firstLineChars="200"/>
        <w:textAlignment w:val="baseline"/>
        <w:rPr>
          <w:rFonts w:hint="eastAsia" w:ascii="宋体" w:hAnsi="宋体" w:cs="宋体"/>
          <w:snapToGrid w:val="0"/>
          <w:kern w:val="0"/>
          <w:sz w:val="28"/>
          <w:szCs w:val="28"/>
        </w:rPr>
      </w:pPr>
      <w:r>
        <w:rPr>
          <w:rFonts w:hint="eastAsia" w:ascii="宋体" w:hAnsi="宋体" w:cs="宋体"/>
          <w:snapToGrid w:val="0"/>
          <w:kern w:val="0"/>
          <w:sz w:val="28"/>
          <w:szCs w:val="28"/>
        </w:rPr>
        <w:t>矿山服务期内土地复垦静态总投资为</w:t>
      </w:r>
      <w:r>
        <w:rPr>
          <w:rFonts w:hint="eastAsia" w:ascii="宋体" w:hAnsi="宋体" w:cs="宋体"/>
          <w:sz w:val="28"/>
          <w:szCs w:val="28"/>
          <w:lang w:val="en-US" w:eastAsia="zh-CN"/>
        </w:rPr>
        <w:t>****</w:t>
      </w:r>
      <w:r>
        <w:rPr>
          <w:rFonts w:hint="eastAsia" w:ascii="宋体" w:hAnsi="宋体" w:cs="宋体"/>
          <w:snapToGrid w:val="0"/>
          <w:kern w:val="0"/>
          <w:sz w:val="28"/>
          <w:szCs w:val="28"/>
        </w:rPr>
        <w:t>万元。其中工程施工费为</w:t>
      </w:r>
      <w:r>
        <w:rPr>
          <w:rFonts w:hint="eastAsia" w:ascii="宋体" w:hAnsi="宋体" w:cs="宋体"/>
          <w:sz w:val="28"/>
          <w:szCs w:val="28"/>
          <w:lang w:val="en-US" w:eastAsia="zh-CN"/>
        </w:rPr>
        <w:t>****</w:t>
      </w:r>
      <w:r>
        <w:rPr>
          <w:rFonts w:hint="eastAsia" w:ascii="宋体" w:hAnsi="宋体" w:cs="宋体"/>
          <w:snapToGrid w:val="0"/>
          <w:kern w:val="0"/>
          <w:sz w:val="28"/>
          <w:szCs w:val="28"/>
        </w:rPr>
        <w:t>万元，其他费用</w:t>
      </w:r>
      <w:r>
        <w:rPr>
          <w:rFonts w:hint="eastAsia" w:ascii="宋体" w:hAnsi="宋体" w:cs="宋体"/>
          <w:sz w:val="28"/>
          <w:szCs w:val="28"/>
          <w:lang w:val="en-US" w:eastAsia="zh-CN"/>
        </w:rPr>
        <w:t>****</w:t>
      </w:r>
      <w:r>
        <w:rPr>
          <w:rFonts w:hint="eastAsia" w:ascii="宋体" w:hAnsi="宋体" w:cs="宋体"/>
          <w:snapToGrid w:val="0"/>
          <w:kern w:val="0"/>
          <w:sz w:val="28"/>
          <w:szCs w:val="28"/>
        </w:rPr>
        <w:t>万元，</w:t>
      </w:r>
      <w:r>
        <w:rPr>
          <w:rFonts w:hint="eastAsia" w:ascii="宋体" w:hAnsi="宋体" w:cs="宋体"/>
          <w:snapToGrid w:val="0"/>
          <w:kern w:val="0"/>
          <w:sz w:val="28"/>
          <w:szCs w:val="28"/>
          <w:lang w:val="en-US" w:eastAsia="zh-CN"/>
        </w:rPr>
        <w:t>监测费</w:t>
      </w:r>
      <w:r>
        <w:rPr>
          <w:rFonts w:hint="eastAsia" w:ascii="宋体" w:hAnsi="宋体" w:cs="宋体"/>
          <w:sz w:val="28"/>
          <w:szCs w:val="28"/>
          <w:lang w:val="en-US" w:eastAsia="zh-CN"/>
        </w:rPr>
        <w:t>****</w:t>
      </w:r>
      <w:r>
        <w:rPr>
          <w:rFonts w:hint="eastAsia" w:ascii="宋体" w:hAnsi="宋体" w:cs="宋体"/>
          <w:snapToGrid w:val="0"/>
          <w:kern w:val="0"/>
          <w:sz w:val="28"/>
          <w:szCs w:val="28"/>
          <w:lang w:val="en-US" w:eastAsia="zh-CN"/>
        </w:rPr>
        <w:t>万元，</w:t>
      </w:r>
      <w:r>
        <w:rPr>
          <w:rFonts w:hint="eastAsia" w:ascii="宋体" w:hAnsi="宋体" w:cs="宋体"/>
          <w:snapToGrid w:val="0"/>
          <w:kern w:val="0"/>
          <w:sz w:val="28"/>
          <w:szCs w:val="28"/>
        </w:rPr>
        <w:t>预备费</w:t>
      </w:r>
      <w:r>
        <w:rPr>
          <w:rFonts w:hint="eastAsia" w:ascii="宋体" w:hAnsi="宋体" w:cs="宋体"/>
          <w:sz w:val="28"/>
          <w:szCs w:val="28"/>
          <w:lang w:val="en-US" w:eastAsia="zh-CN"/>
        </w:rPr>
        <w:t>****</w:t>
      </w:r>
      <w:r>
        <w:rPr>
          <w:rFonts w:hint="eastAsia" w:ascii="宋体" w:hAnsi="宋体" w:cs="宋体"/>
          <w:snapToGrid w:val="0"/>
          <w:kern w:val="0"/>
          <w:sz w:val="28"/>
          <w:szCs w:val="28"/>
        </w:rPr>
        <w:t>万元。</w:t>
      </w:r>
    </w:p>
    <w:p>
      <w:pPr>
        <w:widowControl/>
        <w:kinsoku w:val="0"/>
        <w:autoSpaceDE w:val="0"/>
        <w:autoSpaceDN w:val="0"/>
        <w:adjustRightInd w:val="0"/>
        <w:snapToGrid w:val="0"/>
        <w:spacing w:line="560" w:lineRule="exact"/>
        <w:ind w:firstLine="560" w:firstLineChars="200"/>
        <w:textAlignment w:val="baseline"/>
        <w:rPr>
          <w:rFonts w:hint="eastAsia" w:ascii="宋体" w:hAnsi="宋体" w:cs="宋体"/>
          <w:snapToGrid w:val="0"/>
          <w:kern w:val="0"/>
          <w:sz w:val="28"/>
          <w:szCs w:val="28"/>
        </w:rPr>
      </w:pPr>
      <w:r>
        <w:rPr>
          <w:rFonts w:hint="eastAsia" w:ascii="宋体" w:hAnsi="宋体" w:cs="宋体"/>
          <w:snapToGrid w:val="0"/>
          <w:kern w:val="0"/>
          <w:sz w:val="28"/>
          <w:szCs w:val="28"/>
        </w:rPr>
        <w:t>矿山服务年限内矿山地质环境保护与治理工程费</w:t>
      </w:r>
      <w:r>
        <w:rPr>
          <w:rFonts w:hint="eastAsia" w:ascii="宋体" w:hAnsi="宋体" w:cs="宋体"/>
          <w:snapToGrid w:val="0"/>
          <w:kern w:val="0"/>
          <w:sz w:val="28"/>
          <w:szCs w:val="28"/>
          <w:lang w:val="en-US" w:eastAsia="zh-CN"/>
        </w:rPr>
        <w:t>和</w:t>
      </w:r>
      <w:r>
        <w:rPr>
          <w:rFonts w:hint="eastAsia" w:ascii="宋体" w:hAnsi="宋体" w:cs="宋体"/>
          <w:snapToGrid w:val="0"/>
          <w:kern w:val="0"/>
          <w:sz w:val="28"/>
          <w:szCs w:val="28"/>
        </w:rPr>
        <w:t>土地复垦工程费</w:t>
      </w:r>
      <w:r>
        <w:rPr>
          <w:rFonts w:hint="eastAsia" w:ascii="宋体" w:hAnsi="宋体" w:cs="宋体"/>
          <w:snapToGrid w:val="0"/>
          <w:kern w:val="0"/>
          <w:sz w:val="28"/>
          <w:szCs w:val="28"/>
          <w:lang w:val="en-US" w:eastAsia="zh-CN"/>
        </w:rPr>
        <w:t>总费用为</w:t>
      </w:r>
      <w:r>
        <w:rPr>
          <w:rFonts w:hint="eastAsia" w:ascii="宋体" w:hAnsi="宋体" w:cs="宋体"/>
          <w:sz w:val="28"/>
          <w:szCs w:val="28"/>
          <w:lang w:val="en-US" w:eastAsia="zh-CN"/>
        </w:rPr>
        <w:t>****</w:t>
      </w:r>
      <w:r>
        <w:rPr>
          <w:rFonts w:hint="eastAsia" w:ascii="宋体" w:hAnsi="宋体" w:cs="宋体"/>
          <w:snapToGrid w:val="0"/>
          <w:kern w:val="0"/>
          <w:sz w:val="28"/>
          <w:szCs w:val="28"/>
        </w:rPr>
        <w:t>万元。</w:t>
      </w:r>
    </w:p>
    <w:p>
      <w:pPr>
        <w:spacing w:line="520" w:lineRule="exact"/>
        <w:ind w:firstLine="562" w:firstLineChars="200"/>
        <w:outlineLvl w:val="0"/>
        <w:rPr>
          <w:rFonts w:hint="eastAsia" w:ascii="宋体" w:hAnsi="宋体" w:cs="宋体"/>
          <w:b/>
          <w:bCs/>
          <w:sz w:val="28"/>
          <w:szCs w:val="28"/>
        </w:rPr>
      </w:pPr>
      <w:r>
        <w:rPr>
          <w:rFonts w:hint="eastAsia" w:ascii="宋体" w:hAnsi="宋体" w:cs="宋体"/>
          <w:b/>
          <w:bCs/>
          <w:sz w:val="28"/>
          <w:szCs w:val="28"/>
        </w:rPr>
        <w:t>十、存在的问题及建议</w:t>
      </w:r>
    </w:p>
    <w:p>
      <w:pPr>
        <w:widowControl/>
        <w:kinsoku w:val="0"/>
        <w:autoSpaceDE w:val="0"/>
        <w:autoSpaceDN w:val="0"/>
        <w:adjustRightInd w:val="0"/>
        <w:snapToGrid w:val="0"/>
        <w:spacing w:line="560" w:lineRule="exact"/>
        <w:ind w:firstLine="560" w:firstLineChars="200"/>
        <w:jc w:val="left"/>
        <w:textAlignment w:val="baseline"/>
        <w:rPr>
          <w:rFonts w:ascii="宋体" w:hAnsi="宋体" w:cs="宋体"/>
          <w:snapToGrid w:val="0"/>
          <w:kern w:val="0"/>
          <w:sz w:val="28"/>
          <w:szCs w:val="28"/>
        </w:rPr>
      </w:pPr>
      <w:r>
        <w:rPr>
          <w:rFonts w:hint="eastAsia" w:ascii="宋体" w:hAnsi="宋体" w:cs="宋体"/>
          <w:snapToGrid w:val="0"/>
          <w:kern w:val="0"/>
          <w:sz w:val="28"/>
          <w:szCs w:val="28"/>
        </w:rPr>
        <w:t>1、在矿山开采过程中，应严格按照开发利用方案设计范围、开采方法进行开采，开采中尽可能减少固体废物的排放，这样既能改善矿山环境，又可为今后的集中治理节约财力，物力，从而达到矿业开发与矿山环境保护和谐发展的目的。</w:t>
      </w:r>
    </w:p>
    <w:p>
      <w:pPr>
        <w:widowControl/>
        <w:kinsoku w:val="0"/>
        <w:autoSpaceDE w:val="0"/>
        <w:autoSpaceDN w:val="0"/>
        <w:adjustRightInd w:val="0"/>
        <w:snapToGrid w:val="0"/>
        <w:spacing w:line="560" w:lineRule="exact"/>
        <w:ind w:firstLine="560" w:firstLineChars="200"/>
        <w:jc w:val="left"/>
        <w:textAlignment w:val="baseline"/>
        <w:rPr>
          <w:rFonts w:ascii="宋体" w:hAnsi="宋体" w:cs="宋体"/>
          <w:snapToGrid w:val="0"/>
          <w:kern w:val="0"/>
          <w:sz w:val="28"/>
          <w:szCs w:val="28"/>
        </w:rPr>
      </w:pPr>
      <w:r>
        <w:rPr>
          <w:rFonts w:hint="eastAsia" w:ascii="宋体" w:hAnsi="宋体" w:cs="宋体"/>
          <w:snapToGrid w:val="0"/>
          <w:kern w:val="0"/>
          <w:sz w:val="28"/>
          <w:szCs w:val="28"/>
        </w:rPr>
        <w:t>2、加强对固体废弃物的管理，其堆放高度、坡度要有一定的限制，确保堆积物的稳定，尽量避免引发滑坡等地质灾害。</w:t>
      </w:r>
    </w:p>
    <w:p>
      <w:pPr>
        <w:widowControl/>
        <w:kinsoku w:val="0"/>
        <w:autoSpaceDE w:val="0"/>
        <w:autoSpaceDN w:val="0"/>
        <w:adjustRightInd w:val="0"/>
        <w:snapToGrid w:val="0"/>
        <w:spacing w:line="560" w:lineRule="exact"/>
        <w:ind w:firstLine="560" w:firstLineChars="200"/>
        <w:jc w:val="left"/>
        <w:textAlignment w:val="baseline"/>
        <w:rPr>
          <w:rFonts w:ascii="宋体" w:hAnsi="宋体" w:cs="宋体"/>
          <w:snapToGrid w:val="0"/>
          <w:kern w:val="0"/>
          <w:sz w:val="28"/>
          <w:szCs w:val="28"/>
        </w:rPr>
      </w:pPr>
      <w:r>
        <w:rPr>
          <w:rFonts w:hint="eastAsia" w:ascii="宋体" w:hAnsi="宋体" w:cs="宋体"/>
          <w:snapToGrid w:val="0"/>
          <w:kern w:val="0"/>
          <w:sz w:val="28"/>
          <w:szCs w:val="28"/>
        </w:rPr>
        <w:t>3、建议矿山生产过程中，加强对排放废水的管理工作。矿山产生的废水应采取措施集中处理后达标排放。</w:t>
      </w:r>
    </w:p>
    <w:p>
      <w:pPr>
        <w:kinsoku w:val="0"/>
        <w:autoSpaceDE w:val="0"/>
        <w:autoSpaceDN w:val="0"/>
        <w:adjustRightInd w:val="0"/>
        <w:snapToGrid w:val="0"/>
        <w:spacing w:line="560" w:lineRule="exact"/>
        <w:ind w:firstLine="560" w:firstLineChars="200"/>
        <w:jc w:val="left"/>
        <w:textAlignment w:val="baseline"/>
        <w:rPr>
          <w:rFonts w:ascii="宋体" w:hAnsi="宋体" w:cs="宋体"/>
          <w:snapToGrid w:val="0"/>
          <w:kern w:val="0"/>
          <w:sz w:val="28"/>
          <w:szCs w:val="28"/>
        </w:rPr>
      </w:pPr>
      <w:r>
        <w:rPr>
          <w:rFonts w:hint="eastAsia" w:ascii="宋体" w:hAnsi="宋体" w:cs="宋体"/>
          <w:snapToGrid w:val="0"/>
          <w:kern w:val="0"/>
          <w:sz w:val="28"/>
          <w:szCs w:val="28"/>
        </w:rPr>
        <w:t>4、建议矿山在生产期间，严格按国家有关规范和设计开采，尽量减少对土地资源的破坏，及时恢复损毁用地的土地功能。</w:t>
      </w:r>
    </w:p>
    <w:p>
      <w:pPr>
        <w:widowControl/>
        <w:kinsoku w:val="0"/>
        <w:autoSpaceDE w:val="0"/>
        <w:autoSpaceDN w:val="0"/>
        <w:adjustRightInd w:val="0"/>
        <w:snapToGrid w:val="0"/>
        <w:spacing w:line="560" w:lineRule="exact"/>
        <w:ind w:firstLine="560" w:firstLineChars="200"/>
        <w:jc w:val="left"/>
        <w:textAlignment w:val="baseline"/>
        <w:rPr>
          <w:rFonts w:ascii="宋体" w:hAnsi="宋体" w:cs="宋体"/>
          <w:snapToGrid w:val="0"/>
          <w:kern w:val="0"/>
          <w:sz w:val="28"/>
          <w:szCs w:val="28"/>
        </w:rPr>
      </w:pPr>
      <w:r>
        <w:rPr>
          <w:rFonts w:hint="eastAsia" w:ascii="宋体" w:hAnsi="宋体" w:cs="宋体"/>
          <w:snapToGrid w:val="0"/>
          <w:kern w:val="0"/>
          <w:sz w:val="28"/>
          <w:szCs w:val="28"/>
        </w:rPr>
        <w:t>5、本方案是基于目前的矿山地质环境现状，并根据目前的开采方案预测可能产生的环境地质问题与土地损毁情况，并结合矿区具体情况而编制的。如矿山开采利用方案发生变化，则应另行编制与之相适应的矿山地质环境保护与土地复垦方案。</w:t>
      </w:r>
    </w:p>
    <w:p>
      <w:pPr>
        <w:widowControl/>
        <w:kinsoku w:val="0"/>
        <w:autoSpaceDE w:val="0"/>
        <w:autoSpaceDN w:val="0"/>
        <w:adjustRightInd w:val="0"/>
        <w:snapToGrid w:val="0"/>
        <w:spacing w:line="560" w:lineRule="exact"/>
        <w:ind w:firstLine="560" w:firstLineChars="200"/>
        <w:jc w:val="left"/>
        <w:textAlignment w:val="baseline"/>
        <w:rPr>
          <w:rFonts w:ascii="宋体" w:hAnsi="宋体" w:cs="宋体"/>
          <w:snapToGrid w:val="0"/>
          <w:kern w:val="0"/>
          <w:sz w:val="28"/>
          <w:szCs w:val="28"/>
        </w:rPr>
      </w:pPr>
      <w:r>
        <w:rPr>
          <w:rFonts w:hint="eastAsia" w:ascii="宋体" w:hAnsi="宋体" w:cs="宋体"/>
          <w:snapToGrid w:val="0"/>
          <w:kern w:val="0"/>
          <w:sz w:val="28"/>
          <w:szCs w:val="28"/>
        </w:rPr>
        <w:t>6、本方案设计工程量及投资仅为初步估算。本方案是不代替矿山地质环境治理工程设计，不代替具体的施工图设计，在各分项工程措施实施前，应根据现场实际情况按国家相关程序做好必要的勘察设计工作，确保矿山地质环境保护与土地复垦工程的科学合理；在治理工程实施过程中，必须严格施工管理，方可降低风险，应对不确定的因素。</w:t>
      </w:r>
    </w:p>
    <w:p>
      <w:pPr>
        <w:widowControl/>
        <w:kinsoku w:val="0"/>
        <w:autoSpaceDE w:val="0"/>
        <w:autoSpaceDN w:val="0"/>
        <w:adjustRightInd w:val="0"/>
        <w:snapToGrid w:val="0"/>
        <w:spacing w:line="560" w:lineRule="exact"/>
        <w:ind w:firstLine="560" w:firstLineChars="200"/>
        <w:jc w:val="left"/>
        <w:textAlignment w:val="baseline"/>
        <w:rPr>
          <w:rFonts w:ascii="宋体" w:hAnsi="宋体" w:cs="宋体"/>
          <w:snapToGrid w:val="0"/>
          <w:kern w:val="0"/>
          <w:sz w:val="28"/>
          <w:szCs w:val="28"/>
        </w:rPr>
      </w:pPr>
      <w:r>
        <w:rPr>
          <w:rFonts w:hint="eastAsia" w:ascii="宋体" w:hAnsi="宋体" w:cs="宋体"/>
          <w:snapToGrid w:val="0"/>
          <w:kern w:val="0"/>
          <w:sz w:val="28"/>
          <w:szCs w:val="28"/>
        </w:rPr>
        <w:t>7、在方案适用期内，若矿山范围变更、矿山开采规模及开采方式有变动，应重新编写方案。</w:t>
      </w:r>
    </w:p>
    <w:p>
      <w:pPr>
        <w:pStyle w:val="52"/>
        <w:ind w:left="0" w:leftChars="0"/>
        <w:rPr>
          <w:rFonts w:hint="eastAsia"/>
        </w:rPr>
      </w:pPr>
    </w:p>
    <w:p>
      <w:pPr>
        <w:pStyle w:val="36"/>
        <w:rPr>
          <w:rFonts w:hint="eastAsia"/>
        </w:rPr>
      </w:pPr>
    </w:p>
    <w:p>
      <w:pPr>
        <w:rPr>
          <w:rFonts w:hint="eastAsia"/>
        </w:rPr>
      </w:pPr>
    </w:p>
    <w:p>
      <w:pPr>
        <w:spacing w:line="520" w:lineRule="exact"/>
        <w:ind w:firstLine="560" w:firstLineChars="200"/>
        <w:rPr>
          <w:rFonts w:hint="eastAsia" w:ascii="宋体" w:hAnsi="宋体" w:cs="宋体"/>
          <w:sz w:val="28"/>
          <w:szCs w:val="28"/>
        </w:rPr>
      </w:pPr>
    </w:p>
    <w:p>
      <w:pPr>
        <w:spacing w:line="520" w:lineRule="exact"/>
        <w:rPr>
          <w:rFonts w:hint="eastAsia" w:ascii="宋体" w:hAnsi="宋体" w:cs="宋体"/>
          <w:sz w:val="28"/>
          <w:szCs w:val="28"/>
        </w:rPr>
      </w:pPr>
    </w:p>
    <w:p>
      <w:pPr>
        <w:pageBreakBefore/>
        <w:widowControl/>
        <w:kinsoku w:val="0"/>
        <w:autoSpaceDE w:val="0"/>
        <w:autoSpaceDN w:val="0"/>
        <w:adjustRightInd w:val="0"/>
        <w:snapToGrid w:val="0"/>
        <w:spacing w:line="560" w:lineRule="exact"/>
        <w:jc w:val="center"/>
        <w:textAlignment w:val="baseline"/>
        <w:rPr>
          <w:rFonts w:hint="eastAsia" w:ascii="宋体" w:hAnsi="宋体" w:cs="宋体"/>
          <w:b/>
          <w:bCs/>
          <w:snapToGrid w:val="0"/>
          <w:kern w:val="0"/>
          <w:sz w:val="28"/>
          <w:szCs w:val="28"/>
        </w:rPr>
      </w:pPr>
      <w:r>
        <w:rPr>
          <w:rFonts w:hint="eastAsia" w:ascii="宋体" w:hAnsi="宋体" w:cs="宋体"/>
          <w:b/>
          <w:bCs/>
          <w:snapToGrid w:val="0"/>
          <w:kern w:val="0"/>
          <w:sz w:val="28"/>
          <w:szCs w:val="28"/>
        </w:rPr>
        <w:t>附件：《</w:t>
      </w:r>
      <w:r>
        <w:rPr>
          <w:rFonts w:hint="eastAsia" w:ascii="宋体" w:hAnsi="宋体" w:cs="宋体"/>
          <w:b/>
          <w:bCs/>
          <w:snapToGrid w:val="0"/>
          <w:kern w:val="0"/>
          <w:sz w:val="28"/>
          <w:szCs w:val="28"/>
          <w:lang w:eastAsia="zh-CN"/>
        </w:rPr>
        <w:t>新疆伽师县西克尔镇4号砖瓦用页岩矿</w:t>
      </w:r>
      <w:r>
        <w:rPr>
          <w:rFonts w:hint="eastAsia" w:ascii="宋体" w:hAnsi="宋体" w:cs="宋体"/>
          <w:b/>
          <w:bCs/>
          <w:snapToGrid w:val="0"/>
          <w:kern w:val="0"/>
          <w:sz w:val="28"/>
          <w:szCs w:val="28"/>
        </w:rPr>
        <w:t>矿产资源开发利用与生态保护修复方案》评审专家组名单</w:t>
      </w:r>
    </w:p>
    <w:tbl>
      <w:tblPr>
        <w:tblStyle w:val="53"/>
        <w:tblW w:w="90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5"/>
        <w:gridCol w:w="1829"/>
        <w:gridCol w:w="1589"/>
        <w:gridCol w:w="2665"/>
        <w:gridCol w:w="17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jc w:val="center"/>
        </w:trPr>
        <w:tc>
          <w:tcPr>
            <w:tcW w:w="12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姓 名</w:t>
            </w:r>
          </w:p>
        </w:tc>
        <w:tc>
          <w:tcPr>
            <w:tcW w:w="1829" w:type="dxa"/>
            <w:noWrap w:val="0"/>
            <w:vAlign w:val="center"/>
          </w:tcPr>
          <w:p>
            <w:pPr>
              <w:spacing w:line="360" w:lineRule="exact"/>
              <w:jc w:val="center"/>
              <w:rPr>
                <w:rFonts w:ascii="宋体" w:hAnsi="宋体" w:cs="宋体"/>
                <w:sz w:val="28"/>
                <w:szCs w:val="28"/>
              </w:rPr>
            </w:pPr>
            <w:r>
              <w:rPr>
                <w:rFonts w:hint="eastAsia" w:ascii="宋体" w:hAnsi="宋体" w:cs="宋体"/>
                <w:sz w:val="28"/>
                <w:szCs w:val="28"/>
              </w:rPr>
              <w:t>专家组成员</w:t>
            </w:r>
          </w:p>
        </w:tc>
        <w:tc>
          <w:tcPr>
            <w:tcW w:w="158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专 业</w:t>
            </w:r>
          </w:p>
        </w:tc>
        <w:tc>
          <w:tcPr>
            <w:tcW w:w="26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技术职称</w:t>
            </w:r>
          </w:p>
        </w:tc>
        <w:tc>
          <w:tcPr>
            <w:tcW w:w="1750"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签 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jc w:val="center"/>
        </w:trPr>
        <w:tc>
          <w:tcPr>
            <w:tcW w:w="12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朱建军</w:t>
            </w:r>
          </w:p>
        </w:tc>
        <w:tc>
          <w:tcPr>
            <w:tcW w:w="182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主审专家</w:t>
            </w:r>
          </w:p>
        </w:tc>
        <w:tc>
          <w:tcPr>
            <w:tcW w:w="1589" w:type="dxa"/>
            <w:noWrap w:val="0"/>
            <w:vAlign w:val="center"/>
          </w:tcPr>
          <w:p>
            <w:pPr>
              <w:spacing w:line="360" w:lineRule="exact"/>
              <w:jc w:val="center"/>
              <w:rPr>
                <w:rFonts w:ascii="宋体" w:hAnsi="宋体" w:cs="宋体"/>
                <w:sz w:val="28"/>
                <w:szCs w:val="28"/>
              </w:rPr>
            </w:pPr>
            <w:r>
              <w:rPr>
                <w:rFonts w:hint="eastAsia" w:ascii="宋体" w:hAnsi="宋体" w:cs="宋体"/>
                <w:sz w:val="28"/>
                <w:szCs w:val="28"/>
              </w:rPr>
              <w:t>采矿工程</w:t>
            </w:r>
          </w:p>
        </w:tc>
        <w:tc>
          <w:tcPr>
            <w:tcW w:w="26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高级工程师</w:t>
            </w:r>
          </w:p>
        </w:tc>
        <w:tc>
          <w:tcPr>
            <w:tcW w:w="1750" w:type="dxa"/>
            <w:noWrap w:val="0"/>
            <w:vAlign w:val="center"/>
          </w:tcPr>
          <w:p>
            <w:pPr>
              <w:spacing w:line="360" w:lineRule="exac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jc w:val="center"/>
        </w:trPr>
        <w:tc>
          <w:tcPr>
            <w:tcW w:w="12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王宏君</w:t>
            </w:r>
          </w:p>
        </w:tc>
        <w:tc>
          <w:tcPr>
            <w:tcW w:w="182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评审专家</w:t>
            </w:r>
          </w:p>
        </w:tc>
        <w:tc>
          <w:tcPr>
            <w:tcW w:w="1589" w:type="dxa"/>
            <w:noWrap w:val="0"/>
            <w:vAlign w:val="center"/>
          </w:tcPr>
          <w:p>
            <w:pPr>
              <w:spacing w:line="360" w:lineRule="exact"/>
              <w:jc w:val="center"/>
              <w:rPr>
                <w:rFonts w:ascii="宋体" w:hAnsi="宋体" w:cs="宋体"/>
                <w:sz w:val="28"/>
                <w:szCs w:val="28"/>
              </w:rPr>
            </w:pPr>
            <w:r>
              <w:rPr>
                <w:rFonts w:hint="eastAsia" w:ascii="宋体" w:hAnsi="宋体" w:cs="宋体"/>
                <w:sz w:val="28"/>
                <w:szCs w:val="28"/>
              </w:rPr>
              <w:t>地    质</w:t>
            </w:r>
          </w:p>
        </w:tc>
        <w:tc>
          <w:tcPr>
            <w:tcW w:w="26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高级工程师</w:t>
            </w:r>
          </w:p>
        </w:tc>
        <w:tc>
          <w:tcPr>
            <w:tcW w:w="1750" w:type="dxa"/>
            <w:noWrap w:val="0"/>
            <w:vAlign w:val="center"/>
          </w:tcPr>
          <w:p>
            <w:pPr>
              <w:spacing w:line="360" w:lineRule="exact"/>
              <w:rPr>
                <w:rFonts w:hint="eastAsia"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jc w:val="center"/>
        </w:trPr>
        <w:tc>
          <w:tcPr>
            <w:tcW w:w="12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董丽霞</w:t>
            </w:r>
          </w:p>
        </w:tc>
        <w:tc>
          <w:tcPr>
            <w:tcW w:w="182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评审专家</w:t>
            </w:r>
          </w:p>
        </w:tc>
        <w:tc>
          <w:tcPr>
            <w:tcW w:w="1589" w:type="dxa"/>
            <w:noWrap w:val="0"/>
            <w:vAlign w:val="center"/>
          </w:tcPr>
          <w:p>
            <w:pPr>
              <w:spacing w:line="360" w:lineRule="exact"/>
              <w:jc w:val="center"/>
              <w:rPr>
                <w:rFonts w:ascii="宋体" w:hAnsi="宋体" w:cs="宋体"/>
                <w:sz w:val="28"/>
                <w:szCs w:val="28"/>
              </w:rPr>
            </w:pPr>
            <w:r>
              <w:rPr>
                <w:rFonts w:hint="eastAsia" w:ascii="宋体" w:hAnsi="宋体" w:cs="宋体"/>
                <w:sz w:val="28"/>
                <w:szCs w:val="28"/>
              </w:rPr>
              <w:t>水 工 环</w:t>
            </w:r>
          </w:p>
        </w:tc>
        <w:tc>
          <w:tcPr>
            <w:tcW w:w="26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高级工程师</w:t>
            </w:r>
          </w:p>
        </w:tc>
        <w:tc>
          <w:tcPr>
            <w:tcW w:w="1750" w:type="dxa"/>
            <w:noWrap w:val="0"/>
            <w:vAlign w:val="center"/>
          </w:tcPr>
          <w:p>
            <w:pPr>
              <w:jc w:val="center"/>
              <w:rPr>
                <w:rFonts w:hint="eastAsia" w:ascii="宋体" w:hAnsi="宋体" w:cs="宋体"/>
                <w:sz w:val="28"/>
                <w:szCs w:val="28"/>
              </w:rPr>
            </w:pPr>
            <w:r>
              <w:drawing>
                <wp:anchor distT="0" distB="0" distL="114300" distR="114300" simplePos="0" relativeHeight="251658240" behindDoc="0" locked="0" layoutInCell="1" allowOverlap="1">
                  <wp:simplePos x="0" y="0"/>
                  <wp:positionH relativeFrom="column">
                    <wp:posOffset>22860</wp:posOffset>
                  </wp:positionH>
                  <wp:positionV relativeFrom="paragraph">
                    <wp:posOffset>7553325</wp:posOffset>
                  </wp:positionV>
                  <wp:extent cx="1764030" cy="670560"/>
                  <wp:effectExtent l="0" t="0" r="1270" b="2540"/>
                  <wp:wrapNone/>
                  <wp:docPr id="4" name="图片 25" descr="327a4f5e942e6263a12cf22f8964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327a4f5e942e6263a12cf22f896481a"/>
                          <pic:cNvPicPr>
                            <a:picLocks noChangeAspect="1"/>
                          </pic:cNvPicPr>
                        </pic:nvPicPr>
                        <pic:blipFill>
                          <a:blip r:embed="rId16">
                            <a:clrChange>
                              <a:clrFrom>
                                <a:srgbClr val="AAAAAC"/>
                              </a:clrFrom>
                              <a:clrTo>
                                <a:srgbClr val="AAAAAC">
                                  <a:alpha val="0"/>
                                </a:srgbClr>
                              </a:clrTo>
                            </a:clrChange>
                            <a:biLevel thresh="50000"/>
                            <a:grayscl/>
                          </a:blip>
                          <a:srcRect l="17079" t="36201" r="10555" b="26212"/>
                          <a:stretch>
                            <a:fillRect/>
                          </a:stretch>
                        </pic:blipFill>
                        <pic:spPr>
                          <a:xfrm>
                            <a:off x="0" y="0"/>
                            <a:ext cx="1764030" cy="6705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exact"/>
          <w:jc w:val="center"/>
        </w:trPr>
        <w:tc>
          <w:tcPr>
            <w:tcW w:w="12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刘湘茹</w:t>
            </w:r>
          </w:p>
        </w:tc>
        <w:tc>
          <w:tcPr>
            <w:tcW w:w="182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评审专家</w:t>
            </w:r>
          </w:p>
        </w:tc>
        <w:tc>
          <w:tcPr>
            <w:tcW w:w="158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土    地</w:t>
            </w:r>
          </w:p>
        </w:tc>
        <w:tc>
          <w:tcPr>
            <w:tcW w:w="26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高级工程师</w:t>
            </w:r>
          </w:p>
        </w:tc>
        <w:tc>
          <w:tcPr>
            <w:tcW w:w="1750" w:type="dxa"/>
            <w:noWrap w:val="0"/>
            <w:vAlign w:val="center"/>
          </w:tcPr>
          <w:p>
            <w:pPr>
              <w:jc w:val="center"/>
              <w:rPr>
                <w:rFonts w:hint="eastAsia"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8" w:hRule="exact"/>
          <w:jc w:val="center"/>
        </w:trPr>
        <w:tc>
          <w:tcPr>
            <w:tcW w:w="12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毛开拥</w:t>
            </w:r>
          </w:p>
        </w:tc>
        <w:tc>
          <w:tcPr>
            <w:tcW w:w="182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评审专家</w:t>
            </w:r>
          </w:p>
        </w:tc>
        <w:tc>
          <w:tcPr>
            <w:tcW w:w="1589"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经 济 类</w:t>
            </w:r>
          </w:p>
        </w:tc>
        <w:tc>
          <w:tcPr>
            <w:tcW w:w="2665" w:type="dxa"/>
            <w:noWrap w:val="0"/>
            <w:vAlign w:val="center"/>
          </w:tcPr>
          <w:p>
            <w:pPr>
              <w:spacing w:line="360" w:lineRule="exact"/>
              <w:jc w:val="center"/>
              <w:rPr>
                <w:rFonts w:hint="eastAsia" w:ascii="宋体" w:hAnsi="宋体" w:cs="宋体"/>
                <w:sz w:val="28"/>
                <w:szCs w:val="28"/>
              </w:rPr>
            </w:pPr>
            <w:r>
              <w:rPr>
                <w:rFonts w:hint="eastAsia" w:ascii="宋体" w:hAnsi="宋体" w:cs="宋体"/>
                <w:sz w:val="28"/>
                <w:szCs w:val="28"/>
              </w:rPr>
              <w:t>高级会计师</w:t>
            </w:r>
          </w:p>
        </w:tc>
        <w:tc>
          <w:tcPr>
            <w:tcW w:w="1750" w:type="dxa"/>
            <w:noWrap w:val="0"/>
            <w:vAlign w:val="center"/>
          </w:tcPr>
          <w:p>
            <w:pPr>
              <w:jc w:val="center"/>
              <w:rPr>
                <w:rFonts w:hint="eastAsia" w:ascii="宋体" w:hAnsi="宋体" w:cs="宋体"/>
                <w:sz w:val="28"/>
                <w:szCs w:val="28"/>
              </w:rPr>
            </w:pPr>
          </w:p>
        </w:tc>
      </w:tr>
    </w:tbl>
    <w:p>
      <w:pPr>
        <w:spacing w:line="360" w:lineRule="auto"/>
        <w:rPr>
          <w:rFonts w:hint="eastAsia" w:ascii="宋体" w:hAnsi="宋体" w:cs="宋体"/>
          <w:sz w:val="28"/>
          <w:szCs w:val="28"/>
        </w:rPr>
      </w:pPr>
    </w:p>
    <w:p>
      <w:pPr>
        <w:spacing w:line="520" w:lineRule="exact"/>
        <w:rPr>
          <w:rFonts w:hint="eastAsia" w:ascii="宋体" w:hAnsi="宋体" w:cs="宋体"/>
          <w:sz w:val="28"/>
          <w:szCs w:val="28"/>
        </w:rPr>
      </w:pPr>
    </w:p>
    <w:p>
      <w:pPr>
        <w:spacing w:line="520" w:lineRule="exact"/>
        <w:rPr>
          <w:rFonts w:hint="eastAsia" w:ascii="宋体" w:hAnsi="宋体" w:cs="宋体"/>
          <w:sz w:val="28"/>
          <w:szCs w:val="28"/>
        </w:rPr>
      </w:pPr>
    </w:p>
    <w:p>
      <w:pPr>
        <w:spacing w:line="520" w:lineRule="exact"/>
        <w:rPr>
          <w:rFonts w:hint="eastAsia" w:ascii="宋体" w:hAnsi="宋体" w:cs="宋体"/>
          <w:sz w:val="28"/>
          <w:szCs w:val="28"/>
        </w:rPr>
      </w:pPr>
    </w:p>
    <w:p>
      <w:pPr>
        <w:spacing w:line="520" w:lineRule="exact"/>
        <w:rPr>
          <w:rFonts w:hint="eastAsia" w:ascii="宋体" w:hAnsi="宋体" w:cs="宋体"/>
          <w:sz w:val="28"/>
          <w:szCs w:val="28"/>
        </w:rPr>
      </w:pPr>
    </w:p>
    <w:p>
      <w:pPr>
        <w:spacing w:line="520" w:lineRule="exact"/>
        <w:rPr>
          <w:rFonts w:hint="eastAsia" w:ascii="宋体" w:hAnsi="宋体" w:cs="宋体"/>
          <w:sz w:val="28"/>
          <w:szCs w:val="28"/>
        </w:rPr>
      </w:pPr>
    </w:p>
    <w:p>
      <w:pPr>
        <w:spacing w:line="520" w:lineRule="exact"/>
        <w:rPr>
          <w:rFonts w:hint="eastAsia" w:ascii="宋体" w:hAnsi="宋体" w:cs="宋体"/>
          <w:sz w:val="28"/>
          <w:szCs w:val="28"/>
        </w:rPr>
      </w:pPr>
    </w:p>
    <w:p>
      <w:pPr>
        <w:spacing w:line="520" w:lineRule="exact"/>
        <w:rPr>
          <w:rFonts w:hint="eastAsia" w:ascii="宋体" w:hAnsi="宋体" w:cs="宋体"/>
          <w:sz w:val="28"/>
          <w:szCs w:val="28"/>
        </w:rPr>
      </w:pPr>
    </w:p>
    <w:p>
      <w:pPr>
        <w:spacing w:line="520" w:lineRule="exact"/>
        <w:rPr>
          <w:rFonts w:hint="eastAsia" w:ascii="宋体" w:hAnsi="宋体" w:cs="宋体"/>
          <w:sz w:val="28"/>
          <w:szCs w:val="28"/>
        </w:rPr>
      </w:pPr>
    </w:p>
    <w:p>
      <w:pPr>
        <w:spacing w:line="360" w:lineRule="auto"/>
        <w:ind w:firstLine="482" w:firstLineChars="200"/>
        <w:jc w:val="both"/>
        <w:rPr>
          <w:rFonts w:hint="eastAsia" w:ascii="宋体" w:hAnsi="宋体" w:eastAsia="宋体" w:cs="宋体"/>
          <w:b/>
          <w:color w:val="auto"/>
          <w:sz w:val="24"/>
          <w:szCs w:val="22"/>
        </w:rPr>
      </w:pPr>
    </w:p>
    <w:p>
      <w:pPr>
        <w:rPr>
          <w:rFonts w:hint="eastAsia" w:ascii="宋体" w:hAnsi="宋体" w:eastAsia="宋体" w:cs="宋体"/>
          <w:color w:val="auto"/>
        </w:rPr>
      </w:pPr>
    </w:p>
    <w:sectPr>
      <w:footerReference r:id="rId8" w:type="default"/>
      <w:pgSz w:w="11910" w:h="16840"/>
      <w:pgMar w:top="1440" w:right="1400" w:bottom="1440" w:left="1559" w:header="851" w:footer="992" w:gutter="0"/>
      <w:pgBorders>
        <w:top w:val="none" w:sz="0" w:space="0"/>
        <w:left w:val="none" w:sz="0" w:space="0"/>
        <w:bottom w:val="none" w:sz="0" w:space="0"/>
        <w:right w:val="none" w:sz="0" w:space="0"/>
      </w:pgBorders>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汉鼎简书宋">
    <w:altName w:val="宋体"/>
    <w:panose1 w:val="00000000000000000000"/>
    <w:charset w:val="86"/>
    <w:family w:val="modern"/>
    <w:pitch w:val="default"/>
    <w:sig w:usb0="00000000" w:usb1="00000000" w:usb2="00000010" w:usb3="00000000" w:csb0="00040000" w:csb1="00000000"/>
  </w:font>
  <w:font w:name="Plotter">
    <w:altName w:val="Arial"/>
    <w:panose1 w:val="00000000000000000000"/>
    <w:charset w:val="01"/>
    <w:family w:val="roman"/>
    <w:pitch w:val="default"/>
    <w:sig w:usb0="00000000" w:usb1="00000000" w:usb2="81608000" w:usb3="00000000" w:csb0="8162B5C4" w:csb1="BFF7D17E"/>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font>
  <w:font w:name="方正楷体简体">
    <w:panose1 w:val="02010601030101010101"/>
    <w:charset w:val="86"/>
    <w:family w:val="script"/>
    <w:pitch w:val="default"/>
    <w:sig w:usb0="00000001" w:usb1="080E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Romana BT">
    <w:altName w:val="Times New Roman"/>
    <w:panose1 w:val="00000000000000000000"/>
    <w:charset w:val="00"/>
    <w:family w:val="roman"/>
    <w:pitch w:val="default"/>
    <w:sig w:usb0="00000000" w:usb1="00000000" w:usb2="00000000" w:usb3="00000000" w:csb0="00000011"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66078679"/>
    </w:sdtPr>
    <w:sdtContent>
      <w:p>
        <w:pPr>
          <w:pStyle w:val="33"/>
          <w:ind w:firstLine="210"/>
          <w:jc w:val="center"/>
        </w:pPr>
        <w:r>
          <w:fldChar w:fldCharType="begin"/>
        </w:r>
        <w:r>
          <w:instrText xml:space="preserve">PAGE   \* MERGEFORMAT</w:instrText>
        </w:r>
        <w:r>
          <w:fldChar w:fldCharType="separate"/>
        </w:r>
        <w:r>
          <w:rPr>
            <w:lang w:val="zh-CN"/>
          </w:rPr>
          <w:t>2</w:t>
        </w:r>
        <w:r>
          <w:fldChar w:fldCharType="end"/>
        </w:r>
      </w:p>
    </w:sdtContent>
  </w:sdt>
  <w:p>
    <w:pPr>
      <w:pStyle w:val="3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M6pebnPAAAABQEA&#10;AA8AAAAAAAAAAQAgAAAAIgAAAGRycy9kb3ducmV2LnhtbFBLAQIUABQAAAAIAIdO4kCsyDgEsQEA&#10;AEgDAAAOAAAAAAAAAAEAIAAAAB4BAABkcnMvZTJvRG9jLnhtbFBLBQYAAAAABgAGAFkBAABBBQAA&#10;AAA=&#10;">
              <v:fill on="f" focussize="0,0"/>
              <v:stroke on="f"/>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57</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UEyylQ4CAAAHBAAADgAAAAAAAAABACAAAAAf&#10;AQAAZHJzL2Uyb0RvYy54bWxQSwUGAAAAAAYABgBZAQAAnwUAAAAA&#10;">
              <v:fill on="f" focussize="0,0"/>
              <v:stroke on="f" weight="0.5pt"/>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fill on="f" focussize="0,0"/>
              <v:stroke on="f" weight="0.5pt"/>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3"/>
                          </w:pP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33"/>
                    </w:pP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114768"/>
    <w:multiLevelType w:val="singleLevel"/>
    <w:tmpl w:val="9E114768"/>
    <w:lvl w:ilvl="0" w:tentative="0">
      <w:start w:val="1"/>
      <w:numFmt w:val="decimal"/>
      <w:pStyle w:val="28"/>
      <w:lvlText w:val="%1."/>
      <w:lvlJc w:val="left"/>
      <w:pPr>
        <w:tabs>
          <w:tab w:val="left" w:pos="2040"/>
        </w:tabs>
        <w:ind w:left="2040" w:hanging="360"/>
      </w:pPr>
    </w:lvl>
  </w:abstractNum>
  <w:abstractNum w:abstractNumId="1">
    <w:nsid w:val="A9FAFD40"/>
    <w:multiLevelType w:val="singleLevel"/>
    <w:tmpl w:val="A9FAFD40"/>
    <w:lvl w:ilvl="0" w:tentative="0">
      <w:start w:val="10"/>
      <w:numFmt w:val="upperLetter"/>
      <w:suff w:val="nothing"/>
      <w:lvlText w:val="%1、"/>
      <w:lvlJc w:val="left"/>
    </w:lvl>
  </w:abstractNum>
  <w:abstractNum w:abstractNumId="2">
    <w:nsid w:val="CF092B84"/>
    <w:multiLevelType w:val="singleLevel"/>
    <w:tmpl w:val="CF092B84"/>
    <w:lvl w:ilvl="0" w:tentative="0">
      <w:start w:val="3"/>
      <w:numFmt w:val="decimal"/>
      <w:suff w:val="nothing"/>
      <w:lvlText w:val="（%1）"/>
      <w:lvlJc w:val="left"/>
    </w:lvl>
  </w:abstractNum>
  <w:abstractNum w:abstractNumId="3">
    <w:nsid w:val="031AF4E5"/>
    <w:multiLevelType w:val="singleLevel"/>
    <w:tmpl w:val="031AF4E5"/>
    <w:lvl w:ilvl="0" w:tentative="0">
      <w:start w:val="9"/>
      <w:numFmt w:val="decimal"/>
      <w:suff w:val="nothing"/>
      <w:lvlText w:val="%1、"/>
      <w:lvlJc w:val="left"/>
    </w:lvl>
  </w:abstractNum>
  <w:abstractNum w:abstractNumId="4">
    <w:nsid w:val="0DCB4B9E"/>
    <w:multiLevelType w:val="multilevel"/>
    <w:tmpl w:val="0DCB4B9E"/>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ZiOGQwMjQ2Y2ZmYjJhYWUyMWRkMzQ2YjE5ODI4YzcifQ=="/>
  </w:docVars>
  <w:rsids>
    <w:rsidRoot w:val="00D84971"/>
    <w:rsid w:val="000007FA"/>
    <w:rsid w:val="00002899"/>
    <w:rsid w:val="00002BC3"/>
    <w:rsid w:val="000033D6"/>
    <w:rsid w:val="00004C61"/>
    <w:rsid w:val="000058E1"/>
    <w:rsid w:val="0000655A"/>
    <w:rsid w:val="00010612"/>
    <w:rsid w:val="00016DC2"/>
    <w:rsid w:val="000173EA"/>
    <w:rsid w:val="00021109"/>
    <w:rsid w:val="00025264"/>
    <w:rsid w:val="0002650B"/>
    <w:rsid w:val="00026A0E"/>
    <w:rsid w:val="00031861"/>
    <w:rsid w:val="00032EFD"/>
    <w:rsid w:val="00034852"/>
    <w:rsid w:val="00034B6A"/>
    <w:rsid w:val="00036009"/>
    <w:rsid w:val="0003717F"/>
    <w:rsid w:val="000374A8"/>
    <w:rsid w:val="000413E5"/>
    <w:rsid w:val="00042B02"/>
    <w:rsid w:val="0004625F"/>
    <w:rsid w:val="00046A2A"/>
    <w:rsid w:val="000539BA"/>
    <w:rsid w:val="000569FA"/>
    <w:rsid w:val="00056BA2"/>
    <w:rsid w:val="00056CBB"/>
    <w:rsid w:val="00060975"/>
    <w:rsid w:val="00061467"/>
    <w:rsid w:val="00062145"/>
    <w:rsid w:val="000624E5"/>
    <w:rsid w:val="00062D93"/>
    <w:rsid w:val="0006344E"/>
    <w:rsid w:val="00065BED"/>
    <w:rsid w:val="00070AA3"/>
    <w:rsid w:val="00071CA1"/>
    <w:rsid w:val="00071D27"/>
    <w:rsid w:val="0007211F"/>
    <w:rsid w:val="000723DE"/>
    <w:rsid w:val="0007583F"/>
    <w:rsid w:val="00075944"/>
    <w:rsid w:val="00076DAE"/>
    <w:rsid w:val="0007742C"/>
    <w:rsid w:val="00080E97"/>
    <w:rsid w:val="0008125D"/>
    <w:rsid w:val="00082120"/>
    <w:rsid w:val="00083539"/>
    <w:rsid w:val="00083FFE"/>
    <w:rsid w:val="000855AA"/>
    <w:rsid w:val="0008676B"/>
    <w:rsid w:val="000A06EF"/>
    <w:rsid w:val="000A0BD9"/>
    <w:rsid w:val="000A1D8B"/>
    <w:rsid w:val="000A4DD2"/>
    <w:rsid w:val="000A57ED"/>
    <w:rsid w:val="000A5DB5"/>
    <w:rsid w:val="000B06B0"/>
    <w:rsid w:val="000B3570"/>
    <w:rsid w:val="000B4351"/>
    <w:rsid w:val="000B5722"/>
    <w:rsid w:val="000C0D82"/>
    <w:rsid w:val="000C18B1"/>
    <w:rsid w:val="000C3093"/>
    <w:rsid w:val="000C6861"/>
    <w:rsid w:val="000D287B"/>
    <w:rsid w:val="000D2D26"/>
    <w:rsid w:val="000D76A4"/>
    <w:rsid w:val="000E2F8C"/>
    <w:rsid w:val="000E312D"/>
    <w:rsid w:val="000E3223"/>
    <w:rsid w:val="000E384E"/>
    <w:rsid w:val="000E457B"/>
    <w:rsid w:val="000E4912"/>
    <w:rsid w:val="000E52F3"/>
    <w:rsid w:val="000F1C41"/>
    <w:rsid w:val="000F301E"/>
    <w:rsid w:val="000F6E35"/>
    <w:rsid w:val="001000B8"/>
    <w:rsid w:val="0010079E"/>
    <w:rsid w:val="00101AE9"/>
    <w:rsid w:val="00106786"/>
    <w:rsid w:val="0011239D"/>
    <w:rsid w:val="00112743"/>
    <w:rsid w:val="0011367D"/>
    <w:rsid w:val="00113804"/>
    <w:rsid w:val="00114FE6"/>
    <w:rsid w:val="00121559"/>
    <w:rsid w:val="0012155E"/>
    <w:rsid w:val="001219FC"/>
    <w:rsid w:val="001229E4"/>
    <w:rsid w:val="00124599"/>
    <w:rsid w:val="0012470A"/>
    <w:rsid w:val="00124F44"/>
    <w:rsid w:val="00125444"/>
    <w:rsid w:val="00125A2D"/>
    <w:rsid w:val="001304AA"/>
    <w:rsid w:val="00132153"/>
    <w:rsid w:val="0013234E"/>
    <w:rsid w:val="00132C27"/>
    <w:rsid w:val="00133E9C"/>
    <w:rsid w:val="00134659"/>
    <w:rsid w:val="00134F17"/>
    <w:rsid w:val="00137ABD"/>
    <w:rsid w:val="00137D0B"/>
    <w:rsid w:val="00137EF3"/>
    <w:rsid w:val="00143AE3"/>
    <w:rsid w:val="00143D0B"/>
    <w:rsid w:val="001443CB"/>
    <w:rsid w:val="0014462C"/>
    <w:rsid w:val="001447B8"/>
    <w:rsid w:val="0014643A"/>
    <w:rsid w:val="001501FC"/>
    <w:rsid w:val="00153344"/>
    <w:rsid w:val="00155F10"/>
    <w:rsid w:val="00157F11"/>
    <w:rsid w:val="00166336"/>
    <w:rsid w:val="0016695D"/>
    <w:rsid w:val="001704F5"/>
    <w:rsid w:val="00171C6B"/>
    <w:rsid w:val="00171F90"/>
    <w:rsid w:val="00172162"/>
    <w:rsid w:val="001728F5"/>
    <w:rsid w:val="00172CE0"/>
    <w:rsid w:val="00173533"/>
    <w:rsid w:val="00175A99"/>
    <w:rsid w:val="00176335"/>
    <w:rsid w:val="00176602"/>
    <w:rsid w:val="00176F13"/>
    <w:rsid w:val="0017731A"/>
    <w:rsid w:val="0018307A"/>
    <w:rsid w:val="00183C16"/>
    <w:rsid w:val="00184864"/>
    <w:rsid w:val="0019125E"/>
    <w:rsid w:val="001915C8"/>
    <w:rsid w:val="00192190"/>
    <w:rsid w:val="00192EF9"/>
    <w:rsid w:val="00194159"/>
    <w:rsid w:val="001971F4"/>
    <w:rsid w:val="001A05AC"/>
    <w:rsid w:val="001A07CB"/>
    <w:rsid w:val="001A1951"/>
    <w:rsid w:val="001A1F7B"/>
    <w:rsid w:val="001A2E99"/>
    <w:rsid w:val="001A45A2"/>
    <w:rsid w:val="001A54FE"/>
    <w:rsid w:val="001A6C87"/>
    <w:rsid w:val="001A7F98"/>
    <w:rsid w:val="001B1ADB"/>
    <w:rsid w:val="001B60B2"/>
    <w:rsid w:val="001B68AD"/>
    <w:rsid w:val="001B7436"/>
    <w:rsid w:val="001C099E"/>
    <w:rsid w:val="001C1EFF"/>
    <w:rsid w:val="001C26E6"/>
    <w:rsid w:val="001C5A4E"/>
    <w:rsid w:val="001C67EC"/>
    <w:rsid w:val="001D4075"/>
    <w:rsid w:val="001D48A9"/>
    <w:rsid w:val="001D6980"/>
    <w:rsid w:val="001E0519"/>
    <w:rsid w:val="001E0FFF"/>
    <w:rsid w:val="001E1BC7"/>
    <w:rsid w:val="001E1E35"/>
    <w:rsid w:val="001E43DA"/>
    <w:rsid w:val="001E693A"/>
    <w:rsid w:val="001E74D4"/>
    <w:rsid w:val="002018EB"/>
    <w:rsid w:val="00203106"/>
    <w:rsid w:val="00206339"/>
    <w:rsid w:val="00206551"/>
    <w:rsid w:val="00207574"/>
    <w:rsid w:val="002077CA"/>
    <w:rsid w:val="00213709"/>
    <w:rsid w:val="00216C34"/>
    <w:rsid w:val="00220105"/>
    <w:rsid w:val="002204CA"/>
    <w:rsid w:val="002205A3"/>
    <w:rsid w:val="002206CB"/>
    <w:rsid w:val="00220F19"/>
    <w:rsid w:val="002211A2"/>
    <w:rsid w:val="002235CA"/>
    <w:rsid w:val="00223661"/>
    <w:rsid w:val="00223ADC"/>
    <w:rsid w:val="00225378"/>
    <w:rsid w:val="002316C2"/>
    <w:rsid w:val="00231D1D"/>
    <w:rsid w:val="00235E3A"/>
    <w:rsid w:val="002376CB"/>
    <w:rsid w:val="00237E46"/>
    <w:rsid w:val="00240D9F"/>
    <w:rsid w:val="002465C4"/>
    <w:rsid w:val="00246B8E"/>
    <w:rsid w:val="00246C56"/>
    <w:rsid w:val="00247B53"/>
    <w:rsid w:val="00250E2A"/>
    <w:rsid w:val="00251E22"/>
    <w:rsid w:val="0025297B"/>
    <w:rsid w:val="002548F8"/>
    <w:rsid w:val="0025563D"/>
    <w:rsid w:val="002560A1"/>
    <w:rsid w:val="00260505"/>
    <w:rsid w:val="0026153C"/>
    <w:rsid w:val="00263A12"/>
    <w:rsid w:val="00263B3C"/>
    <w:rsid w:val="00267C31"/>
    <w:rsid w:val="00267E24"/>
    <w:rsid w:val="00274536"/>
    <w:rsid w:val="00275E8E"/>
    <w:rsid w:val="00281866"/>
    <w:rsid w:val="00290C5F"/>
    <w:rsid w:val="00292CE3"/>
    <w:rsid w:val="00292E5B"/>
    <w:rsid w:val="002955C7"/>
    <w:rsid w:val="00297449"/>
    <w:rsid w:val="002A1B8F"/>
    <w:rsid w:val="002A2672"/>
    <w:rsid w:val="002A330C"/>
    <w:rsid w:val="002A4350"/>
    <w:rsid w:val="002A43C6"/>
    <w:rsid w:val="002B09F4"/>
    <w:rsid w:val="002B195A"/>
    <w:rsid w:val="002B2AA1"/>
    <w:rsid w:val="002B5C2F"/>
    <w:rsid w:val="002C061A"/>
    <w:rsid w:val="002C1B69"/>
    <w:rsid w:val="002C24EF"/>
    <w:rsid w:val="002C283D"/>
    <w:rsid w:val="002C3A89"/>
    <w:rsid w:val="002C64C8"/>
    <w:rsid w:val="002D0B13"/>
    <w:rsid w:val="002D0DD4"/>
    <w:rsid w:val="002D21FF"/>
    <w:rsid w:val="002D2235"/>
    <w:rsid w:val="002E1352"/>
    <w:rsid w:val="002E1F6F"/>
    <w:rsid w:val="002E64E9"/>
    <w:rsid w:val="002E67D4"/>
    <w:rsid w:val="002E7C56"/>
    <w:rsid w:val="002E7C78"/>
    <w:rsid w:val="002F1888"/>
    <w:rsid w:val="002F5671"/>
    <w:rsid w:val="00301910"/>
    <w:rsid w:val="003075C9"/>
    <w:rsid w:val="00307BA5"/>
    <w:rsid w:val="00312B24"/>
    <w:rsid w:val="0031423E"/>
    <w:rsid w:val="00316A4E"/>
    <w:rsid w:val="00317EDD"/>
    <w:rsid w:val="003202D5"/>
    <w:rsid w:val="003215D8"/>
    <w:rsid w:val="00321C5F"/>
    <w:rsid w:val="00332954"/>
    <w:rsid w:val="00332B8A"/>
    <w:rsid w:val="00333FC2"/>
    <w:rsid w:val="003340D0"/>
    <w:rsid w:val="00336C7C"/>
    <w:rsid w:val="00336D6B"/>
    <w:rsid w:val="00344C46"/>
    <w:rsid w:val="0034535B"/>
    <w:rsid w:val="003508C5"/>
    <w:rsid w:val="00350CF3"/>
    <w:rsid w:val="0035257A"/>
    <w:rsid w:val="003546BF"/>
    <w:rsid w:val="00355001"/>
    <w:rsid w:val="00355280"/>
    <w:rsid w:val="00360269"/>
    <w:rsid w:val="003630CB"/>
    <w:rsid w:val="003633D2"/>
    <w:rsid w:val="003638B4"/>
    <w:rsid w:val="003645BA"/>
    <w:rsid w:val="00364F91"/>
    <w:rsid w:val="003706ED"/>
    <w:rsid w:val="00370FD5"/>
    <w:rsid w:val="00372C4B"/>
    <w:rsid w:val="00375C8B"/>
    <w:rsid w:val="0038012E"/>
    <w:rsid w:val="00382A5D"/>
    <w:rsid w:val="00382CF1"/>
    <w:rsid w:val="003837E8"/>
    <w:rsid w:val="003859D2"/>
    <w:rsid w:val="00387CD0"/>
    <w:rsid w:val="00391B35"/>
    <w:rsid w:val="003921A1"/>
    <w:rsid w:val="00393FA8"/>
    <w:rsid w:val="0039480A"/>
    <w:rsid w:val="003963FB"/>
    <w:rsid w:val="003979B8"/>
    <w:rsid w:val="003A04B6"/>
    <w:rsid w:val="003A11A0"/>
    <w:rsid w:val="003A15F9"/>
    <w:rsid w:val="003A1BFB"/>
    <w:rsid w:val="003A5405"/>
    <w:rsid w:val="003A5B54"/>
    <w:rsid w:val="003A6109"/>
    <w:rsid w:val="003A6EFB"/>
    <w:rsid w:val="003B46C6"/>
    <w:rsid w:val="003B4C8F"/>
    <w:rsid w:val="003C36A2"/>
    <w:rsid w:val="003C5A57"/>
    <w:rsid w:val="003C71A7"/>
    <w:rsid w:val="003C7752"/>
    <w:rsid w:val="003D08A4"/>
    <w:rsid w:val="003D0EFE"/>
    <w:rsid w:val="003D12EF"/>
    <w:rsid w:val="003D16EC"/>
    <w:rsid w:val="003D3BFF"/>
    <w:rsid w:val="003D44AD"/>
    <w:rsid w:val="003E2D7A"/>
    <w:rsid w:val="003E3952"/>
    <w:rsid w:val="003E6650"/>
    <w:rsid w:val="003F097A"/>
    <w:rsid w:val="003F0D36"/>
    <w:rsid w:val="003F1B3A"/>
    <w:rsid w:val="003F3D6E"/>
    <w:rsid w:val="003F418E"/>
    <w:rsid w:val="003F50E7"/>
    <w:rsid w:val="003F794D"/>
    <w:rsid w:val="003F7B38"/>
    <w:rsid w:val="0040075A"/>
    <w:rsid w:val="00401A4B"/>
    <w:rsid w:val="00411E74"/>
    <w:rsid w:val="00413891"/>
    <w:rsid w:val="00413F4D"/>
    <w:rsid w:val="00415B37"/>
    <w:rsid w:val="00416DC3"/>
    <w:rsid w:val="00417709"/>
    <w:rsid w:val="004237FC"/>
    <w:rsid w:val="0042593D"/>
    <w:rsid w:val="00426086"/>
    <w:rsid w:val="00426960"/>
    <w:rsid w:val="004372CC"/>
    <w:rsid w:val="00440E27"/>
    <w:rsid w:val="0044378A"/>
    <w:rsid w:val="00444AE0"/>
    <w:rsid w:val="00445935"/>
    <w:rsid w:val="004469AC"/>
    <w:rsid w:val="00446FFE"/>
    <w:rsid w:val="00447839"/>
    <w:rsid w:val="0045196E"/>
    <w:rsid w:val="00453623"/>
    <w:rsid w:val="00455505"/>
    <w:rsid w:val="00457A5F"/>
    <w:rsid w:val="00461304"/>
    <w:rsid w:val="0046315E"/>
    <w:rsid w:val="0046550B"/>
    <w:rsid w:val="0046576B"/>
    <w:rsid w:val="0046785B"/>
    <w:rsid w:val="00467C45"/>
    <w:rsid w:val="004757E0"/>
    <w:rsid w:val="0047594F"/>
    <w:rsid w:val="00476997"/>
    <w:rsid w:val="00477260"/>
    <w:rsid w:val="00477F0C"/>
    <w:rsid w:val="00480004"/>
    <w:rsid w:val="00486061"/>
    <w:rsid w:val="00492768"/>
    <w:rsid w:val="00492F0C"/>
    <w:rsid w:val="00497571"/>
    <w:rsid w:val="00497FA2"/>
    <w:rsid w:val="004A30AA"/>
    <w:rsid w:val="004A598B"/>
    <w:rsid w:val="004B04E5"/>
    <w:rsid w:val="004B1455"/>
    <w:rsid w:val="004B26E3"/>
    <w:rsid w:val="004B707F"/>
    <w:rsid w:val="004B7409"/>
    <w:rsid w:val="004C127A"/>
    <w:rsid w:val="004C50F5"/>
    <w:rsid w:val="004C5286"/>
    <w:rsid w:val="004C5841"/>
    <w:rsid w:val="004D17F6"/>
    <w:rsid w:val="004D1E44"/>
    <w:rsid w:val="004D466D"/>
    <w:rsid w:val="004D468D"/>
    <w:rsid w:val="004D5A2D"/>
    <w:rsid w:val="004D5D8C"/>
    <w:rsid w:val="004D60B3"/>
    <w:rsid w:val="004E748B"/>
    <w:rsid w:val="004F2463"/>
    <w:rsid w:val="004F2EEE"/>
    <w:rsid w:val="004F30EF"/>
    <w:rsid w:val="004F4DBE"/>
    <w:rsid w:val="004F521C"/>
    <w:rsid w:val="004F5D5D"/>
    <w:rsid w:val="004F6642"/>
    <w:rsid w:val="00502786"/>
    <w:rsid w:val="00503901"/>
    <w:rsid w:val="005045F3"/>
    <w:rsid w:val="00506C72"/>
    <w:rsid w:val="005108FC"/>
    <w:rsid w:val="00510C71"/>
    <w:rsid w:val="0051113E"/>
    <w:rsid w:val="00512114"/>
    <w:rsid w:val="005129B3"/>
    <w:rsid w:val="00513602"/>
    <w:rsid w:val="00514C48"/>
    <w:rsid w:val="00515AEE"/>
    <w:rsid w:val="00515F65"/>
    <w:rsid w:val="00517518"/>
    <w:rsid w:val="00522FE3"/>
    <w:rsid w:val="00524708"/>
    <w:rsid w:val="00526BD3"/>
    <w:rsid w:val="00530171"/>
    <w:rsid w:val="005313C6"/>
    <w:rsid w:val="00531747"/>
    <w:rsid w:val="0053321D"/>
    <w:rsid w:val="005338DD"/>
    <w:rsid w:val="00533A4F"/>
    <w:rsid w:val="00534A70"/>
    <w:rsid w:val="005354CD"/>
    <w:rsid w:val="00535EE8"/>
    <w:rsid w:val="005416BB"/>
    <w:rsid w:val="00542D21"/>
    <w:rsid w:val="005436F2"/>
    <w:rsid w:val="0054722B"/>
    <w:rsid w:val="00551172"/>
    <w:rsid w:val="00551C9C"/>
    <w:rsid w:val="005522A8"/>
    <w:rsid w:val="00552EFB"/>
    <w:rsid w:val="005546D6"/>
    <w:rsid w:val="0056271A"/>
    <w:rsid w:val="00562921"/>
    <w:rsid w:val="00562C2D"/>
    <w:rsid w:val="005639EB"/>
    <w:rsid w:val="00564319"/>
    <w:rsid w:val="00564B8A"/>
    <w:rsid w:val="005663AE"/>
    <w:rsid w:val="00566E7F"/>
    <w:rsid w:val="005709B6"/>
    <w:rsid w:val="00571B78"/>
    <w:rsid w:val="00575FBE"/>
    <w:rsid w:val="00576E16"/>
    <w:rsid w:val="0057729A"/>
    <w:rsid w:val="00577A01"/>
    <w:rsid w:val="00577ECA"/>
    <w:rsid w:val="00582211"/>
    <w:rsid w:val="00585FD6"/>
    <w:rsid w:val="00586584"/>
    <w:rsid w:val="00587F79"/>
    <w:rsid w:val="005A017D"/>
    <w:rsid w:val="005A23E5"/>
    <w:rsid w:val="005A3624"/>
    <w:rsid w:val="005A6489"/>
    <w:rsid w:val="005A665E"/>
    <w:rsid w:val="005A6D20"/>
    <w:rsid w:val="005A7502"/>
    <w:rsid w:val="005A77D1"/>
    <w:rsid w:val="005A7D39"/>
    <w:rsid w:val="005B0642"/>
    <w:rsid w:val="005B1AC9"/>
    <w:rsid w:val="005B34C3"/>
    <w:rsid w:val="005B5CF2"/>
    <w:rsid w:val="005B7F29"/>
    <w:rsid w:val="005C07E7"/>
    <w:rsid w:val="005C356B"/>
    <w:rsid w:val="005C7FA2"/>
    <w:rsid w:val="005D33A3"/>
    <w:rsid w:val="005D563F"/>
    <w:rsid w:val="005D6505"/>
    <w:rsid w:val="005D65E1"/>
    <w:rsid w:val="005D693E"/>
    <w:rsid w:val="005D77BC"/>
    <w:rsid w:val="005E06D5"/>
    <w:rsid w:val="005E2D6F"/>
    <w:rsid w:val="005E587A"/>
    <w:rsid w:val="005F0B32"/>
    <w:rsid w:val="005F2C35"/>
    <w:rsid w:val="005F7985"/>
    <w:rsid w:val="005F7DF2"/>
    <w:rsid w:val="005F7E46"/>
    <w:rsid w:val="00600BB2"/>
    <w:rsid w:val="00602F7B"/>
    <w:rsid w:val="00602FF9"/>
    <w:rsid w:val="00603B3E"/>
    <w:rsid w:val="00605C2C"/>
    <w:rsid w:val="00606BE5"/>
    <w:rsid w:val="00607467"/>
    <w:rsid w:val="00607CEA"/>
    <w:rsid w:val="0061250C"/>
    <w:rsid w:val="00612605"/>
    <w:rsid w:val="0061297B"/>
    <w:rsid w:val="00612E18"/>
    <w:rsid w:val="00617183"/>
    <w:rsid w:val="00621A0D"/>
    <w:rsid w:val="00623B61"/>
    <w:rsid w:val="00624DCE"/>
    <w:rsid w:val="00626E0D"/>
    <w:rsid w:val="00627DAD"/>
    <w:rsid w:val="006348A9"/>
    <w:rsid w:val="0064029E"/>
    <w:rsid w:val="00644F66"/>
    <w:rsid w:val="00646A35"/>
    <w:rsid w:val="00646EAC"/>
    <w:rsid w:val="0065007A"/>
    <w:rsid w:val="006501FB"/>
    <w:rsid w:val="0065485E"/>
    <w:rsid w:val="00660814"/>
    <w:rsid w:val="006608B7"/>
    <w:rsid w:val="00660F97"/>
    <w:rsid w:val="00661CD7"/>
    <w:rsid w:val="00665BAD"/>
    <w:rsid w:val="00667FE4"/>
    <w:rsid w:val="0067065D"/>
    <w:rsid w:val="0067426E"/>
    <w:rsid w:val="0067486F"/>
    <w:rsid w:val="00675624"/>
    <w:rsid w:val="0067594F"/>
    <w:rsid w:val="0067771F"/>
    <w:rsid w:val="006810BB"/>
    <w:rsid w:val="00683748"/>
    <w:rsid w:val="0068482D"/>
    <w:rsid w:val="00686D08"/>
    <w:rsid w:val="00686F15"/>
    <w:rsid w:val="00690FE1"/>
    <w:rsid w:val="00696917"/>
    <w:rsid w:val="00696C54"/>
    <w:rsid w:val="00697405"/>
    <w:rsid w:val="0069762B"/>
    <w:rsid w:val="00697A57"/>
    <w:rsid w:val="006A0DFA"/>
    <w:rsid w:val="006A43C7"/>
    <w:rsid w:val="006A72B6"/>
    <w:rsid w:val="006B25B5"/>
    <w:rsid w:val="006B263D"/>
    <w:rsid w:val="006B32F0"/>
    <w:rsid w:val="006B4E1F"/>
    <w:rsid w:val="006B663E"/>
    <w:rsid w:val="006C09B1"/>
    <w:rsid w:val="006C0D36"/>
    <w:rsid w:val="006C12C3"/>
    <w:rsid w:val="006C216D"/>
    <w:rsid w:val="006C3523"/>
    <w:rsid w:val="006C4785"/>
    <w:rsid w:val="006C49EC"/>
    <w:rsid w:val="006C4D57"/>
    <w:rsid w:val="006C5639"/>
    <w:rsid w:val="006C6FBF"/>
    <w:rsid w:val="006D0B82"/>
    <w:rsid w:val="006D1B95"/>
    <w:rsid w:val="006D1EBC"/>
    <w:rsid w:val="006D57E8"/>
    <w:rsid w:val="006D616A"/>
    <w:rsid w:val="006D6798"/>
    <w:rsid w:val="006D7DF0"/>
    <w:rsid w:val="006E0952"/>
    <w:rsid w:val="006E1A0B"/>
    <w:rsid w:val="006E279A"/>
    <w:rsid w:val="006E480B"/>
    <w:rsid w:val="006E6C90"/>
    <w:rsid w:val="006F2ABA"/>
    <w:rsid w:val="006F2BD7"/>
    <w:rsid w:val="006F4642"/>
    <w:rsid w:val="006F4E1D"/>
    <w:rsid w:val="006F57E6"/>
    <w:rsid w:val="00700184"/>
    <w:rsid w:val="007021C0"/>
    <w:rsid w:val="007031C9"/>
    <w:rsid w:val="00705771"/>
    <w:rsid w:val="00710639"/>
    <w:rsid w:val="00712B8D"/>
    <w:rsid w:val="00713304"/>
    <w:rsid w:val="007165AA"/>
    <w:rsid w:val="00716C9C"/>
    <w:rsid w:val="00716DCA"/>
    <w:rsid w:val="00717030"/>
    <w:rsid w:val="00720170"/>
    <w:rsid w:val="0072027A"/>
    <w:rsid w:val="00722DD0"/>
    <w:rsid w:val="00723EF3"/>
    <w:rsid w:val="007251D8"/>
    <w:rsid w:val="007265BF"/>
    <w:rsid w:val="00732B3E"/>
    <w:rsid w:val="007341C7"/>
    <w:rsid w:val="00734B65"/>
    <w:rsid w:val="00734D7C"/>
    <w:rsid w:val="007356C6"/>
    <w:rsid w:val="00735DE3"/>
    <w:rsid w:val="00736B7D"/>
    <w:rsid w:val="00741A10"/>
    <w:rsid w:val="00742FA8"/>
    <w:rsid w:val="00745607"/>
    <w:rsid w:val="00746D46"/>
    <w:rsid w:val="00750999"/>
    <w:rsid w:val="00753CF0"/>
    <w:rsid w:val="007602FF"/>
    <w:rsid w:val="00760B21"/>
    <w:rsid w:val="00760E54"/>
    <w:rsid w:val="0076143C"/>
    <w:rsid w:val="00763FFC"/>
    <w:rsid w:val="0077081E"/>
    <w:rsid w:val="00773652"/>
    <w:rsid w:val="00774FB0"/>
    <w:rsid w:val="007756C4"/>
    <w:rsid w:val="00782FF5"/>
    <w:rsid w:val="007853E8"/>
    <w:rsid w:val="00786344"/>
    <w:rsid w:val="00792686"/>
    <w:rsid w:val="0079400C"/>
    <w:rsid w:val="00794639"/>
    <w:rsid w:val="00797872"/>
    <w:rsid w:val="007A1583"/>
    <w:rsid w:val="007A19DA"/>
    <w:rsid w:val="007A241A"/>
    <w:rsid w:val="007A47F6"/>
    <w:rsid w:val="007A6CB3"/>
    <w:rsid w:val="007A7ABA"/>
    <w:rsid w:val="007B2025"/>
    <w:rsid w:val="007B32D7"/>
    <w:rsid w:val="007B604F"/>
    <w:rsid w:val="007C3910"/>
    <w:rsid w:val="007C60A7"/>
    <w:rsid w:val="007C7168"/>
    <w:rsid w:val="007D6715"/>
    <w:rsid w:val="007E09EA"/>
    <w:rsid w:val="007E3305"/>
    <w:rsid w:val="007E51AA"/>
    <w:rsid w:val="007F0A1D"/>
    <w:rsid w:val="007F17FE"/>
    <w:rsid w:val="007F2581"/>
    <w:rsid w:val="007F51ED"/>
    <w:rsid w:val="007F67AB"/>
    <w:rsid w:val="00801AE4"/>
    <w:rsid w:val="00802780"/>
    <w:rsid w:val="008034ED"/>
    <w:rsid w:val="00804B7F"/>
    <w:rsid w:val="00805984"/>
    <w:rsid w:val="0080617E"/>
    <w:rsid w:val="00811468"/>
    <w:rsid w:val="00812A7E"/>
    <w:rsid w:val="00813A22"/>
    <w:rsid w:val="008164A7"/>
    <w:rsid w:val="008179CE"/>
    <w:rsid w:val="00821D62"/>
    <w:rsid w:val="008234DD"/>
    <w:rsid w:val="00823B7F"/>
    <w:rsid w:val="00823FED"/>
    <w:rsid w:val="00824069"/>
    <w:rsid w:val="00826EA2"/>
    <w:rsid w:val="0082729A"/>
    <w:rsid w:val="0083080A"/>
    <w:rsid w:val="00831E7A"/>
    <w:rsid w:val="00833115"/>
    <w:rsid w:val="00835376"/>
    <w:rsid w:val="0083621C"/>
    <w:rsid w:val="0083704B"/>
    <w:rsid w:val="008437B3"/>
    <w:rsid w:val="00846C95"/>
    <w:rsid w:val="00846DE9"/>
    <w:rsid w:val="008501EB"/>
    <w:rsid w:val="0085050E"/>
    <w:rsid w:val="00850B9E"/>
    <w:rsid w:val="008517AA"/>
    <w:rsid w:val="00851B01"/>
    <w:rsid w:val="00851DCB"/>
    <w:rsid w:val="008565CB"/>
    <w:rsid w:val="0085740D"/>
    <w:rsid w:val="00861BDB"/>
    <w:rsid w:val="00861F6C"/>
    <w:rsid w:val="00863F5D"/>
    <w:rsid w:val="00872AF6"/>
    <w:rsid w:val="008764AE"/>
    <w:rsid w:val="00880665"/>
    <w:rsid w:val="00880CB9"/>
    <w:rsid w:val="00882331"/>
    <w:rsid w:val="0088457B"/>
    <w:rsid w:val="00886D31"/>
    <w:rsid w:val="00887F6B"/>
    <w:rsid w:val="008904E7"/>
    <w:rsid w:val="008972AC"/>
    <w:rsid w:val="00897D1F"/>
    <w:rsid w:val="008A0952"/>
    <w:rsid w:val="008A0D61"/>
    <w:rsid w:val="008A3DB2"/>
    <w:rsid w:val="008A5127"/>
    <w:rsid w:val="008A5568"/>
    <w:rsid w:val="008B0A3A"/>
    <w:rsid w:val="008B11D6"/>
    <w:rsid w:val="008B1FF7"/>
    <w:rsid w:val="008C1DB5"/>
    <w:rsid w:val="008C26A6"/>
    <w:rsid w:val="008C2AA6"/>
    <w:rsid w:val="008C5CD3"/>
    <w:rsid w:val="008C71E1"/>
    <w:rsid w:val="008D094D"/>
    <w:rsid w:val="008D16E3"/>
    <w:rsid w:val="008D56C7"/>
    <w:rsid w:val="008E332C"/>
    <w:rsid w:val="008E4196"/>
    <w:rsid w:val="008E4CF2"/>
    <w:rsid w:val="008E758C"/>
    <w:rsid w:val="008F14BC"/>
    <w:rsid w:val="008F1AAC"/>
    <w:rsid w:val="008F7E77"/>
    <w:rsid w:val="008F7FEE"/>
    <w:rsid w:val="00902B9B"/>
    <w:rsid w:val="00902C8F"/>
    <w:rsid w:val="00905734"/>
    <w:rsid w:val="00906612"/>
    <w:rsid w:val="00914993"/>
    <w:rsid w:val="009162E5"/>
    <w:rsid w:val="00917F4C"/>
    <w:rsid w:val="00921BC6"/>
    <w:rsid w:val="00922B2B"/>
    <w:rsid w:val="00926DD2"/>
    <w:rsid w:val="00927ADF"/>
    <w:rsid w:val="0093578F"/>
    <w:rsid w:val="0093606E"/>
    <w:rsid w:val="00936956"/>
    <w:rsid w:val="00943354"/>
    <w:rsid w:val="009448F2"/>
    <w:rsid w:val="00945D42"/>
    <w:rsid w:val="00946C36"/>
    <w:rsid w:val="00950E37"/>
    <w:rsid w:val="00951117"/>
    <w:rsid w:val="00954503"/>
    <w:rsid w:val="009545F4"/>
    <w:rsid w:val="00955C5A"/>
    <w:rsid w:val="00956B20"/>
    <w:rsid w:val="00956CF3"/>
    <w:rsid w:val="00957B47"/>
    <w:rsid w:val="00957F61"/>
    <w:rsid w:val="00961287"/>
    <w:rsid w:val="009626B4"/>
    <w:rsid w:val="00963104"/>
    <w:rsid w:val="00963598"/>
    <w:rsid w:val="00965B3F"/>
    <w:rsid w:val="009674CE"/>
    <w:rsid w:val="00970AB4"/>
    <w:rsid w:val="00972220"/>
    <w:rsid w:val="0097236C"/>
    <w:rsid w:val="00973466"/>
    <w:rsid w:val="009741CF"/>
    <w:rsid w:val="0097435D"/>
    <w:rsid w:val="009776CE"/>
    <w:rsid w:val="0098061C"/>
    <w:rsid w:val="00982385"/>
    <w:rsid w:val="00982811"/>
    <w:rsid w:val="00982980"/>
    <w:rsid w:val="00984948"/>
    <w:rsid w:val="00991773"/>
    <w:rsid w:val="009929F5"/>
    <w:rsid w:val="00993D2E"/>
    <w:rsid w:val="009979E6"/>
    <w:rsid w:val="00997C6B"/>
    <w:rsid w:val="009A1574"/>
    <w:rsid w:val="009A293E"/>
    <w:rsid w:val="009A5A2E"/>
    <w:rsid w:val="009B0955"/>
    <w:rsid w:val="009B7197"/>
    <w:rsid w:val="009B79C5"/>
    <w:rsid w:val="009B7B3D"/>
    <w:rsid w:val="009C5C0B"/>
    <w:rsid w:val="009C5C9F"/>
    <w:rsid w:val="009D1B98"/>
    <w:rsid w:val="009D4198"/>
    <w:rsid w:val="009E01BB"/>
    <w:rsid w:val="009E12C2"/>
    <w:rsid w:val="009E25AA"/>
    <w:rsid w:val="009E6D06"/>
    <w:rsid w:val="009E7E07"/>
    <w:rsid w:val="009F0E3E"/>
    <w:rsid w:val="009F0E52"/>
    <w:rsid w:val="009F267C"/>
    <w:rsid w:val="009F26C2"/>
    <w:rsid w:val="009F29A8"/>
    <w:rsid w:val="009F2E44"/>
    <w:rsid w:val="009F3D6C"/>
    <w:rsid w:val="009F4748"/>
    <w:rsid w:val="009F4C6E"/>
    <w:rsid w:val="00A00A7E"/>
    <w:rsid w:val="00A01D81"/>
    <w:rsid w:val="00A02B6A"/>
    <w:rsid w:val="00A03E75"/>
    <w:rsid w:val="00A0641B"/>
    <w:rsid w:val="00A065EF"/>
    <w:rsid w:val="00A11795"/>
    <w:rsid w:val="00A11D4F"/>
    <w:rsid w:val="00A12284"/>
    <w:rsid w:val="00A1326C"/>
    <w:rsid w:val="00A2285A"/>
    <w:rsid w:val="00A22B1A"/>
    <w:rsid w:val="00A246B4"/>
    <w:rsid w:val="00A2496E"/>
    <w:rsid w:val="00A24E80"/>
    <w:rsid w:val="00A271C6"/>
    <w:rsid w:val="00A302EF"/>
    <w:rsid w:val="00A31291"/>
    <w:rsid w:val="00A34058"/>
    <w:rsid w:val="00A36C6C"/>
    <w:rsid w:val="00A37897"/>
    <w:rsid w:val="00A40112"/>
    <w:rsid w:val="00A41892"/>
    <w:rsid w:val="00A41EB8"/>
    <w:rsid w:val="00A42129"/>
    <w:rsid w:val="00A42231"/>
    <w:rsid w:val="00A43EF1"/>
    <w:rsid w:val="00A4495F"/>
    <w:rsid w:val="00A478E8"/>
    <w:rsid w:val="00A507BB"/>
    <w:rsid w:val="00A534B3"/>
    <w:rsid w:val="00A534C4"/>
    <w:rsid w:val="00A57792"/>
    <w:rsid w:val="00A640BA"/>
    <w:rsid w:val="00A65EF4"/>
    <w:rsid w:val="00A6669D"/>
    <w:rsid w:val="00A6747B"/>
    <w:rsid w:val="00A71243"/>
    <w:rsid w:val="00A720C4"/>
    <w:rsid w:val="00A74C77"/>
    <w:rsid w:val="00A76218"/>
    <w:rsid w:val="00A81B3D"/>
    <w:rsid w:val="00A81DA6"/>
    <w:rsid w:val="00A84355"/>
    <w:rsid w:val="00A84EA1"/>
    <w:rsid w:val="00A85DAE"/>
    <w:rsid w:val="00A8688F"/>
    <w:rsid w:val="00A904F8"/>
    <w:rsid w:val="00A9065E"/>
    <w:rsid w:val="00A9123B"/>
    <w:rsid w:val="00A92088"/>
    <w:rsid w:val="00A95443"/>
    <w:rsid w:val="00A96B69"/>
    <w:rsid w:val="00AA0330"/>
    <w:rsid w:val="00AA24C4"/>
    <w:rsid w:val="00AA469F"/>
    <w:rsid w:val="00AA7952"/>
    <w:rsid w:val="00AB267F"/>
    <w:rsid w:val="00AB31F6"/>
    <w:rsid w:val="00AB7368"/>
    <w:rsid w:val="00AC0533"/>
    <w:rsid w:val="00AC3F2D"/>
    <w:rsid w:val="00AC4322"/>
    <w:rsid w:val="00AC5131"/>
    <w:rsid w:val="00AC6854"/>
    <w:rsid w:val="00AC6EE6"/>
    <w:rsid w:val="00AC7FA3"/>
    <w:rsid w:val="00AD0A51"/>
    <w:rsid w:val="00AD35D5"/>
    <w:rsid w:val="00AD59E2"/>
    <w:rsid w:val="00AD6744"/>
    <w:rsid w:val="00AD6E72"/>
    <w:rsid w:val="00AE330D"/>
    <w:rsid w:val="00AE34F0"/>
    <w:rsid w:val="00AF044F"/>
    <w:rsid w:val="00AF1FA1"/>
    <w:rsid w:val="00AF2456"/>
    <w:rsid w:val="00AF3622"/>
    <w:rsid w:val="00AF4447"/>
    <w:rsid w:val="00AF49F6"/>
    <w:rsid w:val="00AF6D07"/>
    <w:rsid w:val="00AF7D04"/>
    <w:rsid w:val="00AF7F40"/>
    <w:rsid w:val="00B00A17"/>
    <w:rsid w:val="00B0240C"/>
    <w:rsid w:val="00B02D0C"/>
    <w:rsid w:val="00B066F2"/>
    <w:rsid w:val="00B10179"/>
    <w:rsid w:val="00B117F7"/>
    <w:rsid w:val="00B15C07"/>
    <w:rsid w:val="00B17A5D"/>
    <w:rsid w:val="00B23CDE"/>
    <w:rsid w:val="00B23E47"/>
    <w:rsid w:val="00B24EED"/>
    <w:rsid w:val="00B255D0"/>
    <w:rsid w:val="00B26285"/>
    <w:rsid w:val="00B308FF"/>
    <w:rsid w:val="00B322C2"/>
    <w:rsid w:val="00B32AD8"/>
    <w:rsid w:val="00B36102"/>
    <w:rsid w:val="00B375EC"/>
    <w:rsid w:val="00B41726"/>
    <w:rsid w:val="00B42D60"/>
    <w:rsid w:val="00B42FE6"/>
    <w:rsid w:val="00B454D7"/>
    <w:rsid w:val="00B45889"/>
    <w:rsid w:val="00B45DCB"/>
    <w:rsid w:val="00B47330"/>
    <w:rsid w:val="00B5255C"/>
    <w:rsid w:val="00B5309F"/>
    <w:rsid w:val="00B54DF8"/>
    <w:rsid w:val="00B55A73"/>
    <w:rsid w:val="00B61AF0"/>
    <w:rsid w:val="00B62708"/>
    <w:rsid w:val="00B63884"/>
    <w:rsid w:val="00B70665"/>
    <w:rsid w:val="00B71705"/>
    <w:rsid w:val="00B71922"/>
    <w:rsid w:val="00B7379C"/>
    <w:rsid w:val="00B7423D"/>
    <w:rsid w:val="00B7473D"/>
    <w:rsid w:val="00B748C2"/>
    <w:rsid w:val="00B7528E"/>
    <w:rsid w:val="00B765A0"/>
    <w:rsid w:val="00B77F38"/>
    <w:rsid w:val="00B80520"/>
    <w:rsid w:val="00B853F5"/>
    <w:rsid w:val="00B86AA1"/>
    <w:rsid w:val="00B86EF4"/>
    <w:rsid w:val="00B87D14"/>
    <w:rsid w:val="00B93C51"/>
    <w:rsid w:val="00B9408B"/>
    <w:rsid w:val="00BA295E"/>
    <w:rsid w:val="00BA42C0"/>
    <w:rsid w:val="00BA4F09"/>
    <w:rsid w:val="00BA6436"/>
    <w:rsid w:val="00BB1027"/>
    <w:rsid w:val="00BB21FF"/>
    <w:rsid w:val="00BB3B7C"/>
    <w:rsid w:val="00BB4CD6"/>
    <w:rsid w:val="00BC0EF9"/>
    <w:rsid w:val="00BC57CD"/>
    <w:rsid w:val="00BC6C8A"/>
    <w:rsid w:val="00BC7CC3"/>
    <w:rsid w:val="00BD2789"/>
    <w:rsid w:val="00BD31F8"/>
    <w:rsid w:val="00BD4E0A"/>
    <w:rsid w:val="00BD7280"/>
    <w:rsid w:val="00BE13BF"/>
    <w:rsid w:val="00BE1EBE"/>
    <w:rsid w:val="00BE2FDF"/>
    <w:rsid w:val="00BE454A"/>
    <w:rsid w:val="00BE4E43"/>
    <w:rsid w:val="00BE5178"/>
    <w:rsid w:val="00BF795B"/>
    <w:rsid w:val="00C04E9C"/>
    <w:rsid w:val="00C10D18"/>
    <w:rsid w:val="00C2487E"/>
    <w:rsid w:val="00C26E94"/>
    <w:rsid w:val="00C306F3"/>
    <w:rsid w:val="00C3167B"/>
    <w:rsid w:val="00C327B4"/>
    <w:rsid w:val="00C34BC8"/>
    <w:rsid w:val="00C37302"/>
    <w:rsid w:val="00C4368E"/>
    <w:rsid w:val="00C4427A"/>
    <w:rsid w:val="00C4434F"/>
    <w:rsid w:val="00C4465F"/>
    <w:rsid w:val="00C4531E"/>
    <w:rsid w:val="00C45DAC"/>
    <w:rsid w:val="00C50628"/>
    <w:rsid w:val="00C51A60"/>
    <w:rsid w:val="00C52972"/>
    <w:rsid w:val="00C53D07"/>
    <w:rsid w:val="00C54FF4"/>
    <w:rsid w:val="00C60193"/>
    <w:rsid w:val="00C60C5E"/>
    <w:rsid w:val="00C6299E"/>
    <w:rsid w:val="00C62EE0"/>
    <w:rsid w:val="00C66750"/>
    <w:rsid w:val="00C66782"/>
    <w:rsid w:val="00C66D9E"/>
    <w:rsid w:val="00C67192"/>
    <w:rsid w:val="00C70BB5"/>
    <w:rsid w:val="00C713B1"/>
    <w:rsid w:val="00C71870"/>
    <w:rsid w:val="00C71925"/>
    <w:rsid w:val="00C7267C"/>
    <w:rsid w:val="00C7481E"/>
    <w:rsid w:val="00C768CB"/>
    <w:rsid w:val="00C76A60"/>
    <w:rsid w:val="00C77C1A"/>
    <w:rsid w:val="00C86A03"/>
    <w:rsid w:val="00C91A68"/>
    <w:rsid w:val="00C964BD"/>
    <w:rsid w:val="00C97752"/>
    <w:rsid w:val="00CA121A"/>
    <w:rsid w:val="00CA1649"/>
    <w:rsid w:val="00CA3CCE"/>
    <w:rsid w:val="00CA469D"/>
    <w:rsid w:val="00CA47ED"/>
    <w:rsid w:val="00CA5A86"/>
    <w:rsid w:val="00CA6688"/>
    <w:rsid w:val="00CA71C3"/>
    <w:rsid w:val="00CB68BB"/>
    <w:rsid w:val="00CB7F59"/>
    <w:rsid w:val="00CC398C"/>
    <w:rsid w:val="00CC47CF"/>
    <w:rsid w:val="00CC4DBF"/>
    <w:rsid w:val="00CC574B"/>
    <w:rsid w:val="00CC7B98"/>
    <w:rsid w:val="00CD03B1"/>
    <w:rsid w:val="00CD1B9A"/>
    <w:rsid w:val="00CD2744"/>
    <w:rsid w:val="00CD2CCF"/>
    <w:rsid w:val="00CD5815"/>
    <w:rsid w:val="00CD5FC0"/>
    <w:rsid w:val="00CE00A2"/>
    <w:rsid w:val="00CE44B6"/>
    <w:rsid w:val="00CE6CC5"/>
    <w:rsid w:val="00CE6EEB"/>
    <w:rsid w:val="00CE7AD6"/>
    <w:rsid w:val="00CF3901"/>
    <w:rsid w:val="00CF67DA"/>
    <w:rsid w:val="00CF6C1B"/>
    <w:rsid w:val="00D00D0B"/>
    <w:rsid w:val="00D021CD"/>
    <w:rsid w:val="00D02A8E"/>
    <w:rsid w:val="00D03DB1"/>
    <w:rsid w:val="00D075B1"/>
    <w:rsid w:val="00D07600"/>
    <w:rsid w:val="00D1059D"/>
    <w:rsid w:val="00D11570"/>
    <w:rsid w:val="00D178C2"/>
    <w:rsid w:val="00D220D4"/>
    <w:rsid w:val="00D27356"/>
    <w:rsid w:val="00D27D63"/>
    <w:rsid w:val="00D30CD1"/>
    <w:rsid w:val="00D30FC1"/>
    <w:rsid w:val="00D33B37"/>
    <w:rsid w:val="00D34CE6"/>
    <w:rsid w:val="00D403AB"/>
    <w:rsid w:val="00D40FF2"/>
    <w:rsid w:val="00D41514"/>
    <w:rsid w:val="00D420C9"/>
    <w:rsid w:val="00D42155"/>
    <w:rsid w:val="00D44F67"/>
    <w:rsid w:val="00D44F8E"/>
    <w:rsid w:val="00D46081"/>
    <w:rsid w:val="00D46094"/>
    <w:rsid w:val="00D4628D"/>
    <w:rsid w:val="00D47EE3"/>
    <w:rsid w:val="00D55BE4"/>
    <w:rsid w:val="00D5649F"/>
    <w:rsid w:val="00D569AA"/>
    <w:rsid w:val="00D64192"/>
    <w:rsid w:val="00D664CA"/>
    <w:rsid w:val="00D73AAD"/>
    <w:rsid w:val="00D74BD1"/>
    <w:rsid w:val="00D77648"/>
    <w:rsid w:val="00D8027F"/>
    <w:rsid w:val="00D80C05"/>
    <w:rsid w:val="00D82457"/>
    <w:rsid w:val="00D82953"/>
    <w:rsid w:val="00D84221"/>
    <w:rsid w:val="00D84337"/>
    <w:rsid w:val="00D8493C"/>
    <w:rsid w:val="00D84971"/>
    <w:rsid w:val="00D86506"/>
    <w:rsid w:val="00D87FB6"/>
    <w:rsid w:val="00D91381"/>
    <w:rsid w:val="00D914DB"/>
    <w:rsid w:val="00D925AF"/>
    <w:rsid w:val="00D937DB"/>
    <w:rsid w:val="00D94AEA"/>
    <w:rsid w:val="00D95817"/>
    <w:rsid w:val="00DA0559"/>
    <w:rsid w:val="00DA2E68"/>
    <w:rsid w:val="00DB2131"/>
    <w:rsid w:val="00DB264D"/>
    <w:rsid w:val="00DB4C00"/>
    <w:rsid w:val="00DB6BB3"/>
    <w:rsid w:val="00DC08F6"/>
    <w:rsid w:val="00DC2527"/>
    <w:rsid w:val="00DC44A7"/>
    <w:rsid w:val="00DC4FAA"/>
    <w:rsid w:val="00DC7012"/>
    <w:rsid w:val="00DD265A"/>
    <w:rsid w:val="00DD3C19"/>
    <w:rsid w:val="00DD598B"/>
    <w:rsid w:val="00DD700E"/>
    <w:rsid w:val="00DE01A7"/>
    <w:rsid w:val="00DE092D"/>
    <w:rsid w:val="00DE202B"/>
    <w:rsid w:val="00DE3B7F"/>
    <w:rsid w:val="00DE5EEB"/>
    <w:rsid w:val="00DF1D9C"/>
    <w:rsid w:val="00DF38D0"/>
    <w:rsid w:val="00DF3C3F"/>
    <w:rsid w:val="00DF480E"/>
    <w:rsid w:val="00DF49D5"/>
    <w:rsid w:val="00DF541C"/>
    <w:rsid w:val="00DF5535"/>
    <w:rsid w:val="00DF7794"/>
    <w:rsid w:val="00E025D1"/>
    <w:rsid w:val="00E039A8"/>
    <w:rsid w:val="00E11451"/>
    <w:rsid w:val="00E12C27"/>
    <w:rsid w:val="00E13D2C"/>
    <w:rsid w:val="00E142C6"/>
    <w:rsid w:val="00E1601B"/>
    <w:rsid w:val="00E2391E"/>
    <w:rsid w:val="00E24B2E"/>
    <w:rsid w:val="00E25A0B"/>
    <w:rsid w:val="00E2611A"/>
    <w:rsid w:val="00E26352"/>
    <w:rsid w:val="00E26CF7"/>
    <w:rsid w:val="00E2740E"/>
    <w:rsid w:val="00E27B85"/>
    <w:rsid w:val="00E3198C"/>
    <w:rsid w:val="00E32560"/>
    <w:rsid w:val="00E32633"/>
    <w:rsid w:val="00E32DB3"/>
    <w:rsid w:val="00E33B81"/>
    <w:rsid w:val="00E40487"/>
    <w:rsid w:val="00E40EE3"/>
    <w:rsid w:val="00E43EDB"/>
    <w:rsid w:val="00E45699"/>
    <w:rsid w:val="00E45912"/>
    <w:rsid w:val="00E46273"/>
    <w:rsid w:val="00E5056B"/>
    <w:rsid w:val="00E5185E"/>
    <w:rsid w:val="00E51BDF"/>
    <w:rsid w:val="00E52097"/>
    <w:rsid w:val="00E524B3"/>
    <w:rsid w:val="00E530BC"/>
    <w:rsid w:val="00E532FD"/>
    <w:rsid w:val="00E534DC"/>
    <w:rsid w:val="00E55157"/>
    <w:rsid w:val="00E5518B"/>
    <w:rsid w:val="00E55E58"/>
    <w:rsid w:val="00E5795B"/>
    <w:rsid w:val="00E63362"/>
    <w:rsid w:val="00E640C8"/>
    <w:rsid w:val="00E71D95"/>
    <w:rsid w:val="00E7448A"/>
    <w:rsid w:val="00E74689"/>
    <w:rsid w:val="00E75B31"/>
    <w:rsid w:val="00E802C9"/>
    <w:rsid w:val="00E808C7"/>
    <w:rsid w:val="00E81010"/>
    <w:rsid w:val="00E82B27"/>
    <w:rsid w:val="00E83EC0"/>
    <w:rsid w:val="00E84A8D"/>
    <w:rsid w:val="00E8680A"/>
    <w:rsid w:val="00E86C0E"/>
    <w:rsid w:val="00E87273"/>
    <w:rsid w:val="00E91347"/>
    <w:rsid w:val="00E91E7C"/>
    <w:rsid w:val="00E92EDC"/>
    <w:rsid w:val="00E944B9"/>
    <w:rsid w:val="00E95AD5"/>
    <w:rsid w:val="00E97E14"/>
    <w:rsid w:val="00EA1843"/>
    <w:rsid w:val="00EA39EF"/>
    <w:rsid w:val="00EA4EA2"/>
    <w:rsid w:val="00EA542D"/>
    <w:rsid w:val="00EA58BF"/>
    <w:rsid w:val="00EA65C0"/>
    <w:rsid w:val="00EB617C"/>
    <w:rsid w:val="00EB6373"/>
    <w:rsid w:val="00EB72D1"/>
    <w:rsid w:val="00EC05D7"/>
    <w:rsid w:val="00EC3216"/>
    <w:rsid w:val="00EC3984"/>
    <w:rsid w:val="00EC4ADB"/>
    <w:rsid w:val="00EC4E55"/>
    <w:rsid w:val="00EC637B"/>
    <w:rsid w:val="00EC663D"/>
    <w:rsid w:val="00EC6A07"/>
    <w:rsid w:val="00ED1A54"/>
    <w:rsid w:val="00ED4FC9"/>
    <w:rsid w:val="00ED51BD"/>
    <w:rsid w:val="00ED712F"/>
    <w:rsid w:val="00EE3410"/>
    <w:rsid w:val="00EE5DDD"/>
    <w:rsid w:val="00EE5E5E"/>
    <w:rsid w:val="00EE7FBD"/>
    <w:rsid w:val="00EF0A32"/>
    <w:rsid w:val="00EF1A0E"/>
    <w:rsid w:val="00EF2053"/>
    <w:rsid w:val="00EF32AB"/>
    <w:rsid w:val="00EF5761"/>
    <w:rsid w:val="00F0436D"/>
    <w:rsid w:val="00F04679"/>
    <w:rsid w:val="00F1085E"/>
    <w:rsid w:val="00F1085F"/>
    <w:rsid w:val="00F15D28"/>
    <w:rsid w:val="00F15FDA"/>
    <w:rsid w:val="00F20D9A"/>
    <w:rsid w:val="00F216BB"/>
    <w:rsid w:val="00F21D2C"/>
    <w:rsid w:val="00F2611D"/>
    <w:rsid w:val="00F27CBF"/>
    <w:rsid w:val="00F27FC4"/>
    <w:rsid w:val="00F323CB"/>
    <w:rsid w:val="00F35D0F"/>
    <w:rsid w:val="00F360DC"/>
    <w:rsid w:val="00F40E6F"/>
    <w:rsid w:val="00F4318D"/>
    <w:rsid w:val="00F466B0"/>
    <w:rsid w:val="00F46ABF"/>
    <w:rsid w:val="00F46C9B"/>
    <w:rsid w:val="00F51E9D"/>
    <w:rsid w:val="00F53B5E"/>
    <w:rsid w:val="00F53C91"/>
    <w:rsid w:val="00F5488B"/>
    <w:rsid w:val="00F55035"/>
    <w:rsid w:val="00F551A0"/>
    <w:rsid w:val="00F566E7"/>
    <w:rsid w:val="00F6311F"/>
    <w:rsid w:val="00F6314C"/>
    <w:rsid w:val="00F632B7"/>
    <w:rsid w:val="00F63B1D"/>
    <w:rsid w:val="00F668D0"/>
    <w:rsid w:val="00F679B0"/>
    <w:rsid w:val="00F705DA"/>
    <w:rsid w:val="00F70B8B"/>
    <w:rsid w:val="00F7202C"/>
    <w:rsid w:val="00F7227E"/>
    <w:rsid w:val="00F744B3"/>
    <w:rsid w:val="00F76F9B"/>
    <w:rsid w:val="00F77F8E"/>
    <w:rsid w:val="00F83414"/>
    <w:rsid w:val="00F8452B"/>
    <w:rsid w:val="00F87753"/>
    <w:rsid w:val="00F90288"/>
    <w:rsid w:val="00F90C30"/>
    <w:rsid w:val="00F9221C"/>
    <w:rsid w:val="00F950F3"/>
    <w:rsid w:val="00F975DC"/>
    <w:rsid w:val="00FA0547"/>
    <w:rsid w:val="00FA62A8"/>
    <w:rsid w:val="00FA73FF"/>
    <w:rsid w:val="00FB14DF"/>
    <w:rsid w:val="00FB44A5"/>
    <w:rsid w:val="00FB6409"/>
    <w:rsid w:val="00FB7F46"/>
    <w:rsid w:val="00FC1472"/>
    <w:rsid w:val="00FC33D8"/>
    <w:rsid w:val="00FC3E17"/>
    <w:rsid w:val="00FC529B"/>
    <w:rsid w:val="00FC6876"/>
    <w:rsid w:val="00FC6C1B"/>
    <w:rsid w:val="00FD0FA5"/>
    <w:rsid w:val="00FD1AA4"/>
    <w:rsid w:val="00FD3C48"/>
    <w:rsid w:val="00FE0253"/>
    <w:rsid w:val="00FE0B99"/>
    <w:rsid w:val="00FE1103"/>
    <w:rsid w:val="00FE20F5"/>
    <w:rsid w:val="00FE37B5"/>
    <w:rsid w:val="00FE4952"/>
    <w:rsid w:val="00FE5DE6"/>
    <w:rsid w:val="00FF3A0D"/>
    <w:rsid w:val="00FF3E82"/>
    <w:rsid w:val="00FF4403"/>
    <w:rsid w:val="00FF4F10"/>
    <w:rsid w:val="00FF65B1"/>
    <w:rsid w:val="00FF7284"/>
    <w:rsid w:val="00FF76AB"/>
    <w:rsid w:val="010004D8"/>
    <w:rsid w:val="01043B32"/>
    <w:rsid w:val="010D638D"/>
    <w:rsid w:val="012156F6"/>
    <w:rsid w:val="01236027"/>
    <w:rsid w:val="0124019C"/>
    <w:rsid w:val="012936E1"/>
    <w:rsid w:val="0129514E"/>
    <w:rsid w:val="01417BC6"/>
    <w:rsid w:val="014557C2"/>
    <w:rsid w:val="01527F6D"/>
    <w:rsid w:val="01536654"/>
    <w:rsid w:val="01574674"/>
    <w:rsid w:val="015974C0"/>
    <w:rsid w:val="016C2D4F"/>
    <w:rsid w:val="016C736A"/>
    <w:rsid w:val="016D1119"/>
    <w:rsid w:val="01702938"/>
    <w:rsid w:val="01714809"/>
    <w:rsid w:val="01722F8A"/>
    <w:rsid w:val="017716F4"/>
    <w:rsid w:val="017E6F26"/>
    <w:rsid w:val="018D0F17"/>
    <w:rsid w:val="019079D6"/>
    <w:rsid w:val="0191448A"/>
    <w:rsid w:val="01973B44"/>
    <w:rsid w:val="019B18A4"/>
    <w:rsid w:val="01A17906"/>
    <w:rsid w:val="01AF0051"/>
    <w:rsid w:val="01B14C06"/>
    <w:rsid w:val="01B600B2"/>
    <w:rsid w:val="01BF5575"/>
    <w:rsid w:val="01C25065"/>
    <w:rsid w:val="01C71528"/>
    <w:rsid w:val="01CA7B10"/>
    <w:rsid w:val="01D56049"/>
    <w:rsid w:val="01DA78AD"/>
    <w:rsid w:val="01DF74E5"/>
    <w:rsid w:val="01E23011"/>
    <w:rsid w:val="01F33470"/>
    <w:rsid w:val="01F77F95"/>
    <w:rsid w:val="01F84CBA"/>
    <w:rsid w:val="01FD292A"/>
    <w:rsid w:val="01FF3992"/>
    <w:rsid w:val="02097C9F"/>
    <w:rsid w:val="0214696D"/>
    <w:rsid w:val="021F6013"/>
    <w:rsid w:val="021F6ED0"/>
    <w:rsid w:val="022321D8"/>
    <w:rsid w:val="0228592A"/>
    <w:rsid w:val="022C6982"/>
    <w:rsid w:val="022F2EB6"/>
    <w:rsid w:val="02353A89"/>
    <w:rsid w:val="02397736"/>
    <w:rsid w:val="02443BA0"/>
    <w:rsid w:val="02477318"/>
    <w:rsid w:val="02535CBD"/>
    <w:rsid w:val="025E1380"/>
    <w:rsid w:val="02615838"/>
    <w:rsid w:val="02832A46"/>
    <w:rsid w:val="0284056C"/>
    <w:rsid w:val="028479E4"/>
    <w:rsid w:val="0285238F"/>
    <w:rsid w:val="02855913"/>
    <w:rsid w:val="028611DC"/>
    <w:rsid w:val="02885E91"/>
    <w:rsid w:val="02A824AD"/>
    <w:rsid w:val="02A90A99"/>
    <w:rsid w:val="02AB3D4B"/>
    <w:rsid w:val="02B349AE"/>
    <w:rsid w:val="02BD239A"/>
    <w:rsid w:val="02BF3353"/>
    <w:rsid w:val="02D20C22"/>
    <w:rsid w:val="02D228D7"/>
    <w:rsid w:val="02D35A5F"/>
    <w:rsid w:val="02D908B8"/>
    <w:rsid w:val="02DE5ECF"/>
    <w:rsid w:val="02E6641C"/>
    <w:rsid w:val="02F861E9"/>
    <w:rsid w:val="03043BFF"/>
    <w:rsid w:val="030B2A3C"/>
    <w:rsid w:val="031231B7"/>
    <w:rsid w:val="03247659"/>
    <w:rsid w:val="032633D2"/>
    <w:rsid w:val="03312740"/>
    <w:rsid w:val="033755DF"/>
    <w:rsid w:val="0341020B"/>
    <w:rsid w:val="03443858"/>
    <w:rsid w:val="034710C4"/>
    <w:rsid w:val="034B6ACA"/>
    <w:rsid w:val="03541CB3"/>
    <w:rsid w:val="035B6753"/>
    <w:rsid w:val="03630182"/>
    <w:rsid w:val="036B01E2"/>
    <w:rsid w:val="03863E70"/>
    <w:rsid w:val="039667A9"/>
    <w:rsid w:val="03986ED0"/>
    <w:rsid w:val="039B3C80"/>
    <w:rsid w:val="039C5892"/>
    <w:rsid w:val="039E5AB8"/>
    <w:rsid w:val="03A31381"/>
    <w:rsid w:val="03A762C0"/>
    <w:rsid w:val="03B17155"/>
    <w:rsid w:val="03CD6E74"/>
    <w:rsid w:val="03DB41BC"/>
    <w:rsid w:val="03EA43FF"/>
    <w:rsid w:val="03EF5EB9"/>
    <w:rsid w:val="03F15A08"/>
    <w:rsid w:val="03F54594"/>
    <w:rsid w:val="041252DC"/>
    <w:rsid w:val="041A1188"/>
    <w:rsid w:val="041D47D5"/>
    <w:rsid w:val="04231EC9"/>
    <w:rsid w:val="04253689"/>
    <w:rsid w:val="04330723"/>
    <w:rsid w:val="04375340"/>
    <w:rsid w:val="043833BC"/>
    <w:rsid w:val="043A49EA"/>
    <w:rsid w:val="043E1ABD"/>
    <w:rsid w:val="043F299D"/>
    <w:rsid w:val="04486FCD"/>
    <w:rsid w:val="045969C3"/>
    <w:rsid w:val="045A3333"/>
    <w:rsid w:val="04610B65"/>
    <w:rsid w:val="04644636"/>
    <w:rsid w:val="0466617C"/>
    <w:rsid w:val="04740333"/>
    <w:rsid w:val="04A25A7E"/>
    <w:rsid w:val="04A70542"/>
    <w:rsid w:val="04A722F0"/>
    <w:rsid w:val="04AA52C1"/>
    <w:rsid w:val="04AF10CE"/>
    <w:rsid w:val="04AF17E6"/>
    <w:rsid w:val="04C53AEB"/>
    <w:rsid w:val="04CA3852"/>
    <w:rsid w:val="04CE1F73"/>
    <w:rsid w:val="04D85FC6"/>
    <w:rsid w:val="04DD445F"/>
    <w:rsid w:val="04DE107D"/>
    <w:rsid w:val="04E71358"/>
    <w:rsid w:val="04E86267"/>
    <w:rsid w:val="04F01EE9"/>
    <w:rsid w:val="04FA33EB"/>
    <w:rsid w:val="05055CAF"/>
    <w:rsid w:val="050634BB"/>
    <w:rsid w:val="05144FBF"/>
    <w:rsid w:val="05191ABB"/>
    <w:rsid w:val="052039A3"/>
    <w:rsid w:val="0526590B"/>
    <w:rsid w:val="053578FC"/>
    <w:rsid w:val="05450701"/>
    <w:rsid w:val="054A3866"/>
    <w:rsid w:val="05552087"/>
    <w:rsid w:val="055A5B75"/>
    <w:rsid w:val="055F73D2"/>
    <w:rsid w:val="05616943"/>
    <w:rsid w:val="056326BB"/>
    <w:rsid w:val="056A3A4A"/>
    <w:rsid w:val="05726FD5"/>
    <w:rsid w:val="05746676"/>
    <w:rsid w:val="05816FE5"/>
    <w:rsid w:val="05882122"/>
    <w:rsid w:val="059048DB"/>
    <w:rsid w:val="059134FD"/>
    <w:rsid w:val="05A1201D"/>
    <w:rsid w:val="05A724C5"/>
    <w:rsid w:val="05B2719F"/>
    <w:rsid w:val="05BB4902"/>
    <w:rsid w:val="05BC0914"/>
    <w:rsid w:val="05CF1E76"/>
    <w:rsid w:val="05D67331"/>
    <w:rsid w:val="05DB29CE"/>
    <w:rsid w:val="05F67D64"/>
    <w:rsid w:val="05F72E03"/>
    <w:rsid w:val="05FB2263"/>
    <w:rsid w:val="06045E4E"/>
    <w:rsid w:val="06147E59"/>
    <w:rsid w:val="061614DB"/>
    <w:rsid w:val="061E4079"/>
    <w:rsid w:val="06233497"/>
    <w:rsid w:val="062668D5"/>
    <w:rsid w:val="062956B3"/>
    <w:rsid w:val="06366AAC"/>
    <w:rsid w:val="063876A4"/>
    <w:rsid w:val="06442C20"/>
    <w:rsid w:val="06473D8B"/>
    <w:rsid w:val="06563FCE"/>
    <w:rsid w:val="06693D01"/>
    <w:rsid w:val="066C1A43"/>
    <w:rsid w:val="066E30C6"/>
    <w:rsid w:val="067E2450"/>
    <w:rsid w:val="067F4A0F"/>
    <w:rsid w:val="0680104B"/>
    <w:rsid w:val="068B6787"/>
    <w:rsid w:val="069A1E13"/>
    <w:rsid w:val="069B7DAE"/>
    <w:rsid w:val="06A6574B"/>
    <w:rsid w:val="06AB60C8"/>
    <w:rsid w:val="06AF04B5"/>
    <w:rsid w:val="06C71910"/>
    <w:rsid w:val="06CA31C5"/>
    <w:rsid w:val="06CB676A"/>
    <w:rsid w:val="06D03D80"/>
    <w:rsid w:val="06D118A6"/>
    <w:rsid w:val="06D40A9E"/>
    <w:rsid w:val="06D56613"/>
    <w:rsid w:val="06E31D05"/>
    <w:rsid w:val="06F07F7E"/>
    <w:rsid w:val="06FA0DFD"/>
    <w:rsid w:val="06FD08ED"/>
    <w:rsid w:val="071C6FC5"/>
    <w:rsid w:val="071E0F8F"/>
    <w:rsid w:val="071E355E"/>
    <w:rsid w:val="0721638A"/>
    <w:rsid w:val="07272090"/>
    <w:rsid w:val="07321327"/>
    <w:rsid w:val="07416BD4"/>
    <w:rsid w:val="0748600C"/>
    <w:rsid w:val="07606CA4"/>
    <w:rsid w:val="076404B3"/>
    <w:rsid w:val="076646E5"/>
    <w:rsid w:val="07664BD3"/>
    <w:rsid w:val="076803F1"/>
    <w:rsid w:val="07683FB9"/>
    <w:rsid w:val="076D1A54"/>
    <w:rsid w:val="077E10D7"/>
    <w:rsid w:val="077E37DC"/>
    <w:rsid w:val="0780241B"/>
    <w:rsid w:val="07863B2C"/>
    <w:rsid w:val="07886CB7"/>
    <w:rsid w:val="078D3A1F"/>
    <w:rsid w:val="078D7552"/>
    <w:rsid w:val="07921F8F"/>
    <w:rsid w:val="07927288"/>
    <w:rsid w:val="079C01B3"/>
    <w:rsid w:val="07A50D69"/>
    <w:rsid w:val="07AA637F"/>
    <w:rsid w:val="07B25B9D"/>
    <w:rsid w:val="07B33DBE"/>
    <w:rsid w:val="07B90CB8"/>
    <w:rsid w:val="07CE1F18"/>
    <w:rsid w:val="07D242B0"/>
    <w:rsid w:val="07D7196B"/>
    <w:rsid w:val="07D76D2C"/>
    <w:rsid w:val="07DE427B"/>
    <w:rsid w:val="07E42CF4"/>
    <w:rsid w:val="07F67816"/>
    <w:rsid w:val="07F910B5"/>
    <w:rsid w:val="080127FB"/>
    <w:rsid w:val="08017F69"/>
    <w:rsid w:val="080F2686"/>
    <w:rsid w:val="08145383"/>
    <w:rsid w:val="08167EB9"/>
    <w:rsid w:val="081F0A68"/>
    <w:rsid w:val="082A736A"/>
    <w:rsid w:val="082B6EAB"/>
    <w:rsid w:val="082C3641"/>
    <w:rsid w:val="082D69C1"/>
    <w:rsid w:val="0832279D"/>
    <w:rsid w:val="083572E7"/>
    <w:rsid w:val="084D31AF"/>
    <w:rsid w:val="085E716A"/>
    <w:rsid w:val="086272C7"/>
    <w:rsid w:val="08682EF7"/>
    <w:rsid w:val="086F46B7"/>
    <w:rsid w:val="08754AAE"/>
    <w:rsid w:val="087B65B3"/>
    <w:rsid w:val="087C26D3"/>
    <w:rsid w:val="08803584"/>
    <w:rsid w:val="08A720C3"/>
    <w:rsid w:val="08AE1935"/>
    <w:rsid w:val="08B32C17"/>
    <w:rsid w:val="08B52358"/>
    <w:rsid w:val="08B651F8"/>
    <w:rsid w:val="08B665F6"/>
    <w:rsid w:val="08B82A3E"/>
    <w:rsid w:val="08B924AB"/>
    <w:rsid w:val="08BD4360"/>
    <w:rsid w:val="08BD54AC"/>
    <w:rsid w:val="08BF4B31"/>
    <w:rsid w:val="08C0550B"/>
    <w:rsid w:val="08C443FF"/>
    <w:rsid w:val="08CE5E36"/>
    <w:rsid w:val="08CE7154"/>
    <w:rsid w:val="08D30F11"/>
    <w:rsid w:val="08D93408"/>
    <w:rsid w:val="08DA06F5"/>
    <w:rsid w:val="08DC6E3E"/>
    <w:rsid w:val="08E2367C"/>
    <w:rsid w:val="08E458C1"/>
    <w:rsid w:val="08E753B1"/>
    <w:rsid w:val="08F64CF4"/>
    <w:rsid w:val="08FD6983"/>
    <w:rsid w:val="090121FC"/>
    <w:rsid w:val="09095FD8"/>
    <w:rsid w:val="0913264A"/>
    <w:rsid w:val="09146C59"/>
    <w:rsid w:val="09150C5A"/>
    <w:rsid w:val="09160D38"/>
    <w:rsid w:val="091C0F67"/>
    <w:rsid w:val="0923288D"/>
    <w:rsid w:val="0926237D"/>
    <w:rsid w:val="09263190"/>
    <w:rsid w:val="092E40D9"/>
    <w:rsid w:val="093A2CC9"/>
    <w:rsid w:val="093F0D49"/>
    <w:rsid w:val="094921B7"/>
    <w:rsid w:val="095021FE"/>
    <w:rsid w:val="09540C99"/>
    <w:rsid w:val="09582F80"/>
    <w:rsid w:val="0969226A"/>
    <w:rsid w:val="096F569E"/>
    <w:rsid w:val="09700661"/>
    <w:rsid w:val="09746B8F"/>
    <w:rsid w:val="0978441D"/>
    <w:rsid w:val="09786D09"/>
    <w:rsid w:val="0983497E"/>
    <w:rsid w:val="09840E52"/>
    <w:rsid w:val="0984304D"/>
    <w:rsid w:val="098470A4"/>
    <w:rsid w:val="09930E3A"/>
    <w:rsid w:val="09944BF6"/>
    <w:rsid w:val="099F09AB"/>
    <w:rsid w:val="09A77BE3"/>
    <w:rsid w:val="09B5725D"/>
    <w:rsid w:val="09BA2516"/>
    <w:rsid w:val="09C3197A"/>
    <w:rsid w:val="09D26061"/>
    <w:rsid w:val="09D43B87"/>
    <w:rsid w:val="09DB061C"/>
    <w:rsid w:val="09E65669"/>
    <w:rsid w:val="09EB144A"/>
    <w:rsid w:val="09F71624"/>
    <w:rsid w:val="0A026946"/>
    <w:rsid w:val="0A053D41"/>
    <w:rsid w:val="0A25751A"/>
    <w:rsid w:val="0A36214C"/>
    <w:rsid w:val="0A3C34DB"/>
    <w:rsid w:val="0A3C4077"/>
    <w:rsid w:val="0A3D797F"/>
    <w:rsid w:val="0A3F53FC"/>
    <w:rsid w:val="0A466107"/>
    <w:rsid w:val="0A481236"/>
    <w:rsid w:val="0A4A6709"/>
    <w:rsid w:val="0A4C220E"/>
    <w:rsid w:val="0A5418AD"/>
    <w:rsid w:val="0A565785"/>
    <w:rsid w:val="0A6767AA"/>
    <w:rsid w:val="0A6A7D7A"/>
    <w:rsid w:val="0A79123A"/>
    <w:rsid w:val="0A7E4F35"/>
    <w:rsid w:val="0A801619"/>
    <w:rsid w:val="0A812200"/>
    <w:rsid w:val="0A84735B"/>
    <w:rsid w:val="0A8530D4"/>
    <w:rsid w:val="0A875844"/>
    <w:rsid w:val="0A882A16"/>
    <w:rsid w:val="0A916E27"/>
    <w:rsid w:val="0A9652E1"/>
    <w:rsid w:val="0A9A7C52"/>
    <w:rsid w:val="0A9D4585"/>
    <w:rsid w:val="0AA11FE3"/>
    <w:rsid w:val="0AA7304A"/>
    <w:rsid w:val="0AB107FE"/>
    <w:rsid w:val="0AB313C3"/>
    <w:rsid w:val="0AB77B8E"/>
    <w:rsid w:val="0AB94B2B"/>
    <w:rsid w:val="0ABF5336"/>
    <w:rsid w:val="0ACC0D02"/>
    <w:rsid w:val="0ACF303E"/>
    <w:rsid w:val="0ADF0A36"/>
    <w:rsid w:val="0ADF3872"/>
    <w:rsid w:val="0AE81679"/>
    <w:rsid w:val="0AE92CE7"/>
    <w:rsid w:val="0AFD0E78"/>
    <w:rsid w:val="0B0032C7"/>
    <w:rsid w:val="0B016BFE"/>
    <w:rsid w:val="0B067E26"/>
    <w:rsid w:val="0B0F381A"/>
    <w:rsid w:val="0B154869"/>
    <w:rsid w:val="0B244072"/>
    <w:rsid w:val="0B2753BC"/>
    <w:rsid w:val="0B296852"/>
    <w:rsid w:val="0B2A7ABA"/>
    <w:rsid w:val="0B3562CB"/>
    <w:rsid w:val="0B394B7F"/>
    <w:rsid w:val="0B43617A"/>
    <w:rsid w:val="0B475859"/>
    <w:rsid w:val="0B4A2E96"/>
    <w:rsid w:val="0B4A5554"/>
    <w:rsid w:val="0B50723E"/>
    <w:rsid w:val="0B512FB6"/>
    <w:rsid w:val="0B52745A"/>
    <w:rsid w:val="0B5D6733"/>
    <w:rsid w:val="0B603655"/>
    <w:rsid w:val="0B6A13E5"/>
    <w:rsid w:val="0B6F107F"/>
    <w:rsid w:val="0B720E7E"/>
    <w:rsid w:val="0B753148"/>
    <w:rsid w:val="0B7612EF"/>
    <w:rsid w:val="0B793CF4"/>
    <w:rsid w:val="0B7A250D"/>
    <w:rsid w:val="0B7F2C64"/>
    <w:rsid w:val="0B81776F"/>
    <w:rsid w:val="0B8B0C4E"/>
    <w:rsid w:val="0B9C08F2"/>
    <w:rsid w:val="0BA76932"/>
    <w:rsid w:val="0BB23177"/>
    <w:rsid w:val="0BB71B42"/>
    <w:rsid w:val="0BB84DE3"/>
    <w:rsid w:val="0BBC48D3"/>
    <w:rsid w:val="0BBE689D"/>
    <w:rsid w:val="0BC33EB3"/>
    <w:rsid w:val="0BCE6B3B"/>
    <w:rsid w:val="0BD0037E"/>
    <w:rsid w:val="0BD14F67"/>
    <w:rsid w:val="0BDC31C7"/>
    <w:rsid w:val="0BDE0DF5"/>
    <w:rsid w:val="0BEB51B8"/>
    <w:rsid w:val="0BF70001"/>
    <w:rsid w:val="0C1110C3"/>
    <w:rsid w:val="0C1D4F59"/>
    <w:rsid w:val="0C1F7D50"/>
    <w:rsid w:val="0C2733BE"/>
    <w:rsid w:val="0C2A7A8F"/>
    <w:rsid w:val="0C2C3A2C"/>
    <w:rsid w:val="0C30706F"/>
    <w:rsid w:val="0C346444"/>
    <w:rsid w:val="0C3721AC"/>
    <w:rsid w:val="0C3F4D9E"/>
    <w:rsid w:val="0C41302A"/>
    <w:rsid w:val="0C5E598A"/>
    <w:rsid w:val="0C6329E2"/>
    <w:rsid w:val="0C676F35"/>
    <w:rsid w:val="0C6D6BBF"/>
    <w:rsid w:val="0C6F7B97"/>
    <w:rsid w:val="0C7854BF"/>
    <w:rsid w:val="0C8109FD"/>
    <w:rsid w:val="0C8A2607"/>
    <w:rsid w:val="0C90019E"/>
    <w:rsid w:val="0C983EAE"/>
    <w:rsid w:val="0C9F66CF"/>
    <w:rsid w:val="0CAD4290"/>
    <w:rsid w:val="0CB35D0F"/>
    <w:rsid w:val="0CB67574"/>
    <w:rsid w:val="0CBE28CD"/>
    <w:rsid w:val="0CC872A8"/>
    <w:rsid w:val="0CCD5E54"/>
    <w:rsid w:val="0CD0200E"/>
    <w:rsid w:val="0CD619C5"/>
    <w:rsid w:val="0CDE63AF"/>
    <w:rsid w:val="0CE307D5"/>
    <w:rsid w:val="0CE75980"/>
    <w:rsid w:val="0CEA0AFC"/>
    <w:rsid w:val="0CEA5470"/>
    <w:rsid w:val="0CF10955"/>
    <w:rsid w:val="0CF74DA4"/>
    <w:rsid w:val="0CFE157F"/>
    <w:rsid w:val="0D024B6A"/>
    <w:rsid w:val="0D0C3638"/>
    <w:rsid w:val="0D0F0D92"/>
    <w:rsid w:val="0D110C4F"/>
    <w:rsid w:val="0D120D5B"/>
    <w:rsid w:val="0D1A5CC6"/>
    <w:rsid w:val="0D1B5CBD"/>
    <w:rsid w:val="0D1F15BD"/>
    <w:rsid w:val="0D203690"/>
    <w:rsid w:val="0D2C3980"/>
    <w:rsid w:val="0D2E2CCC"/>
    <w:rsid w:val="0D350DE1"/>
    <w:rsid w:val="0D443BC6"/>
    <w:rsid w:val="0D4C0BE2"/>
    <w:rsid w:val="0D577C1B"/>
    <w:rsid w:val="0D6666A1"/>
    <w:rsid w:val="0D676AC1"/>
    <w:rsid w:val="0D682BB2"/>
    <w:rsid w:val="0D6F1A84"/>
    <w:rsid w:val="0D745503"/>
    <w:rsid w:val="0D7F205C"/>
    <w:rsid w:val="0D9230C0"/>
    <w:rsid w:val="0D9B7B45"/>
    <w:rsid w:val="0DA63A8D"/>
    <w:rsid w:val="0DA72E60"/>
    <w:rsid w:val="0DB05DDA"/>
    <w:rsid w:val="0DB334C2"/>
    <w:rsid w:val="0DBD5878"/>
    <w:rsid w:val="0DC24461"/>
    <w:rsid w:val="0DC7755F"/>
    <w:rsid w:val="0DD35C4D"/>
    <w:rsid w:val="0DD70580"/>
    <w:rsid w:val="0DDA1A49"/>
    <w:rsid w:val="0DDC4A0A"/>
    <w:rsid w:val="0DE545B5"/>
    <w:rsid w:val="0DE916F2"/>
    <w:rsid w:val="0DEB5944"/>
    <w:rsid w:val="0DEE2D3E"/>
    <w:rsid w:val="0DF91E0E"/>
    <w:rsid w:val="0E0638BC"/>
    <w:rsid w:val="0E0662D9"/>
    <w:rsid w:val="0E1664BA"/>
    <w:rsid w:val="0E1A3B33"/>
    <w:rsid w:val="0E1C78AB"/>
    <w:rsid w:val="0E1E7AC7"/>
    <w:rsid w:val="0E2E7A77"/>
    <w:rsid w:val="0E2F1AE0"/>
    <w:rsid w:val="0E344BF5"/>
    <w:rsid w:val="0E473F0F"/>
    <w:rsid w:val="0E59465B"/>
    <w:rsid w:val="0E66163A"/>
    <w:rsid w:val="0E673CAF"/>
    <w:rsid w:val="0E682813"/>
    <w:rsid w:val="0E6A6868"/>
    <w:rsid w:val="0E727E4A"/>
    <w:rsid w:val="0E7F0356"/>
    <w:rsid w:val="0E813BB2"/>
    <w:rsid w:val="0E8957CE"/>
    <w:rsid w:val="0E8A1028"/>
    <w:rsid w:val="0E8A6F0A"/>
    <w:rsid w:val="0E8E21F2"/>
    <w:rsid w:val="0E92133E"/>
    <w:rsid w:val="0E9B5EA8"/>
    <w:rsid w:val="0EA758F3"/>
    <w:rsid w:val="0EAE0E4B"/>
    <w:rsid w:val="0EAF6971"/>
    <w:rsid w:val="0ED11A56"/>
    <w:rsid w:val="0ED52AB9"/>
    <w:rsid w:val="0ED9579C"/>
    <w:rsid w:val="0EDB4F13"/>
    <w:rsid w:val="0EDC2DDD"/>
    <w:rsid w:val="0EE03CFB"/>
    <w:rsid w:val="0EF24286"/>
    <w:rsid w:val="0EFD61FD"/>
    <w:rsid w:val="0F056591"/>
    <w:rsid w:val="0F0A48FB"/>
    <w:rsid w:val="0F112CE0"/>
    <w:rsid w:val="0F1469F0"/>
    <w:rsid w:val="0F184516"/>
    <w:rsid w:val="0F1B7B63"/>
    <w:rsid w:val="0F1D38DB"/>
    <w:rsid w:val="0F2509E1"/>
    <w:rsid w:val="0F2904D1"/>
    <w:rsid w:val="0F382174"/>
    <w:rsid w:val="0F39623C"/>
    <w:rsid w:val="0F3A5790"/>
    <w:rsid w:val="0F3B7D22"/>
    <w:rsid w:val="0F3F1AA3"/>
    <w:rsid w:val="0F4621C1"/>
    <w:rsid w:val="0F515C7A"/>
    <w:rsid w:val="0F566DED"/>
    <w:rsid w:val="0F5D2ECD"/>
    <w:rsid w:val="0F602C6B"/>
    <w:rsid w:val="0F655392"/>
    <w:rsid w:val="0F713C26"/>
    <w:rsid w:val="0F735BF1"/>
    <w:rsid w:val="0F85221A"/>
    <w:rsid w:val="0F9114EE"/>
    <w:rsid w:val="0FA4094E"/>
    <w:rsid w:val="0FB2247B"/>
    <w:rsid w:val="0FB73163"/>
    <w:rsid w:val="0FC05E29"/>
    <w:rsid w:val="0FC65D20"/>
    <w:rsid w:val="0FCC5EA1"/>
    <w:rsid w:val="0FCF17B2"/>
    <w:rsid w:val="0FD857C7"/>
    <w:rsid w:val="0FDC314E"/>
    <w:rsid w:val="0FDE128A"/>
    <w:rsid w:val="0FDE55AA"/>
    <w:rsid w:val="0FE91A0F"/>
    <w:rsid w:val="0FEB4A59"/>
    <w:rsid w:val="0FED7751"/>
    <w:rsid w:val="0FEF76B3"/>
    <w:rsid w:val="0FF02D9D"/>
    <w:rsid w:val="0FF46D31"/>
    <w:rsid w:val="0FFA486A"/>
    <w:rsid w:val="0FFD0FD3"/>
    <w:rsid w:val="10093216"/>
    <w:rsid w:val="100B7BD7"/>
    <w:rsid w:val="102962AF"/>
    <w:rsid w:val="103435D2"/>
    <w:rsid w:val="104135F9"/>
    <w:rsid w:val="10466E61"/>
    <w:rsid w:val="104B26C9"/>
    <w:rsid w:val="10515D42"/>
    <w:rsid w:val="10594DE6"/>
    <w:rsid w:val="1065378B"/>
    <w:rsid w:val="106B4DAE"/>
    <w:rsid w:val="10713CF6"/>
    <w:rsid w:val="10781687"/>
    <w:rsid w:val="107A2416"/>
    <w:rsid w:val="10936A6A"/>
    <w:rsid w:val="1097570B"/>
    <w:rsid w:val="109A5D25"/>
    <w:rsid w:val="109E0A4B"/>
    <w:rsid w:val="10A36062"/>
    <w:rsid w:val="10AD3038"/>
    <w:rsid w:val="10AF4A06"/>
    <w:rsid w:val="10B85FB1"/>
    <w:rsid w:val="10CF32FA"/>
    <w:rsid w:val="10D4746C"/>
    <w:rsid w:val="10D60BA4"/>
    <w:rsid w:val="10DC37AA"/>
    <w:rsid w:val="10E16B8A"/>
    <w:rsid w:val="10E30B54"/>
    <w:rsid w:val="10ED3781"/>
    <w:rsid w:val="10F16777"/>
    <w:rsid w:val="10FA2DD1"/>
    <w:rsid w:val="10FE598E"/>
    <w:rsid w:val="11032FA4"/>
    <w:rsid w:val="11043615"/>
    <w:rsid w:val="11050B05"/>
    <w:rsid w:val="11117931"/>
    <w:rsid w:val="1114758F"/>
    <w:rsid w:val="111A1606"/>
    <w:rsid w:val="1122167C"/>
    <w:rsid w:val="11245782"/>
    <w:rsid w:val="112847B9"/>
    <w:rsid w:val="112F4B34"/>
    <w:rsid w:val="11301FEB"/>
    <w:rsid w:val="113413B0"/>
    <w:rsid w:val="113A2365"/>
    <w:rsid w:val="113F59F6"/>
    <w:rsid w:val="11566938"/>
    <w:rsid w:val="1179298F"/>
    <w:rsid w:val="11835E2C"/>
    <w:rsid w:val="118557B2"/>
    <w:rsid w:val="11877731"/>
    <w:rsid w:val="11877980"/>
    <w:rsid w:val="118A4715"/>
    <w:rsid w:val="118A60CD"/>
    <w:rsid w:val="118B171F"/>
    <w:rsid w:val="118B6075"/>
    <w:rsid w:val="119748EC"/>
    <w:rsid w:val="119B75C7"/>
    <w:rsid w:val="119C142F"/>
    <w:rsid w:val="119E4995"/>
    <w:rsid w:val="119F4A7B"/>
    <w:rsid w:val="11A11BD0"/>
    <w:rsid w:val="11AB78D4"/>
    <w:rsid w:val="11B52107"/>
    <w:rsid w:val="11BB4751"/>
    <w:rsid w:val="11C761DB"/>
    <w:rsid w:val="11D915DE"/>
    <w:rsid w:val="11EA48C7"/>
    <w:rsid w:val="11F50428"/>
    <w:rsid w:val="11FA7F03"/>
    <w:rsid w:val="11FB22BB"/>
    <w:rsid w:val="12003127"/>
    <w:rsid w:val="120A3752"/>
    <w:rsid w:val="12174F59"/>
    <w:rsid w:val="121A05A5"/>
    <w:rsid w:val="121D0BF1"/>
    <w:rsid w:val="124D2729"/>
    <w:rsid w:val="124E27EA"/>
    <w:rsid w:val="125515DD"/>
    <w:rsid w:val="1262256B"/>
    <w:rsid w:val="127B1BC5"/>
    <w:rsid w:val="12887C05"/>
    <w:rsid w:val="1289734F"/>
    <w:rsid w:val="128B5C2F"/>
    <w:rsid w:val="12914006"/>
    <w:rsid w:val="12931A43"/>
    <w:rsid w:val="129C720C"/>
    <w:rsid w:val="129E220E"/>
    <w:rsid w:val="12A105AB"/>
    <w:rsid w:val="12A460C1"/>
    <w:rsid w:val="12B4785E"/>
    <w:rsid w:val="12B8167E"/>
    <w:rsid w:val="12BF3029"/>
    <w:rsid w:val="12C40361"/>
    <w:rsid w:val="12C56763"/>
    <w:rsid w:val="12C82F5F"/>
    <w:rsid w:val="12D22468"/>
    <w:rsid w:val="12DE15D3"/>
    <w:rsid w:val="12EF558E"/>
    <w:rsid w:val="12F13100"/>
    <w:rsid w:val="12F157AA"/>
    <w:rsid w:val="12F575FD"/>
    <w:rsid w:val="12F6691D"/>
    <w:rsid w:val="12F708E7"/>
    <w:rsid w:val="130435C1"/>
    <w:rsid w:val="13086650"/>
    <w:rsid w:val="130F0F2A"/>
    <w:rsid w:val="131274CE"/>
    <w:rsid w:val="131573C1"/>
    <w:rsid w:val="13165211"/>
    <w:rsid w:val="13165902"/>
    <w:rsid w:val="131D5294"/>
    <w:rsid w:val="131F2367"/>
    <w:rsid w:val="13280AA0"/>
    <w:rsid w:val="13294788"/>
    <w:rsid w:val="132A0CBC"/>
    <w:rsid w:val="132D4308"/>
    <w:rsid w:val="13451652"/>
    <w:rsid w:val="134A13B8"/>
    <w:rsid w:val="13510895"/>
    <w:rsid w:val="13511DA5"/>
    <w:rsid w:val="135B40E2"/>
    <w:rsid w:val="135B70C7"/>
    <w:rsid w:val="136441CE"/>
    <w:rsid w:val="136D21D2"/>
    <w:rsid w:val="13787D0C"/>
    <w:rsid w:val="13791FAF"/>
    <w:rsid w:val="137B1518"/>
    <w:rsid w:val="137B19E9"/>
    <w:rsid w:val="138F0BDD"/>
    <w:rsid w:val="139831BB"/>
    <w:rsid w:val="139903C9"/>
    <w:rsid w:val="1399697C"/>
    <w:rsid w:val="13B32A60"/>
    <w:rsid w:val="13BA3DEE"/>
    <w:rsid w:val="13BC2C0C"/>
    <w:rsid w:val="13BF1404"/>
    <w:rsid w:val="13C35B03"/>
    <w:rsid w:val="13C6200C"/>
    <w:rsid w:val="13C9299C"/>
    <w:rsid w:val="13C94031"/>
    <w:rsid w:val="13C95DDF"/>
    <w:rsid w:val="13D044CF"/>
    <w:rsid w:val="13D824C6"/>
    <w:rsid w:val="13DB3D64"/>
    <w:rsid w:val="13DC400F"/>
    <w:rsid w:val="13F3745A"/>
    <w:rsid w:val="13FA6036"/>
    <w:rsid w:val="13FF3EF7"/>
    <w:rsid w:val="14037BC6"/>
    <w:rsid w:val="14107459"/>
    <w:rsid w:val="141A3C20"/>
    <w:rsid w:val="142459EF"/>
    <w:rsid w:val="14385F69"/>
    <w:rsid w:val="14390233"/>
    <w:rsid w:val="14425471"/>
    <w:rsid w:val="144813FA"/>
    <w:rsid w:val="144A4B45"/>
    <w:rsid w:val="14551D69"/>
    <w:rsid w:val="14595E98"/>
    <w:rsid w:val="14733F9D"/>
    <w:rsid w:val="14773A8D"/>
    <w:rsid w:val="147C2B70"/>
    <w:rsid w:val="148443FC"/>
    <w:rsid w:val="149B39D0"/>
    <w:rsid w:val="14A754CA"/>
    <w:rsid w:val="14A95C11"/>
    <w:rsid w:val="14AC544B"/>
    <w:rsid w:val="14B37802"/>
    <w:rsid w:val="14B47FE2"/>
    <w:rsid w:val="14B61BCA"/>
    <w:rsid w:val="14B637DA"/>
    <w:rsid w:val="14BE346A"/>
    <w:rsid w:val="14C06613"/>
    <w:rsid w:val="14E05AD6"/>
    <w:rsid w:val="14EF2245"/>
    <w:rsid w:val="14F47086"/>
    <w:rsid w:val="15053D1B"/>
    <w:rsid w:val="15143069"/>
    <w:rsid w:val="1528172E"/>
    <w:rsid w:val="152D773E"/>
    <w:rsid w:val="152F2B53"/>
    <w:rsid w:val="15323E58"/>
    <w:rsid w:val="153E45AB"/>
    <w:rsid w:val="15475B55"/>
    <w:rsid w:val="154871D8"/>
    <w:rsid w:val="15581B10"/>
    <w:rsid w:val="155B243E"/>
    <w:rsid w:val="15610299"/>
    <w:rsid w:val="156554D6"/>
    <w:rsid w:val="15673B02"/>
    <w:rsid w:val="15695ACC"/>
    <w:rsid w:val="156E2956"/>
    <w:rsid w:val="15750DCC"/>
    <w:rsid w:val="158A3C94"/>
    <w:rsid w:val="158B19D0"/>
    <w:rsid w:val="15934503"/>
    <w:rsid w:val="159B7C4F"/>
    <w:rsid w:val="159F14ED"/>
    <w:rsid w:val="15A80551"/>
    <w:rsid w:val="15A9015E"/>
    <w:rsid w:val="15B36D47"/>
    <w:rsid w:val="15B42ABF"/>
    <w:rsid w:val="15B91E83"/>
    <w:rsid w:val="15C01C7B"/>
    <w:rsid w:val="15CE063D"/>
    <w:rsid w:val="15D26E16"/>
    <w:rsid w:val="15E451AB"/>
    <w:rsid w:val="15E46F00"/>
    <w:rsid w:val="15E73877"/>
    <w:rsid w:val="15F12DDD"/>
    <w:rsid w:val="15FF3D3A"/>
    <w:rsid w:val="1606156C"/>
    <w:rsid w:val="160C3CF9"/>
    <w:rsid w:val="16156799"/>
    <w:rsid w:val="16175528"/>
    <w:rsid w:val="161C2B3E"/>
    <w:rsid w:val="163D4862"/>
    <w:rsid w:val="164250A5"/>
    <w:rsid w:val="16445BF1"/>
    <w:rsid w:val="16461969"/>
    <w:rsid w:val="1647415D"/>
    <w:rsid w:val="164B7A11"/>
    <w:rsid w:val="164C2CF7"/>
    <w:rsid w:val="164D2A25"/>
    <w:rsid w:val="166167A3"/>
    <w:rsid w:val="16677B31"/>
    <w:rsid w:val="166852F4"/>
    <w:rsid w:val="166E05B8"/>
    <w:rsid w:val="1677589B"/>
    <w:rsid w:val="16814185"/>
    <w:rsid w:val="168227FD"/>
    <w:rsid w:val="16832BBD"/>
    <w:rsid w:val="1683496B"/>
    <w:rsid w:val="16900E36"/>
    <w:rsid w:val="16A3500D"/>
    <w:rsid w:val="16B03286"/>
    <w:rsid w:val="16B039AB"/>
    <w:rsid w:val="16B56AEF"/>
    <w:rsid w:val="16C15797"/>
    <w:rsid w:val="16C401B1"/>
    <w:rsid w:val="16CC320F"/>
    <w:rsid w:val="16D340D9"/>
    <w:rsid w:val="16D61021"/>
    <w:rsid w:val="16DA0A03"/>
    <w:rsid w:val="16E03E72"/>
    <w:rsid w:val="16E1553C"/>
    <w:rsid w:val="16ED0036"/>
    <w:rsid w:val="16F635CD"/>
    <w:rsid w:val="16FC296F"/>
    <w:rsid w:val="16FF4361"/>
    <w:rsid w:val="17012AEA"/>
    <w:rsid w:val="17051055"/>
    <w:rsid w:val="17051824"/>
    <w:rsid w:val="17064927"/>
    <w:rsid w:val="17081314"/>
    <w:rsid w:val="170B2BB3"/>
    <w:rsid w:val="1719460D"/>
    <w:rsid w:val="171A111D"/>
    <w:rsid w:val="17253C74"/>
    <w:rsid w:val="17261565"/>
    <w:rsid w:val="17262CDD"/>
    <w:rsid w:val="172B43AA"/>
    <w:rsid w:val="1732013F"/>
    <w:rsid w:val="173A57BF"/>
    <w:rsid w:val="174D31CB"/>
    <w:rsid w:val="174D78B4"/>
    <w:rsid w:val="17521C98"/>
    <w:rsid w:val="175D340E"/>
    <w:rsid w:val="17602EFE"/>
    <w:rsid w:val="1776002C"/>
    <w:rsid w:val="178169D1"/>
    <w:rsid w:val="1784664F"/>
    <w:rsid w:val="17880471"/>
    <w:rsid w:val="178A58EF"/>
    <w:rsid w:val="179235C6"/>
    <w:rsid w:val="17984446"/>
    <w:rsid w:val="179E3A27"/>
    <w:rsid w:val="17A0154D"/>
    <w:rsid w:val="17AA3F8B"/>
    <w:rsid w:val="17AE3C6A"/>
    <w:rsid w:val="17B1375A"/>
    <w:rsid w:val="17C43E8F"/>
    <w:rsid w:val="17C75750"/>
    <w:rsid w:val="17D3547E"/>
    <w:rsid w:val="17D42FA4"/>
    <w:rsid w:val="17D64F6F"/>
    <w:rsid w:val="17D808C5"/>
    <w:rsid w:val="17D84283"/>
    <w:rsid w:val="17DD6BD1"/>
    <w:rsid w:val="17DE3E23"/>
    <w:rsid w:val="17E56F60"/>
    <w:rsid w:val="17F3167D"/>
    <w:rsid w:val="17F84EE5"/>
    <w:rsid w:val="17FD62AC"/>
    <w:rsid w:val="18145F4D"/>
    <w:rsid w:val="1821268E"/>
    <w:rsid w:val="18241FF4"/>
    <w:rsid w:val="18273A1C"/>
    <w:rsid w:val="182A43C3"/>
    <w:rsid w:val="182B52BA"/>
    <w:rsid w:val="182C3996"/>
    <w:rsid w:val="18376899"/>
    <w:rsid w:val="183C0885"/>
    <w:rsid w:val="183D6D9C"/>
    <w:rsid w:val="183F0D66"/>
    <w:rsid w:val="18424FA5"/>
    <w:rsid w:val="184E2D57"/>
    <w:rsid w:val="18501977"/>
    <w:rsid w:val="185D53DD"/>
    <w:rsid w:val="185F4D67"/>
    <w:rsid w:val="18604734"/>
    <w:rsid w:val="18683860"/>
    <w:rsid w:val="18695DE3"/>
    <w:rsid w:val="186A679D"/>
    <w:rsid w:val="186D2D55"/>
    <w:rsid w:val="187D63F4"/>
    <w:rsid w:val="188350F6"/>
    <w:rsid w:val="188624F1"/>
    <w:rsid w:val="188A0471"/>
    <w:rsid w:val="188D7D23"/>
    <w:rsid w:val="18900896"/>
    <w:rsid w:val="189B0510"/>
    <w:rsid w:val="18BA7465"/>
    <w:rsid w:val="18BC23B6"/>
    <w:rsid w:val="18BC5F12"/>
    <w:rsid w:val="18BD6DA2"/>
    <w:rsid w:val="18CD75A6"/>
    <w:rsid w:val="18D1794E"/>
    <w:rsid w:val="18D50150"/>
    <w:rsid w:val="18E0295D"/>
    <w:rsid w:val="18E611E1"/>
    <w:rsid w:val="18EB6F95"/>
    <w:rsid w:val="18ED431E"/>
    <w:rsid w:val="18F94D15"/>
    <w:rsid w:val="190124DC"/>
    <w:rsid w:val="19037E5E"/>
    <w:rsid w:val="190528F2"/>
    <w:rsid w:val="19075869"/>
    <w:rsid w:val="191B6861"/>
    <w:rsid w:val="191E76E8"/>
    <w:rsid w:val="19241D0A"/>
    <w:rsid w:val="19287945"/>
    <w:rsid w:val="19293D6B"/>
    <w:rsid w:val="192D6E10"/>
    <w:rsid w:val="19355CC5"/>
    <w:rsid w:val="19371A3D"/>
    <w:rsid w:val="1939779E"/>
    <w:rsid w:val="193B7345"/>
    <w:rsid w:val="193F4B9F"/>
    <w:rsid w:val="194128BC"/>
    <w:rsid w:val="19481E9C"/>
    <w:rsid w:val="194852B5"/>
    <w:rsid w:val="195C76F5"/>
    <w:rsid w:val="19666C7B"/>
    <w:rsid w:val="196D2299"/>
    <w:rsid w:val="19726F19"/>
    <w:rsid w:val="19793BD5"/>
    <w:rsid w:val="198F7ACB"/>
    <w:rsid w:val="19977B5F"/>
    <w:rsid w:val="199F72DD"/>
    <w:rsid w:val="19A075E2"/>
    <w:rsid w:val="19A8293B"/>
    <w:rsid w:val="19AD1853"/>
    <w:rsid w:val="19B52CC5"/>
    <w:rsid w:val="19B56A46"/>
    <w:rsid w:val="19BB32E8"/>
    <w:rsid w:val="19BF1EF9"/>
    <w:rsid w:val="19C71013"/>
    <w:rsid w:val="19C74A3D"/>
    <w:rsid w:val="19CA465F"/>
    <w:rsid w:val="19CC0292"/>
    <w:rsid w:val="19D2064F"/>
    <w:rsid w:val="19E5593D"/>
    <w:rsid w:val="19E7019A"/>
    <w:rsid w:val="19F27994"/>
    <w:rsid w:val="19F339F5"/>
    <w:rsid w:val="19F474BF"/>
    <w:rsid w:val="19FD595C"/>
    <w:rsid w:val="1A057D8D"/>
    <w:rsid w:val="1A1646FA"/>
    <w:rsid w:val="1A17337A"/>
    <w:rsid w:val="1A1E23E8"/>
    <w:rsid w:val="1A200723"/>
    <w:rsid w:val="1A227141"/>
    <w:rsid w:val="1A262361"/>
    <w:rsid w:val="1A2C027D"/>
    <w:rsid w:val="1A2E2E40"/>
    <w:rsid w:val="1A3C5043"/>
    <w:rsid w:val="1A452CC1"/>
    <w:rsid w:val="1A562397"/>
    <w:rsid w:val="1A5B1B46"/>
    <w:rsid w:val="1A725036"/>
    <w:rsid w:val="1A795FF1"/>
    <w:rsid w:val="1A7B1124"/>
    <w:rsid w:val="1AB40EA6"/>
    <w:rsid w:val="1AB57649"/>
    <w:rsid w:val="1ABA5DC7"/>
    <w:rsid w:val="1ABC1092"/>
    <w:rsid w:val="1ABE27D0"/>
    <w:rsid w:val="1AC32CEC"/>
    <w:rsid w:val="1AC74FBF"/>
    <w:rsid w:val="1AD334D8"/>
    <w:rsid w:val="1AE33987"/>
    <w:rsid w:val="1AE94FB9"/>
    <w:rsid w:val="1AF47FA6"/>
    <w:rsid w:val="1B0921EA"/>
    <w:rsid w:val="1B0E5209"/>
    <w:rsid w:val="1B2264D1"/>
    <w:rsid w:val="1B302BE8"/>
    <w:rsid w:val="1B481CDF"/>
    <w:rsid w:val="1B5D75C9"/>
    <w:rsid w:val="1B5E1503"/>
    <w:rsid w:val="1B6034CD"/>
    <w:rsid w:val="1B682698"/>
    <w:rsid w:val="1B687433"/>
    <w:rsid w:val="1B724FAE"/>
    <w:rsid w:val="1B726D22"/>
    <w:rsid w:val="1B760B6F"/>
    <w:rsid w:val="1B7A664C"/>
    <w:rsid w:val="1B7F1BE7"/>
    <w:rsid w:val="1B811695"/>
    <w:rsid w:val="1B8847D2"/>
    <w:rsid w:val="1B8A054A"/>
    <w:rsid w:val="1B8B22F8"/>
    <w:rsid w:val="1B8F2848"/>
    <w:rsid w:val="1B9112D4"/>
    <w:rsid w:val="1B9C202B"/>
    <w:rsid w:val="1BA03226"/>
    <w:rsid w:val="1BC3372B"/>
    <w:rsid w:val="1BC755CA"/>
    <w:rsid w:val="1BC85C90"/>
    <w:rsid w:val="1BC92492"/>
    <w:rsid w:val="1BCB040D"/>
    <w:rsid w:val="1BD861AA"/>
    <w:rsid w:val="1BD90F57"/>
    <w:rsid w:val="1BDC73BB"/>
    <w:rsid w:val="1BF00F92"/>
    <w:rsid w:val="1BF6798D"/>
    <w:rsid w:val="1C0259CB"/>
    <w:rsid w:val="1C057BD9"/>
    <w:rsid w:val="1C1330CC"/>
    <w:rsid w:val="1C1406D8"/>
    <w:rsid w:val="1C236E97"/>
    <w:rsid w:val="1C290106"/>
    <w:rsid w:val="1C33298F"/>
    <w:rsid w:val="1C3A48A9"/>
    <w:rsid w:val="1C445EDF"/>
    <w:rsid w:val="1C5562E0"/>
    <w:rsid w:val="1C591BE5"/>
    <w:rsid w:val="1C5A43C0"/>
    <w:rsid w:val="1C5B5A42"/>
    <w:rsid w:val="1C6012AB"/>
    <w:rsid w:val="1C6101AF"/>
    <w:rsid w:val="1C615A31"/>
    <w:rsid w:val="1C6E595D"/>
    <w:rsid w:val="1C737842"/>
    <w:rsid w:val="1C844F99"/>
    <w:rsid w:val="1C8736B2"/>
    <w:rsid w:val="1C897354"/>
    <w:rsid w:val="1C8E7BC6"/>
    <w:rsid w:val="1C9378D2"/>
    <w:rsid w:val="1C977044"/>
    <w:rsid w:val="1CA92ECF"/>
    <w:rsid w:val="1CAC2742"/>
    <w:rsid w:val="1CAD4A39"/>
    <w:rsid w:val="1CAE64BA"/>
    <w:rsid w:val="1CAF21CD"/>
    <w:rsid w:val="1CB37C0D"/>
    <w:rsid w:val="1CBC6AB2"/>
    <w:rsid w:val="1CC57360"/>
    <w:rsid w:val="1CCC0E43"/>
    <w:rsid w:val="1CD76D8A"/>
    <w:rsid w:val="1CE912A0"/>
    <w:rsid w:val="1CE9448A"/>
    <w:rsid w:val="1CE94B41"/>
    <w:rsid w:val="1CEB6DC6"/>
    <w:rsid w:val="1D026870"/>
    <w:rsid w:val="1D051DD2"/>
    <w:rsid w:val="1D0C4F8F"/>
    <w:rsid w:val="1D2061AB"/>
    <w:rsid w:val="1D3208DC"/>
    <w:rsid w:val="1D3528AB"/>
    <w:rsid w:val="1D3A1FBF"/>
    <w:rsid w:val="1D3B20CF"/>
    <w:rsid w:val="1D3D339A"/>
    <w:rsid w:val="1D436C02"/>
    <w:rsid w:val="1D556936"/>
    <w:rsid w:val="1D5F1AB5"/>
    <w:rsid w:val="1D61352C"/>
    <w:rsid w:val="1D6E17A5"/>
    <w:rsid w:val="1D780E7B"/>
    <w:rsid w:val="1D795FD2"/>
    <w:rsid w:val="1D7B65A1"/>
    <w:rsid w:val="1D8035DD"/>
    <w:rsid w:val="1D8504DA"/>
    <w:rsid w:val="1D882867"/>
    <w:rsid w:val="1D8A2A83"/>
    <w:rsid w:val="1D8B25C2"/>
    <w:rsid w:val="1D8B67FB"/>
    <w:rsid w:val="1D8F0099"/>
    <w:rsid w:val="1D9072AF"/>
    <w:rsid w:val="1D9A07EC"/>
    <w:rsid w:val="1D9A78BF"/>
    <w:rsid w:val="1DA33133"/>
    <w:rsid w:val="1DA67191"/>
    <w:rsid w:val="1DA70318"/>
    <w:rsid w:val="1DAF58DD"/>
    <w:rsid w:val="1DB23D88"/>
    <w:rsid w:val="1DB7139E"/>
    <w:rsid w:val="1DC06596"/>
    <w:rsid w:val="1DCA095F"/>
    <w:rsid w:val="1DCA10D2"/>
    <w:rsid w:val="1DCB37A7"/>
    <w:rsid w:val="1DCC3E3F"/>
    <w:rsid w:val="1DD30ECA"/>
    <w:rsid w:val="1DD66A3B"/>
    <w:rsid w:val="1DE16714"/>
    <w:rsid w:val="1DE51199"/>
    <w:rsid w:val="1DEA687D"/>
    <w:rsid w:val="1DEE018A"/>
    <w:rsid w:val="1DF0665E"/>
    <w:rsid w:val="1DF60118"/>
    <w:rsid w:val="1DF85B57"/>
    <w:rsid w:val="1DFE0D7B"/>
    <w:rsid w:val="1E05566C"/>
    <w:rsid w:val="1E0A7720"/>
    <w:rsid w:val="1E152217"/>
    <w:rsid w:val="1E1E7647"/>
    <w:rsid w:val="1E256308"/>
    <w:rsid w:val="1E272FA8"/>
    <w:rsid w:val="1E4510B3"/>
    <w:rsid w:val="1E4569AA"/>
    <w:rsid w:val="1E474734"/>
    <w:rsid w:val="1E4C7792"/>
    <w:rsid w:val="1E535925"/>
    <w:rsid w:val="1E5959B8"/>
    <w:rsid w:val="1E681BD5"/>
    <w:rsid w:val="1E6B1C94"/>
    <w:rsid w:val="1E7B1D48"/>
    <w:rsid w:val="1E7B23CC"/>
    <w:rsid w:val="1E83202B"/>
    <w:rsid w:val="1E854FF8"/>
    <w:rsid w:val="1E8A11D5"/>
    <w:rsid w:val="1E980356"/>
    <w:rsid w:val="1E9D2342"/>
    <w:rsid w:val="1EA054C6"/>
    <w:rsid w:val="1EB03DDE"/>
    <w:rsid w:val="1EB678A8"/>
    <w:rsid w:val="1EBF050A"/>
    <w:rsid w:val="1EC350E0"/>
    <w:rsid w:val="1EC83E98"/>
    <w:rsid w:val="1ECF5D39"/>
    <w:rsid w:val="1EDA17E8"/>
    <w:rsid w:val="1EE6018D"/>
    <w:rsid w:val="1EEF46BA"/>
    <w:rsid w:val="1EFA7794"/>
    <w:rsid w:val="1F0E63CD"/>
    <w:rsid w:val="1F1556C0"/>
    <w:rsid w:val="1F1A4E22"/>
    <w:rsid w:val="1F204D21"/>
    <w:rsid w:val="1F220A99"/>
    <w:rsid w:val="1F437BEF"/>
    <w:rsid w:val="1F4B6242"/>
    <w:rsid w:val="1F5B189A"/>
    <w:rsid w:val="1F642815"/>
    <w:rsid w:val="1F6E24EB"/>
    <w:rsid w:val="1F777037"/>
    <w:rsid w:val="1FA31BDA"/>
    <w:rsid w:val="1FA871F0"/>
    <w:rsid w:val="1FC2211D"/>
    <w:rsid w:val="1FC47D17"/>
    <w:rsid w:val="1FDB7475"/>
    <w:rsid w:val="1FE10954"/>
    <w:rsid w:val="1FE331AE"/>
    <w:rsid w:val="1FE45C34"/>
    <w:rsid w:val="1FF16DE9"/>
    <w:rsid w:val="1FF31D99"/>
    <w:rsid w:val="1FFC12EA"/>
    <w:rsid w:val="1FFF6B11"/>
    <w:rsid w:val="20072F97"/>
    <w:rsid w:val="20073628"/>
    <w:rsid w:val="200C09BB"/>
    <w:rsid w:val="20137C75"/>
    <w:rsid w:val="201E5705"/>
    <w:rsid w:val="202418F4"/>
    <w:rsid w:val="20255344"/>
    <w:rsid w:val="20262CC8"/>
    <w:rsid w:val="202D1D4F"/>
    <w:rsid w:val="202D5948"/>
    <w:rsid w:val="20322F5E"/>
    <w:rsid w:val="203C4B8F"/>
    <w:rsid w:val="204911E9"/>
    <w:rsid w:val="204F58BE"/>
    <w:rsid w:val="20533DB7"/>
    <w:rsid w:val="205915A4"/>
    <w:rsid w:val="205C6DFB"/>
    <w:rsid w:val="205D4960"/>
    <w:rsid w:val="205F6739"/>
    <w:rsid w:val="2062010C"/>
    <w:rsid w:val="206A117A"/>
    <w:rsid w:val="206C46C2"/>
    <w:rsid w:val="20742B1B"/>
    <w:rsid w:val="20776154"/>
    <w:rsid w:val="20777DF9"/>
    <w:rsid w:val="20783067"/>
    <w:rsid w:val="20B35E4D"/>
    <w:rsid w:val="20B76AC3"/>
    <w:rsid w:val="20BE29EC"/>
    <w:rsid w:val="20D13DE1"/>
    <w:rsid w:val="20D81D57"/>
    <w:rsid w:val="20DB53A4"/>
    <w:rsid w:val="20E85F0E"/>
    <w:rsid w:val="20EB1A8B"/>
    <w:rsid w:val="20ED3DDB"/>
    <w:rsid w:val="20F52909"/>
    <w:rsid w:val="20FF5536"/>
    <w:rsid w:val="210F3DD1"/>
    <w:rsid w:val="21160A56"/>
    <w:rsid w:val="211B1B93"/>
    <w:rsid w:val="211F2A5B"/>
    <w:rsid w:val="21220A00"/>
    <w:rsid w:val="21283172"/>
    <w:rsid w:val="213B69D1"/>
    <w:rsid w:val="214473ED"/>
    <w:rsid w:val="2148274F"/>
    <w:rsid w:val="214E201A"/>
    <w:rsid w:val="215B601B"/>
    <w:rsid w:val="215F0858"/>
    <w:rsid w:val="216929AF"/>
    <w:rsid w:val="216A274E"/>
    <w:rsid w:val="216B497A"/>
    <w:rsid w:val="216D3461"/>
    <w:rsid w:val="216E6218"/>
    <w:rsid w:val="21721152"/>
    <w:rsid w:val="2173382E"/>
    <w:rsid w:val="218235F1"/>
    <w:rsid w:val="218B6DCA"/>
    <w:rsid w:val="218F6478"/>
    <w:rsid w:val="21925E1F"/>
    <w:rsid w:val="219775F2"/>
    <w:rsid w:val="2198243E"/>
    <w:rsid w:val="219A15D5"/>
    <w:rsid w:val="21A5078E"/>
    <w:rsid w:val="21B11732"/>
    <w:rsid w:val="21B6553B"/>
    <w:rsid w:val="21BC068A"/>
    <w:rsid w:val="21C85A2D"/>
    <w:rsid w:val="21C978F2"/>
    <w:rsid w:val="21E058BE"/>
    <w:rsid w:val="21E309B4"/>
    <w:rsid w:val="21E37CA5"/>
    <w:rsid w:val="21EE1107"/>
    <w:rsid w:val="21F21234"/>
    <w:rsid w:val="21F837B6"/>
    <w:rsid w:val="220D125E"/>
    <w:rsid w:val="220E2886"/>
    <w:rsid w:val="221943D6"/>
    <w:rsid w:val="22236670"/>
    <w:rsid w:val="222C6E19"/>
    <w:rsid w:val="22370D00"/>
    <w:rsid w:val="224C6559"/>
    <w:rsid w:val="22523E45"/>
    <w:rsid w:val="225278E7"/>
    <w:rsid w:val="22576CAC"/>
    <w:rsid w:val="225A7FE2"/>
    <w:rsid w:val="22627BFA"/>
    <w:rsid w:val="2266481E"/>
    <w:rsid w:val="22694AF0"/>
    <w:rsid w:val="226F7203"/>
    <w:rsid w:val="22717D6E"/>
    <w:rsid w:val="22745AB0"/>
    <w:rsid w:val="22791318"/>
    <w:rsid w:val="227A733E"/>
    <w:rsid w:val="228C7704"/>
    <w:rsid w:val="228E612A"/>
    <w:rsid w:val="229218DF"/>
    <w:rsid w:val="22971230"/>
    <w:rsid w:val="22A74CA7"/>
    <w:rsid w:val="22AA14D2"/>
    <w:rsid w:val="22AA2317"/>
    <w:rsid w:val="22B80839"/>
    <w:rsid w:val="22BA0B66"/>
    <w:rsid w:val="22C32593"/>
    <w:rsid w:val="22D83E6B"/>
    <w:rsid w:val="22D84291"/>
    <w:rsid w:val="22DC0713"/>
    <w:rsid w:val="22E36792"/>
    <w:rsid w:val="22E5250A"/>
    <w:rsid w:val="22E535E8"/>
    <w:rsid w:val="22E746CA"/>
    <w:rsid w:val="22E82C75"/>
    <w:rsid w:val="22E924D5"/>
    <w:rsid w:val="22EE1374"/>
    <w:rsid w:val="22F4099F"/>
    <w:rsid w:val="22F55FE0"/>
    <w:rsid w:val="22FC6BE8"/>
    <w:rsid w:val="22FD3CF7"/>
    <w:rsid w:val="230D67EB"/>
    <w:rsid w:val="230F7587"/>
    <w:rsid w:val="231F7A5D"/>
    <w:rsid w:val="23287C88"/>
    <w:rsid w:val="232E2103"/>
    <w:rsid w:val="23440038"/>
    <w:rsid w:val="23501BDF"/>
    <w:rsid w:val="2351194D"/>
    <w:rsid w:val="236F0FEC"/>
    <w:rsid w:val="237A58C4"/>
    <w:rsid w:val="237C2E6E"/>
    <w:rsid w:val="238241FC"/>
    <w:rsid w:val="23956D5A"/>
    <w:rsid w:val="2395727B"/>
    <w:rsid w:val="23AC3027"/>
    <w:rsid w:val="23C31118"/>
    <w:rsid w:val="23CE74AC"/>
    <w:rsid w:val="23EE1762"/>
    <w:rsid w:val="23F700A4"/>
    <w:rsid w:val="23FD506A"/>
    <w:rsid w:val="240D1D18"/>
    <w:rsid w:val="24133F89"/>
    <w:rsid w:val="241403E5"/>
    <w:rsid w:val="242247F1"/>
    <w:rsid w:val="243C084F"/>
    <w:rsid w:val="243C7A3E"/>
    <w:rsid w:val="244514B2"/>
    <w:rsid w:val="24476EB2"/>
    <w:rsid w:val="244C705F"/>
    <w:rsid w:val="24547D71"/>
    <w:rsid w:val="24561911"/>
    <w:rsid w:val="24585497"/>
    <w:rsid w:val="24596D0B"/>
    <w:rsid w:val="245C67FB"/>
    <w:rsid w:val="246005C7"/>
    <w:rsid w:val="246D6428"/>
    <w:rsid w:val="246E22EB"/>
    <w:rsid w:val="2471651F"/>
    <w:rsid w:val="24773635"/>
    <w:rsid w:val="247C66F8"/>
    <w:rsid w:val="24893610"/>
    <w:rsid w:val="248E4431"/>
    <w:rsid w:val="248F1A49"/>
    <w:rsid w:val="24945F95"/>
    <w:rsid w:val="249B6214"/>
    <w:rsid w:val="24A11C94"/>
    <w:rsid w:val="24A26904"/>
    <w:rsid w:val="24A30FDD"/>
    <w:rsid w:val="24A33634"/>
    <w:rsid w:val="24A53DF5"/>
    <w:rsid w:val="24A56018"/>
    <w:rsid w:val="24A75A73"/>
    <w:rsid w:val="24A93B72"/>
    <w:rsid w:val="24B35463"/>
    <w:rsid w:val="24BB5C18"/>
    <w:rsid w:val="24C65CDE"/>
    <w:rsid w:val="24CB010E"/>
    <w:rsid w:val="24CF1762"/>
    <w:rsid w:val="24D82326"/>
    <w:rsid w:val="24DD7379"/>
    <w:rsid w:val="24DE3A10"/>
    <w:rsid w:val="24DE3F7C"/>
    <w:rsid w:val="24E012E7"/>
    <w:rsid w:val="24E16D01"/>
    <w:rsid w:val="24EB76D6"/>
    <w:rsid w:val="24F73A61"/>
    <w:rsid w:val="250943F8"/>
    <w:rsid w:val="250E4EB1"/>
    <w:rsid w:val="251720ED"/>
    <w:rsid w:val="251B0465"/>
    <w:rsid w:val="252D0733"/>
    <w:rsid w:val="252D59CC"/>
    <w:rsid w:val="252F5CBE"/>
    <w:rsid w:val="25666553"/>
    <w:rsid w:val="257162D7"/>
    <w:rsid w:val="25755DC7"/>
    <w:rsid w:val="257D4DFF"/>
    <w:rsid w:val="25953622"/>
    <w:rsid w:val="25983267"/>
    <w:rsid w:val="259E0826"/>
    <w:rsid w:val="25AC730F"/>
    <w:rsid w:val="25B6018D"/>
    <w:rsid w:val="25BA715F"/>
    <w:rsid w:val="25BE7652"/>
    <w:rsid w:val="25BF727E"/>
    <w:rsid w:val="25E371D4"/>
    <w:rsid w:val="25FA68C7"/>
    <w:rsid w:val="25FC50C4"/>
    <w:rsid w:val="25FD6F41"/>
    <w:rsid w:val="260D24A3"/>
    <w:rsid w:val="260E0DFC"/>
    <w:rsid w:val="26146280"/>
    <w:rsid w:val="26153106"/>
    <w:rsid w:val="261F21D6"/>
    <w:rsid w:val="2628108B"/>
    <w:rsid w:val="263C353C"/>
    <w:rsid w:val="263E08AF"/>
    <w:rsid w:val="264F4CDC"/>
    <w:rsid w:val="26547E71"/>
    <w:rsid w:val="265F25D3"/>
    <w:rsid w:val="266B0FB5"/>
    <w:rsid w:val="266F6CBA"/>
    <w:rsid w:val="26773DC1"/>
    <w:rsid w:val="267832D8"/>
    <w:rsid w:val="26797B39"/>
    <w:rsid w:val="267C5921"/>
    <w:rsid w:val="269811C6"/>
    <w:rsid w:val="26A36964"/>
    <w:rsid w:val="26A526DC"/>
    <w:rsid w:val="26AC324D"/>
    <w:rsid w:val="26B7511D"/>
    <w:rsid w:val="26C03072"/>
    <w:rsid w:val="26C94EE9"/>
    <w:rsid w:val="26DB7EAB"/>
    <w:rsid w:val="26E1123A"/>
    <w:rsid w:val="26E13459"/>
    <w:rsid w:val="26ED1D1A"/>
    <w:rsid w:val="26F15921"/>
    <w:rsid w:val="26F251F5"/>
    <w:rsid w:val="26FF59EF"/>
    <w:rsid w:val="27004263"/>
    <w:rsid w:val="27111B1F"/>
    <w:rsid w:val="27137E46"/>
    <w:rsid w:val="271433BD"/>
    <w:rsid w:val="271F039A"/>
    <w:rsid w:val="27257379"/>
    <w:rsid w:val="27293AB8"/>
    <w:rsid w:val="27360524"/>
    <w:rsid w:val="27361586"/>
    <w:rsid w:val="2744306A"/>
    <w:rsid w:val="274636EB"/>
    <w:rsid w:val="27561C28"/>
    <w:rsid w:val="27564670"/>
    <w:rsid w:val="27672B4C"/>
    <w:rsid w:val="27686563"/>
    <w:rsid w:val="276A5122"/>
    <w:rsid w:val="27757300"/>
    <w:rsid w:val="277B1588"/>
    <w:rsid w:val="27A02EA3"/>
    <w:rsid w:val="27A1127B"/>
    <w:rsid w:val="27B54BA0"/>
    <w:rsid w:val="27B76299"/>
    <w:rsid w:val="27C7726B"/>
    <w:rsid w:val="27C85198"/>
    <w:rsid w:val="27C941A8"/>
    <w:rsid w:val="27CF67BE"/>
    <w:rsid w:val="27D72D69"/>
    <w:rsid w:val="27E42606"/>
    <w:rsid w:val="27E51697"/>
    <w:rsid w:val="27E60CAF"/>
    <w:rsid w:val="27F82CDF"/>
    <w:rsid w:val="27FA25B3"/>
    <w:rsid w:val="27FA79D6"/>
    <w:rsid w:val="280F2D2B"/>
    <w:rsid w:val="28101DD7"/>
    <w:rsid w:val="281178FD"/>
    <w:rsid w:val="28141ECF"/>
    <w:rsid w:val="281715BA"/>
    <w:rsid w:val="281A0EA7"/>
    <w:rsid w:val="28200815"/>
    <w:rsid w:val="28212236"/>
    <w:rsid w:val="282C7DCB"/>
    <w:rsid w:val="282F310B"/>
    <w:rsid w:val="28333D17"/>
    <w:rsid w:val="28381657"/>
    <w:rsid w:val="28392C41"/>
    <w:rsid w:val="283C7070"/>
    <w:rsid w:val="283E4ED3"/>
    <w:rsid w:val="284036EF"/>
    <w:rsid w:val="284D6B87"/>
    <w:rsid w:val="28592F7A"/>
    <w:rsid w:val="28602A0B"/>
    <w:rsid w:val="28650375"/>
    <w:rsid w:val="286A3B85"/>
    <w:rsid w:val="287C121A"/>
    <w:rsid w:val="2880643A"/>
    <w:rsid w:val="2881022C"/>
    <w:rsid w:val="28825672"/>
    <w:rsid w:val="2885221B"/>
    <w:rsid w:val="28AD5319"/>
    <w:rsid w:val="28B8508F"/>
    <w:rsid w:val="28BF1532"/>
    <w:rsid w:val="28C01A4F"/>
    <w:rsid w:val="28CA642A"/>
    <w:rsid w:val="28CD7CC8"/>
    <w:rsid w:val="28D9041B"/>
    <w:rsid w:val="28DC05B9"/>
    <w:rsid w:val="28DD77A6"/>
    <w:rsid w:val="28E31299"/>
    <w:rsid w:val="28E951F0"/>
    <w:rsid w:val="28ED15E9"/>
    <w:rsid w:val="28FD67FF"/>
    <w:rsid w:val="290339D9"/>
    <w:rsid w:val="29064F88"/>
    <w:rsid w:val="291309D6"/>
    <w:rsid w:val="2917777C"/>
    <w:rsid w:val="29211DC2"/>
    <w:rsid w:val="293372CB"/>
    <w:rsid w:val="293606FF"/>
    <w:rsid w:val="29381D5F"/>
    <w:rsid w:val="29382D08"/>
    <w:rsid w:val="293B2E83"/>
    <w:rsid w:val="29453FAB"/>
    <w:rsid w:val="294C5091"/>
    <w:rsid w:val="294E0E09"/>
    <w:rsid w:val="294F692F"/>
    <w:rsid w:val="295D54F0"/>
    <w:rsid w:val="296603D9"/>
    <w:rsid w:val="29661519"/>
    <w:rsid w:val="296F7CDC"/>
    <w:rsid w:val="297B3BC8"/>
    <w:rsid w:val="29826D04"/>
    <w:rsid w:val="298C78D4"/>
    <w:rsid w:val="29946A38"/>
    <w:rsid w:val="29952828"/>
    <w:rsid w:val="299A5CB3"/>
    <w:rsid w:val="299B2AD1"/>
    <w:rsid w:val="29A053DC"/>
    <w:rsid w:val="29A1458D"/>
    <w:rsid w:val="29A21953"/>
    <w:rsid w:val="29B63EE9"/>
    <w:rsid w:val="29B641A3"/>
    <w:rsid w:val="29C371D4"/>
    <w:rsid w:val="29C4429B"/>
    <w:rsid w:val="29C63095"/>
    <w:rsid w:val="29CF1AD2"/>
    <w:rsid w:val="29D2740F"/>
    <w:rsid w:val="29DB4666"/>
    <w:rsid w:val="29DE1FC0"/>
    <w:rsid w:val="29E654E5"/>
    <w:rsid w:val="29E77FAC"/>
    <w:rsid w:val="29EF1FA8"/>
    <w:rsid w:val="29FA2D3E"/>
    <w:rsid w:val="2A026C2F"/>
    <w:rsid w:val="2A0B6CFA"/>
    <w:rsid w:val="2A0F7A1E"/>
    <w:rsid w:val="2A1A6F3D"/>
    <w:rsid w:val="2A1B5161"/>
    <w:rsid w:val="2A225DF1"/>
    <w:rsid w:val="2A331144"/>
    <w:rsid w:val="2A353D77"/>
    <w:rsid w:val="2A3D1209"/>
    <w:rsid w:val="2A443FBA"/>
    <w:rsid w:val="2A472E55"/>
    <w:rsid w:val="2A473AAA"/>
    <w:rsid w:val="2A51512B"/>
    <w:rsid w:val="2A554419"/>
    <w:rsid w:val="2A59500B"/>
    <w:rsid w:val="2A662892"/>
    <w:rsid w:val="2A685EFA"/>
    <w:rsid w:val="2A6B1546"/>
    <w:rsid w:val="2A6E1037"/>
    <w:rsid w:val="2A701750"/>
    <w:rsid w:val="2A7E70B0"/>
    <w:rsid w:val="2A830F86"/>
    <w:rsid w:val="2A8B37C2"/>
    <w:rsid w:val="2A906CDB"/>
    <w:rsid w:val="2A9C3DF6"/>
    <w:rsid w:val="2AAA6D5A"/>
    <w:rsid w:val="2AAF1D7B"/>
    <w:rsid w:val="2AAF505C"/>
    <w:rsid w:val="2AB279D0"/>
    <w:rsid w:val="2AB4161F"/>
    <w:rsid w:val="2AB87205"/>
    <w:rsid w:val="2ABA24CE"/>
    <w:rsid w:val="2ABF1E90"/>
    <w:rsid w:val="2ACF7D27"/>
    <w:rsid w:val="2AD60A39"/>
    <w:rsid w:val="2AD73080"/>
    <w:rsid w:val="2AE0119A"/>
    <w:rsid w:val="2AE9690F"/>
    <w:rsid w:val="2AED26B4"/>
    <w:rsid w:val="2AF351CC"/>
    <w:rsid w:val="2AF85ADC"/>
    <w:rsid w:val="2B0725D6"/>
    <w:rsid w:val="2B1936F0"/>
    <w:rsid w:val="2B1E7D77"/>
    <w:rsid w:val="2B304092"/>
    <w:rsid w:val="2B317C0A"/>
    <w:rsid w:val="2B452614"/>
    <w:rsid w:val="2B4E03AB"/>
    <w:rsid w:val="2B510F64"/>
    <w:rsid w:val="2B616578"/>
    <w:rsid w:val="2B7005E8"/>
    <w:rsid w:val="2B827263"/>
    <w:rsid w:val="2B846E06"/>
    <w:rsid w:val="2B95270E"/>
    <w:rsid w:val="2B975ACD"/>
    <w:rsid w:val="2B9929E0"/>
    <w:rsid w:val="2BA967CA"/>
    <w:rsid w:val="2BAA609E"/>
    <w:rsid w:val="2BAC0068"/>
    <w:rsid w:val="2BAC62BA"/>
    <w:rsid w:val="2BB12ABA"/>
    <w:rsid w:val="2BBA06A5"/>
    <w:rsid w:val="2BBA2698"/>
    <w:rsid w:val="2BBD4051"/>
    <w:rsid w:val="2BC66ED9"/>
    <w:rsid w:val="2BCA04EF"/>
    <w:rsid w:val="2BD17ACF"/>
    <w:rsid w:val="2BD61589"/>
    <w:rsid w:val="2BDB26FC"/>
    <w:rsid w:val="2BDE3F9A"/>
    <w:rsid w:val="2BE12411"/>
    <w:rsid w:val="2BF612E4"/>
    <w:rsid w:val="2C027C88"/>
    <w:rsid w:val="2C0476C7"/>
    <w:rsid w:val="2C071743"/>
    <w:rsid w:val="2C0E2AD1"/>
    <w:rsid w:val="2C136339"/>
    <w:rsid w:val="2C155C0E"/>
    <w:rsid w:val="2C1B1D16"/>
    <w:rsid w:val="2C1F4607"/>
    <w:rsid w:val="2C1F4CDE"/>
    <w:rsid w:val="2C281387"/>
    <w:rsid w:val="2C351E0C"/>
    <w:rsid w:val="2C386E53"/>
    <w:rsid w:val="2C4B162F"/>
    <w:rsid w:val="2C4E1120"/>
    <w:rsid w:val="2C530119"/>
    <w:rsid w:val="2C563778"/>
    <w:rsid w:val="2C5D2F6E"/>
    <w:rsid w:val="2C604777"/>
    <w:rsid w:val="2C680433"/>
    <w:rsid w:val="2C6C3854"/>
    <w:rsid w:val="2C6E6B28"/>
    <w:rsid w:val="2C844B41"/>
    <w:rsid w:val="2C9034E6"/>
    <w:rsid w:val="2C950AFD"/>
    <w:rsid w:val="2C9B6EAC"/>
    <w:rsid w:val="2C9F1B0F"/>
    <w:rsid w:val="2C9F5598"/>
    <w:rsid w:val="2CA01855"/>
    <w:rsid w:val="2CA6335F"/>
    <w:rsid w:val="2CB456C6"/>
    <w:rsid w:val="2CBF0FE1"/>
    <w:rsid w:val="2CBF3DCB"/>
    <w:rsid w:val="2CC142F8"/>
    <w:rsid w:val="2CD31625"/>
    <w:rsid w:val="2CDF446E"/>
    <w:rsid w:val="2CE4564D"/>
    <w:rsid w:val="2CE63DF8"/>
    <w:rsid w:val="2CE832BE"/>
    <w:rsid w:val="2CEB78F2"/>
    <w:rsid w:val="2CED1C54"/>
    <w:rsid w:val="2D03015C"/>
    <w:rsid w:val="2D151C3D"/>
    <w:rsid w:val="2D275E13"/>
    <w:rsid w:val="2D293036"/>
    <w:rsid w:val="2D2E06FF"/>
    <w:rsid w:val="2D3447B9"/>
    <w:rsid w:val="2D5D6575"/>
    <w:rsid w:val="2D5F0571"/>
    <w:rsid w:val="2D614E83"/>
    <w:rsid w:val="2D7626DC"/>
    <w:rsid w:val="2D7B6430"/>
    <w:rsid w:val="2D85625F"/>
    <w:rsid w:val="2D8D790C"/>
    <w:rsid w:val="2D9122AC"/>
    <w:rsid w:val="2D962D7E"/>
    <w:rsid w:val="2D9654D2"/>
    <w:rsid w:val="2D9A4D80"/>
    <w:rsid w:val="2D9D299A"/>
    <w:rsid w:val="2DA07906"/>
    <w:rsid w:val="2DAA24F8"/>
    <w:rsid w:val="2DB51554"/>
    <w:rsid w:val="2DB9290A"/>
    <w:rsid w:val="2DBD31D7"/>
    <w:rsid w:val="2DC51C30"/>
    <w:rsid w:val="2DCA6ABE"/>
    <w:rsid w:val="2DD65871"/>
    <w:rsid w:val="2DE33727"/>
    <w:rsid w:val="2DE47F8D"/>
    <w:rsid w:val="2DEC5634"/>
    <w:rsid w:val="2DEE50DA"/>
    <w:rsid w:val="2DF06497"/>
    <w:rsid w:val="2DFA19C5"/>
    <w:rsid w:val="2DFB7085"/>
    <w:rsid w:val="2DFD104F"/>
    <w:rsid w:val="2E0A551A"/>
    <w:rsid w:val="2E0D59E1"/>
    <w:rsid w:val="2E137109"/>
    <w:rsid w:val="2E190295"/>
    <w:rsid w:val="2E1B7727"/>
    <w:rsid w:val="2E1D35D2"/>
    <w:rsid w:val="2E206AEC"/>
    <w:rsid w:val="2E266944"/>
    <w:rsid w:val="2E272EDA"/>
    <w:rsid w:val="2E2E2FB7"/>
    <w:rsid w:val="2E3B1934"/>
    <w:rsid w:val="2E4256CC"/>
    <w:rsid w:val="2E44640D"/>
    <w:rsid w:val="2E4C6450"/>
    <w:rsid w:val="2E4D632A"/>
    <w:rsid w:val="2E527417"/>
    <w:rsid w:val="2E5B7B24"/>
    <w:rsid w:val="2E60513A"/>
    <w:rsid w:val="2E6147D9"/>
    <w:rsid w:val="2E6A0D7A"/>
    <w:rsid w:val="2E756E38"/>
    <w:rsid w:val="2E8419E1"/>
    <w:rsid w:val="2E84633A"/>
    <w:rsid w:val="2E8601F3"/>
    <w:rsid w:val="2E870919"/>
    <w:rsid w:val="2E953C5B"/>
    <w:rsid w:val="2EA112E9"/>
    <w:rsid w:val="2EA65CCD"/>
    <w:rsid w:val="2EB54122"/>
    <w:rsid w:val="2EBF3475"/>
    <w:rsid w:val="2EC8759E"/>
    <w:rsid w:val="2ECB2EFB"/>
    <w:rsid w:val="2ED31DB0"/>
    <w:rsid w:val="2EE0379C"/>
    <w:rsid w:val="2EE30245"/>
    <w:rsid w:val="2EF246D1"/>
    <w:rsid w:val="2EF667B7"/>
    <w:rsid w:val="2EFF2BA5"/>
    <w:rsid w:val="2F05386E"/>
    <w:rsid w:val="2F0C0114"/>
    <w:rsid w:val="2F133297"/>
    <w:rsid w:val="2F1D7563"/>
    <w:rsid w:val="2F2443BA"/>
    <w:rsid w:val="2F265330"/>
    <w:rsid w:val="2F2919D0"/>
    <w:rsid w:val="2F2A56B5"/>
    <w:rsid w:val="2F407445"/>
    <w:rsid w:val="2F412B17"/>
    <w:rsid w:val="2F48636B"/>
    <w:rsid w:val="2F486A3A"/>
    <w:rsid w:val="2F5B0F32"/>
    <w:rsid w:val="2F601181"/>
    <w:rsid w:val="2F68699C"/>
    <w:rsid w:val="2F713AA3"/>
    <w:rsid w:val="2F917CA1"/>
    <w:rsid w:val="2F93548A"/>
    <w:rsid w:val="2F9432ED"/>
    <w:rsid w:val="2F9C7CC1"/>
    <w:rsid w:val="2FA774C5"/>
    <w:rsid w:val="2FAB73EE"/>
    <w:rsid w:val="2FB206BB"/>
    <w:rsid w:val="2FBC3872"/>
    <w:rsid w:val="2FBC5A75"/>
    <w:rsid w:val="2FBE0F76"/>
    <w:rsid w:val="2FC63192"/>
    <w:rsid w:val="2FE426E9"/>
    <w:rsid w:val="2FE51E7F"/>
    <w:rsid w:val="2FEC4ED7"/>
    <w:rsid w:val="2FEE1622"/>
    <w:rsid w:val="2FF97EC0"/>
    <w:rsid w:val="3011145B"/>
    <w:rsid w:val="30185CCC"/>
    <w:rsid w:val="30316D8E"/>
    <w:rsid w:val="30336FAA"/>
    <w:rsid w:val="30366598"/>
    <w:rsid w:val="3038636F"/>
    <w:rsid w:val="30390D84"/>
    <w:rsid w:val="303A4DF5"/>
    <w:rsid w:val="303D4E30"/>
    <w:rsid w:val="303E0D6D"/>
    <w:rsid w:val="3049239B"/>
    <w:rsid w:val="304B137F"/>
    <w:rsid w:val="30515682"/>
    <w:rsid w:val="307818D6"/>
    <w:rsid w:val="30786A25"/>
    <w:rsid w:val="307920D8"/>
    <w:rsid w:val="30907F59"/>
    <w:rsid w:val="30977539"/>
    <w:rsid w:val="309A12B0"/>
    <w:rsid w:val="309B51CA"/>
    <w:rsid w:val="309D4424"/>
    <w:rsid w:val="30AE0C6C"/>
    <w:rsid w:val="30B26B41"/>
    <w:rsid w:val="30B75796"/>
    <w:rsid w:val="30B8300C"/>
    <w:rsid w:val="30B8434A"/>
    <w:rsid w:val="30BC0700"/>
    <w:rsid w:val="30C61B6F"/>
    <w:rsid w:val="30CC42D8"/>
    <w:rsid w:val="30D342E9"/>
    <w:rsid w:val="30D73B52"/>
    <w:rsid w:val="30D96FB5"/>
    <w:rsid w:val="30E42146"/>
    <w:rsid w:val="30E629FE"/>
    <w:rsid w:val="30E87D95"/>
    <w:rsid w:val="30ED29E5"/>
    <w:rsid w:val="30ED2B9B"/>
    <w:rsid w:val="30EE0170"/>
    <w:rsid w:val="3107414E"/>
    <w:rsid w:val="310F3573"/>
    <w:rsid w:val="31140B20"/>
    <w:rsid w:val="31142C39"/>
    <w:rsid w:val="311A3CC6"/>
    <w:rsid w:val="311D24D2"/>
    <w:rsid w:val="312A1CE8"/>
    <w:rsid w:val="31311F57"/>
    <w:rsid w:val="31336B36"/>
    <w:rsid w:val="313441E4"/>
    <w:rsid w:val="31413001"/>
    <w:rsid w:val="314A15AB"/>
    <w:rsid w:val="314D38BF"/>
    <w:rsid w:val="315471D8"/>
    <w:rsid w:val="31716A86"/>
    <w:rsid w:val="31877CEB"/>
    <w:rsid w:val="318A2BFA"/>
    <w:rsid w:val="318D6246"/>
    <w:rsid w:val="319012C3"/>
    <w:rsid w:val="319B6BB5"/>
    <w:rsid w:val="319F4B54"/>
    <w:rsid w:val="31B600C4"/>
    <w:rsid w:val="31BB7257"/>
    <w:rsid w:val="31C4334F"/>
    <w:rsid w:val="31C449E9"/>
    <w:rsid w:val="31C679AA"/>
    <w:rsid w:val="31CD524D"/>
    <w:rsid w:val="31D200FD"/>
    <w:rsid w:val="31D65E3F"/>
    <w:rsid w:val="31E3377A"/>
    <w:rsid w:val="31E340B8"/>
    <w:rsid w:val="31EE13DB"/>
    <w:rsid w:val="31F42769"/>
    <w:rsid w:val="31FB0586"/>
    <w:rsid w:val="320026C4"/>
    <w:rsid w:val="320745AA"/>
    <w:rsid w:val="32085F7F"/>
    <w:rsid w:val="320C0799"/>
    <w:rsid w:val="320F68FA"/>
    <w:rsid w:val="321150C9"/>
    <w:rsid w:val="32140715"/>
    <w:rsid w:val="32171FB4"/>
    <w:rsid w:val="32193F7E"/>
    <w:rsid w:val="32195D2C"/>
    <w:rsid w:val="321E3A0A"/>
    <w:rsid w:val="32221084"/>
    <w:rsid w:val="3231654B"/>
    <w:rsid w:val="32390091"/>
    <w:rsid w:val="32412B0D"/>
    <w:rsid w:val="32456B21"/>
    <w:rsid w:val="32471376"/>
    <w:rsid w:val="324803BF"/>
    <w:rsid w:val="324B12DD"/>
    <w:rsid w:val="324F37A1"/>
    <w:rsid w:val="3260395B"/>
    <w:rsid w:val="32676A97"/>
    <w:rsid w:val="326E42CA"/>
    <w:rsid w:val="3273415F"/>
    <w:rsid w:val="3281224F"/>
    <w:rsid w:val="328F5FEE"/>
    <w:rsid w:val="32911713"/>
    <w:rsid w:val="32946866"/>
    <w:rsid w:val="3296737C"/>
    <w:rsid w:val="329E7D82"/>
    <w:rsid w:val="329F02F1"/>
    <w:rsid w:val="329F4E1D"/>
    <w:rsid w:val="32A1062B"/>
    <w:rsid w:val="32C0264B"/>
    <w:rsid w:val="32C24615"/>
    <w:rsid w:val="32C4038E"/>
    <w:rsid w:val="32D3617B"/>
    <w:rsid w:val="32D54F0B"/>
    <w:rsid w:val="32D907EA"/>
    <w:rsid w:val="32E71A40"/>
    <w:rsid w:val="32F07F7B"/>
    <w:rsid w:val="32F206AB"/>
    <w:rsid w:val="32F628F6"/>
    <w:rsid w:val="32FB01FE"/>
    <w:rsid w:val="32FD564D"/>
    <w:rsid w:val="33245695"/>
    <w:rsid w:val="332B5D17"/>
    <w:rsid w:val="332E5807"/>
    <w:rsid w:val="333A41AC"/>
    <w:rsid w:val="333B1114"/>
    <w:rsid w:val="333F17C2"/>
    <w:rsid w:val="334D4036"/>
    <w:rsid w:val="3350577D"/>
    <w:rsid w:val="335F3CBD"/>
    <w:rsid w:val="33631954"/>
    <w:rsid w:val="33694A91"/>
    <w:rsid w:val="336E7DB2"/>
    <w:rsid w:val="337C47C4"/>
    <w:rsid w:val="337D7FDF"/>
    <w:rsid w:val="337E029A"/>
    <w:rsid w:val="33912E11"/>
    <w:rsid w:val="33926730"/>
    <w:rsid w:val="339C4E66"/>
    <w:rsid w:val="33A37FA3"/>
    <w:rsid w:val="33AE1321"/>
    <w:rsid w:val="33B165B1"/>
    <w:rsid w:val="33B166C4"/>
    <w:rsid w:val="33B65F28"/>
    <w:rsid w:val="33B74A49"/>
    <w:rsid w:val="33BB337C"/>
    <w:rsid w:val="33C50764"/>
    <w:rsid w:val="33D37BE0"/>
    <w:rsid w:val="33D86B3B"/>
    <w:rsid w:val="33DB5E68"/>
    <w:rsid w:val="33F60B6A"/>
    <w:rsid w:val="33F7209D"/>
    <w:rsid w:val="34030A42"/>
    <w:rsid w:val="340C5B42"/>
    <w:rsid w:val="34164C19"/>
    <w:rsid w:val="341669C7"/>
    <w:rsid w:val="341B71BE"/>
    <w:rsid w:val="341E2485"/>
    <w:rsid w:val="3421711A"/>
    <w:rsid w:val="342539ED"/>
    <w:rsid w:val="3428494C"/>
    <w:rsid w:val="34296076"/>
    <w:rsid w:val="34344400"/>
    <w:rsid w:val="343664FC"/>
    <w:rsid w:val="343B0ACB"/>
    <w:rsid w:val="343F7FE3"/>
    <w:rsid w:val="344E43B3"/>
    <w:rsid w:val="346040E6"/>
    <w:rsid w:val="346478AF"/>
    <w:rsid w:val="34687A20"/>
    <w:rsid w:val="346D545F"/>
    <w:rsid w:val="347772F5"/>
    <w:rsid w:val="34831B82"/>
    <w:rsid w:val="34847DD4"/>
    <w:rsid w:val="3486179D"/>
    <w:rsid w:val="348A6712"/>
    <w:rsid w:val="3499106F"/>
    <w:rsid w:val="349A48AA"/>
    <w:rsid w:val="34A64FAC"/>
    <w:rsid w:val="34B1049E"/>
    <w:rsid w:val="34B27465"/>
    <w:rsid w:val="34C05F0A"/>
    <w:rsid w:val="34D80120"/>
    <w:rsid w:val="34D96912"/>
    <w:rsid w:val="34EC4D19"/>
    <w:rsid w:val="34F21C33"/>
    <w:rsid w:val="350D27C0"/>
    <w:rsid w:val="35103449"/>
    <w:rsid w:val="352D5BCD"/>
    <w:rsid w:val="35505F08"/>
    <w:rsid w:val="35584DBD"/>
    <w:rsid w:val="35586B6B"/>
    <w:rsid w:val="355B7176"/>
    <w:rsid w:val="355F439E"/>
    <w:rsid w:val="355F7EFA"/>
    <w:rsid w:val="356E363E"/>
    <w:rsid w:val="356E45E1"/>
    <w:rsid w:val="35701173"/>
    <w:rsid w:val="357200F3"/>
    <w:rsid w:val="35740325"/>
    <w:rsid w:val="35764243"/>
    <w:rsid w:val="357716E7"/>
    <w:rsid w:val="358D0F0B"/>
    <w:rsid w:val="359009FB"/>
    <w:rsid w:val="359419F2"/>
    <w:rsid w:val="359E4EC6"/>
    <w:rsid w:val="35A05C9D"/>
    <w:rsid w:val="35AA386B"/>
    <w:rsid w:val="35AB5E52"/>
    <w:rsid w:val="35B50461"/>
    <w:rsid w:val="35B8258A"/>
    <w:rsid w:val="35CD0A93"/>
    <w:rsid w:val="35CD7559"/>
    <w:rsid w:val="35DB7EC8"/>
    <w:rsid w:val="35DE3514"/>
    <w:rsid w:val="35DE7D2E"/>
    <w:rsid w:val="35DF103A"/>
    <w:rsid w:val="35E05FBA"/>
    <w:rsid w:val="35EC6839"/>
    <w:rsid w:val="35F770B1"/>
    <w:rsid w:val="35FA5E74"/>
    <w:rsid w:val="360208DF"/>
    <w:rsid w:val="36126734"/>
    <w:rsid w:val="362C654E"/>
    <w:rsid w:val="36363EBE"/>
    <w:rsid w:val="3639699D"/>
    <w:rsid w:val="363C5D0D"/>
    <w:rsid w:val="364D069A"/>
    <w:rsid w:val="364E412E"/>
    <w:rsid w:val="365A3D7D"/>
    <w:rsid w:val="366D7CF9"/>
    <w:rsid w:val="366F2E3C"/>
    <w:rsid w:val="36883480"/>
    <w:rsid w:val="369561CD"/>
    <w:rsid w:val="369B676B"/>
    <w:rsid w:val="36AA33F6"/>
    <w:rsid w:val="36B10C29"/>
    <w:rsid w:val="36B13AD8"/>
    <w:rsid w:val="36BE7D78"/>
    <w:rsid w:val="36C01346"/>
    <w:rsid w:val="36C23E30"/>
    <w:rsid w:val="36C26992"/>
    <w:rsid w:val="36C70464"/>
    <w:rsid w:val="36CB4F70"/>
    <w:rsid w:val="36CF10AF"/>
    <w:rsid w:val="36D14246"/>
    <w:rsid w:val="36DC7DD0"/>
    <w:rsid w:val="36DE2B7B"/>
    <w:rsid w:val="36E4361E"/>
    <w:rsid w:val="36EA0805"/>
    <w:rsid w:val="36F47372"/>
    <w:rsid w:val="36F653C9"/>
    <w:rsid w:val="36F71DAE"/>
    <w:rsid w:val="36F85E98"/>
    <w:rsid w:val="36FE17C4"/>
    <w:rsid w:val="370451FC"/>
    <w:rsid w:val="37052D23"/>
    <w:rsid w:val="3706456B"/>
    <w:rsid w:val="37086F73"/>
    <w:rsid w:val="3714055A"/>
    <w:rsid w:val="37144D14"/>
    <w:rsid w:val="37163E07"/>
    <w:rsid w:val="37165E7F"/>
    <w:rsid w:val="371A4A20"/>
    <w:rsid w:val="374455F9"/>
    <w:rsid w:val="3746154C"/>
    <w:rsid w:val="374D5F48"/>
    <w:rsid w:val="375241BA"/>
    <w:rsid w:val="375A306E"/>
    <w:rsid w:val="37601F07"/>
    <w:rsid w:val="37647A49"/>
    <w:rsid w:val="376827A8"/>
    <w:rsid w:val="376A2ED8"/>
    <w:rsid w:val="376F7DF3"/>
    <w:rsid w:val="37734130"/>
    <w:rsid w:val="37751C56"/>
    <w:rsid w:val="37772732"/>
    <w:rsid w:val="377D0B0B"/>
    <w:rsid w:val="378F33F2"/>
    <w:rsid w:val="379C0092"/>
    <w:rsid w:val="379C5398"/>
    <w:rsid w:val="37A226D7"/>
    <w:rsid w:val="37B747BB"/>
    <w:rsid w:val="37B87D95"/>
    <w:rsid w:val="37BF1123"/>
    <w:rsid w:val="37C02A03"/>
    <w:rsid w:val="37C30C14"/>
    <w:rsid w:val="37C67DCF"/>
    <w:rsid w:val="37CD1A92"/>
    <w:rsid w:val="37CD5028"/>
    <w:rsid w:val="37D22C05"/>
    <w:rsid w:val="37D7646D"/>
    <w:rsid w:val="37D86DB3"/>
    <w:rsid w:val="37FA215C"/>
    <w:rsid w:val="38003C16"/>
    <w:rsid w:val="38021C18"/>
    <w:rsid w:val="38055562"/>
    <w:rsid w:val="3807282B"/>
    <w:rsid w:val="38122357"/>
    <w:rsid w:val="38170FCD"/>
    <w:rsid w:val="381C20D2"/>
    <w:rsid w:val="38253DC1"/>
    <w:rsid w:val="3831298F"/>
    <w:rsid w:val="385B4DBD"/>
    <w:rsid w:val="3862042D"/>
    <w:rsid w:val="386264F3"/>
    <w:rsid w:val="38654298"/>
    <w:rsid w:val="386A0849"/>
    <w:rsid w:val="38887767"/>
    <w:rsid w:val="388B14B0"/>
    <w:rsid w:val="38916319"/>
    <w:rsid w:val="389936D8"/>
    <w:rsid w:val="38A82706"/>
    <w:rsid w:val="38BD6874"/>
    <w:rsid w:val="38C06F01"/>
    <w:rsid w:val="38C100E0"/>
    <w:rsid w:val="38C62D21"/>
    <w:rsid w:val="38C75339"/>
    <w:rsid w:val="38CB0823"/>
    <w:rsid w:val="38CF5396"/>
    <w:rsid w:val="38DD0639"/>
    <w:rsid w:val="38DE382B"/>
    <w:rsid w:val="38E12CFC"/>
    <w:rsid w:val="38EB0F04"/>
    <w:rsid w:val="38F009E7"/>
    <w:rsid w:val="38F350C0"/>
    <w:rsid w:val="39032AFC"/>
    <w:rsid w:val="3903569C"/>
    <w:rsid w:val="39050DB8"/>
    <w:rsid w:val="39072455"/>
    <w:rsid w:val="39096AFA"/>
    <w:rsid w:val="390C0EEC"/>
    <w:rsid w:val="39115169"/>
    <w:rsid w:val="391C56EA"/>
    <w:rsid w:val="39203E44"/>
    <w:rsid w:val="39247093"/>
    <w:rsid w:val="392A1800"/>
    <w:rsid w:val="3934169D"/>
    <w:rsid w:val="393568B7"/>
    <w:rsid w:val="39461AFC"/>
    <w:rsid w:val="39496958"/>
    <w:rsid w:val="39534219"/>
    <w:rsid w:val="39615CED"/>
    <w:rsid w:val="39626A70"/>
    <w:rsid w:val="396468BC"/>
    <w:rsid w:val="39657AA9"/>
    <w:rsid w:val="39696C90"/>
    <w:rsid w:val="396A7887"/>
    <w:rsid w:val="396E1053"/>
    <w:rsid w:val="397D5BE7"/>
    <w:rsid w:val="398048E2"/>
    <w:rsid w:val="398226B4"/>
    <w:rsid w:val="398B31DA"/>
    <w:rsid w:val="398D1F42"/>
    <w:rsid w:val="39981C2C"/>
    <w:rsid w:val="399972E4"/>
    <w:rsid w:val="399D5494"/>
    <w:rsid w:val="39A57F58"/>
    <w:rsid w:val="39A86044"/>
    <w:rsid w:val="39B54AD0"/>
    <w:rsid w:val="39C07402"/>
    <w:rsid w:val="39CA4792"/>
    <w:rsid w:val="39D9223A"/>
    <w:rsid w:val="39DC044C"/>
    <w:rsid w:val="39E2517B"/>
    <w:rsid w:val="39E31FA9"/>
    <w:rsid w:val="39E976D1"/>
    <w:rsid w:val="39EE37CD"/>
    <w:rsid w:val="39F03093"/>
    <w:rsid w:val="39F6709C"/>
    <w:rsid w:val="3A02665E"/>
    <w:rsid w:val="3A127DAE"/>
    <w:rsid w:val="3A1A4D37"/>
    <w:rsid w:val="3A1E65D5"/>
    <w:rsid w:val="3A200C9E"/>
    <w:rsid w:val="3A274D88"/>
    <w:rsid w:val="3A296D28"/>
    <w:rsid w:val="3A2E433E"/>
    <w:rsid w:val="3A3C4CAD"/>
    <w:rsid w:val="3A4A1136"/>
    <w:rsid w:val="3A5A444D"/>
    <w:rsid w:val="3A6164C2"/>
    <w:rsid w:val="3A716474"/>
    <w:rsid w:val="3A8A5A19"/>
    <w:rsid w:val="3A916DA7"/>
    <w:rsid w:val="3A91727F"/>
    <w:rsid w:val="3A946897"/>
    <w:rsid w:val="3A9B7C26"/>
    <w:rsid w:val="3AA12D62"/>
    <w:rsid w:val="3AA35FBF"/>
    <w:rsid w:val="3AB224E9"/>
    <w:rsid w:val="3AB72B53"/>
    <w:rsid w:val="3AB900AC"/>
    <w:rsid w:val="3AC12F2C"/>
    <w:rsid w:val="3AC50642"/>
    <w:rsid w:val="3ACC6031"/>
    <w:rsid w:val="3AD35612"/>
    <w:rsid w:val="3ADD023E"/>
    <w:rsid w:val="3AE43387"/>
    <w:rsid w:val="3AED5FA8"/>
    <w:rsid w:val="3AFA2F07"/>
    <w:rsid w:val="3AFD268F"/>
    <w:rsid w:val="3B030BE9"/>
    <w:rsid w:val="3B077069"/>
    <w:rsid w:val="3B0E03F8"/>
    <w:rsid w:val="3B1874C8"/>
    <w:rsid w:val="3B365BA1"/>
    <w:rsid w:val="3B3B588D"/>
    <w:rsid w:val="3B3D2A8B"/>
    <w:rsid w:val="3B4C2CCE"/>
    <w:rsid w:val="3B4C3730"/>
    <w:rsid w:val="3B567FF1"/>
    <w:rsid w:val="3B5B2773"/>
    <w:rsid w:val="3B5F6EA5"/>
    <w:rsid w:val="3B695445"/>
    <w:rsid w:val="3B6F002C"/>
    <w:rsid w:val="3B710987"/>
    <w:rsid w:val="3B726878"/>
    <w:rsid w:val="3B75635A"/>
    <w:rsid w:val="3B760D6A"/>
    <w:rsid w:val="3B7B1F43"/>
    <w:rsid w:val="3B820DE6"/>
    <w:rsid w:val="3B857976"/>
    <w:rsid w:val="3B8A0CE3"/>
    <w:rsid w:val="3B8D00E1"/>
    <w:rsid w:val="3B9C001D"/>
    <w:rsid w:val="3B9D79CE"/>
    <w:rsid w:val="3BAA5BE0"/>
    <w:rsid w:val="3BB05406"/>
    <w:rsid w:val="3BCF4BC8"/>
    <w:rsid w:val="3BD27ACD"/>
    <w:rsid w:val="3BD33A7F"/>
    <w:rsid w:val="3BD66A3C"/>
    <w:rsid w:val="3BDD7DCA"/>
    <w:rsid w:val="3BE01225"/>
    <w:rsid w:val="3BE850ED"/>
    <w:rsid w:val="3BE949C1"/>
    <w:rsid w:val="3BEB566F"/>
    <w:rsid w:val="3BEE647B"/>
    <w:rsid w:val="3BF3005F"/>
    <w:rsid w:val="3BF34415"/>
    <w:rsid w:val="3BF4536F"/>
    <w:rsid w:val="3BF77A79"/>
    <w:rsid w:val="3BFD221A"/>
    <w:rsid w:val="3C025A83"/>
    <w:rsid w:val="3C0A1EF5"/>
    <w:rsid w:val="3C0D3DDE"/>
    <w:rsid w:val="3C162964"/>
    <w:rsid w:val="3C1B6FEC"/>
    <w:rsid w:val="3C215F09"/>
    <w:rsid w:val="3C2A3508"/>
    <w:rsid w:val="3C2A47E7"/>
    <w:rsid w:val="3C2B3430"/>
    <w:rsid w:val="3C2D01CA"/>
    <w:rsid w:val="3C2D0D52"/>
    <w:rsid w:val="3C4B742A"/>
    <w:rsid w:val="3C4C18D2"/>
    <w:rsid w:val="3C4F6F1A"/>
    <w:rsid w:val="3C511E41"/>
    <w:rsid w:val="3C522566"/>
    <w:rsid w:val="3C585A10"/>
    <w:rsid w:val="3C6657EB"/>
    <w:rsid w:val="3C6A759B"/>
    <w:rsid w:val="3C767E2E"/>
    <w:rsid w:val="3C8035CE"/>
    <w:rsid w:val="3C8C47B3"/>
    <w:rsid w:val="3C952092"/>
    <w:rsid w:val="3C990195"/>
    <w:rsid w:val="3C990DA3"/>
    <w:rsid w:val="3C991F43"/>
    <w:rsid w:val="3C9D3529"/>
    <w:rsid w:val="3C9E1C4F"/>
    <w:rsid w:val="3CA43E5C"/>
    <w:rsid w:val="3CB90837"/>
    <w:rsid w:val="3CC12619"/>
    <w:rsid w:val="3CCC6572"/>
    <w:rsid w:val="3CD16F14"/>
    <w:rsid w:val="3CD63197"/>
    <w:rsid w:val="3CDC4526"/>
    <w:rsid w:val="3CF11C3E"/>
    <w:rsid w:val="3CF90C34"/>
    <w:rsid w:val="3CFB4C73"/>
    <w:rsid w:val="3D062F84"/>
    <w:rsid w:val="3D112421"/>
    <w:rsid w:val="3D115F7D"/>
    <w:rsid w:val="3D1C35BD"/>
    <w:rsid w:val="3D2B2340"/>
    <w:rsid w:val="3D2F61A5"/>
    <w:rsid w:val="3D344362"/>
    <w:rsid w:val="3D390006"/>
    <w:rsid w:val="3D3D4FC4"/>
    <w:rsid w:val="3D3E0227"/>
    <w:rsid w:val="3D421C50"/>
    <w:rsid w:val="3D524F7E"/>
    <w:rsid w:val="3D5338B0"/>
    <w:rsid w:val="3D5F13DF"/>
    <w:rsid w:val="3D6D1C73"/>
    <w:rsid w:val="3D7023E8"/>
    <w:rsid w:val="3D7711D2"/>
    <w:rsid w:val="3D812058"/>
    <w:rsid w:val="3D815556"/>
    <w:rsid w:val="3D8359E6"/>
    <w:rsid w:val="3D85696B"/>
    <w:rsid w:val="3D87623F"/>
    <w:rsid w:val="3D8E35BB"/>
    <w:rsid w:val="3D9456FB"/>
    <w:rsid w:val="3DA0581F"/>
    <w:rsid w:val="3DA46633"/>
    <w:rsid w:val="3DA70690"/>
    <w:rsid w:val="3DA77BF5"/>
    <w:rsid w:val="3DBA03C3"/>
    <w:rsid w:val="3DBC569E"/>
    <w:rsid w:val="3DC62545"/>
    <w:rsid w:val="3DC9753C"/>
    <w:rsid w:val="3DCA4AF6"/>
    <w:rsid w:val="3DD863BC"/>
    <w:rsid w:val="3DDA0420"/>
    <w:rsid w:val="3DDA1040"/>
    <w:rsid w:val="3DE43520"/>
    <w:rsid w:val="3DEE2762"/>
    <w:rsid w:val="3E09759C"/>
    <w:rsid w:val="3E0C2BE9"/>
    <w:rsid w:val="3E10092B"/>
    <w:rsid w:val="3E160BE0"/>
    <w:rsid w:val="3E1F120C"/>
    <w:rsid w:val="3E237666"/>
    <w:rsid w:val="3E2F6FAD"/>
    <w:rsid w:val="3E3F35BC"/>
    <w:rsid w:val="3E421E47"/>
    <w:rsid w:val="3E44570A"/>
    <w:rsid w:val="3E506F79"/>
    <w:rsid w:val="3E542903"/>
    <w:rsid w:val="3E551D6A"/>
    <w:rsid w:val="3E55633E"/>
    <w:rsid w:val="3E5C3F49"/>
    <w:rsid w:val="3E5E75A0"/>
    <w:rsid w:val="3E713168"/>
    <w:rsid w:val="3E83211F"/>
    <w:rsid w:val="3E833CA2"/>
    <w:rsid w:val="3E8B29F0"/>
    <w:rsid w:val="3E8D4D32"/>
    <w:rsid w:val="3E940B72"/>
    <w:rsid w:val="3E9A5BE2"/>
    <w:rsid w:val="3E9F02D9"/>
    <w:rsid w:val="3E9F0D99"/>
    <w:rsid w:val="3EA90437"/>
    <w:rsid w:val="3EAA79C2"/>
    <w:rsid w:val="3EAD5849"/>
    <w:rsid w:val="3EB11051"/>
    <w:rsid w:val="3EB31536"/>
    <w:rsid w:val="3EB76FF8"/>
    <w:rsid w:val="3EBC016B"/>
    <w:rsid w:val="3ECA2888"/>
    <w:rsid w:val="3ECA6D2C"/>
    <w:rsid w:val="3ECF60F0"/>
    <w:rsid w:val="3EE403AC"/>
    <w:rsid w:val="3EEC20DE"/>
    <w:rsid w:val="3F004BD8"/>
    <w:rsid w:val="3F0437BD"/>
    <w:rsid w:val="3F0F37E5"/>
    <w:rsid w:val="3F141D55"/>
    <w:rsid w:val="3F150D8C"/>
    <w:rsid w:val="3F175563"/>
    <w:rsid w:val="3F185CE9"/>
    <w:rsid w:val="3F1D63BC"/>
    <w:rsid w:val="3F283A75"/>
    <w:rsid w:val="3F3B3785"/>
    <w:rsid w:val="3F47659E"/>
    <w:rsid w:val="3F496B8C"/>
    <w:rsid w:val="3F60143E"/>
    <w:rsid w:val="3F682C59"/>
    <w:rsid w:val="3F686BEA"/>
    <w:rsid w:val="3F6B0F21"/>
    <w:rsid w:val="3F6C1830"/>
    <w:rsid w:val="3F8240C6"/>
    <w:rsid w:val="3F840B53"/>
    <w:rsid w:val="3F89104A"/>
    <w:rsid w:val="3F892743"/>
    <w:rsid w:val="3F8C36E0"/>
    <w:rsid w:val="3F966C0E"/>
    <w:rsid w:val="3F9C3841"/>
    <w:rsid w:val="3FA05CDE"/>
    <w:rsid w:val="3FA13A8B"/>
    <w:rsid w:val="3FA36CF4"/>
    <w:rsid w:val="3FA7407F"/>
    <w:rsid w:val="3FAC578A"/>
    <w:rsid w:val="3FAE0EC1"/>
    <w:rsid w:val="3FB77DDD"/>
    <w:rsid w:val="3FC01EDD"/>
    <w:rsid w:val="3FC246AF"/>
    <w:rsid w:val="3FC45529"/>
    <w:rsid w:val="3FC81F99"/>
    <w:rsid w:val="3FDF05B5"/>
    <w:rsid w:val="3FE1257F"/>
    <w:rsid w:val="3FE15DB7"/>
    <w:rsid w:val="3FE529E0"/>
    <w:rsid w:val="3FF43934"/>
    <w:rsid w:val="40004CB7"/>
    <w:rsid w:val="400224F1"/>
    <w:rsid w:val="401E584A"/>
    <w:rsid w:val="40214C29"/>
    <w:rsid w:val="402406BD"/>
    <w:rsid w:val="403F2E01"/>
    <w:rsid w:val="403F77EA"/>
    <w:rsid w:val="404B63AC"/>
    <w:rsid w:val="40520DDE"/>
    <w:rsid w:val="40555585"/>
    <w:rsid w:val="4064548E"/>
    <w:rsid w:val="406C796F"/>
    <w:rsid w:val="40754A75"/>
    <w:rsid w:val="40774905"/>
    <w:rsid w:val="408370FD"/>
    <w:rsid w:val="40870703"/>
    <w:rsid w:val="409C0254"/>
    <w:rsid w:val="409F5F96"/>
    <w:rsid w:val="40A1586A"/>
    <w:rsid w:val="40A566BC"/>
    <w:rsid w:val="40AA5A49"/>
    <w:rsid w:val="40B13F8E"/>
    <w:rsid w:val="40B90E06"/>
    <w:rsid w:val="40C357E1"/>
    <w:rsid w:val="40C90D2C"/>
    <w:rsid w:val="40D4311B"/>
    <w:rsid w:val="40D93256"/>
    <w:rsid w:val="40E83499"/>
    <w:rsid w:val="40ED6DA9"/>
    <w:rsid w:val="40F07E57"/>
    <w:rsid w:val="40F467F2"/>
    <w:rsid w:val="40F46EF2"/>
    <w:rsid w:val="40F97291"/>
    <w:rsid w:val="410302D3"/>
    <w:rsid w:val="410858E9"/>
    <w:rsid w:val="41087697"/>
    <w:rsid w:val="410A1956"/>
    <w:rsid w:val="410D73A4"/>
    <w:rsid w:val="411B7CD7"/>
    <w:rsid w:val="41244EEF"/>
    <w:rsid w:val="41276645"/>
    <w:rsid w:val="412F3DED"/>
    <w:rsid w:val="41313D7A"/>
    <w:rsid w:val="413B5CBF"/>
    <w:rsid w:val="414E4609"/>
    <w:rsid w:val="414F1CC8"/>
    <w:rsid w:val="414F4A0A"/>
    <w:rsid w:val="415A7012"/>
    <w:rsid w:val="416532D9"/>
    <w:rsid w:val="41654AEA"/>
    <w:rsid w:val="4168282C"/>
    <w:rsid w:val="416A07C5"/>
    <w:rsid w:val="417116E0"/>
    <w:rsid w:val="41711ABA"/>
    <w:rsid w:val="41717526"/>
    <w:rsid w:val="41717932"/>
    <w:rsid w:val="41856573"/>
    <w:rsid w:val="419D732C"/>
    <w:rsid w:val="41A53138"/>
    <w:rsid w:val="41AA2733"/>
    <w:rsid w:val="41AC44C7"/>
    <w:rsid w:val="41B25855"/>
    <w:rsid w:val="41B33AA7"/>
    <w:rsid w:val="41B738CB"/>
    <w:rsid w:val="41B91943"/>
    <w:rsid w:val="41CF7E43"/>
    <w:rsid w:val="41D51801"/>
    <w:rsid w:val="41D61543"/>
    <w:rsid w:val="41DC5B0C"/>
    <w:rsid w:val="41E2613A"/>
    <w:rsid w:val="41E345AF"/>
    <w:rsid w:val="41EC0D67"/>
    <w:rsid w:val="41F700F3"/>
    <w:rsid w:val="42010CB6"/>
    <w:rsid w:val="42024A2E"/>
    <w:rsid w:val="4207079B"/>
    <w:rsid w:val="42087147"/>
    <w:rsid w:val="42122BB0"/>
    <w:rsid w:val="42143912"/>
    <w:rsid w:val="421760DD"/>
    <w:rsid w:val="421F75AC"/>
    <w:rsid w:val="422F3D99"/>
    <w:rsid w:val="423459C8"/>
    <w:rsid w:val="423544BC"/>
    <w:rsid w:val="423E2FB8"/>
    <w:rsid w:val="42415557"/>
    <w:rsid w:val="42442951"/>
    <w:rsid w:val="424B0183"/>
    <w:rsid w:val="424C5CAA"/>
    <w:rsid w:val="4252745A"/>
    <w:rsid w:val="4263326E"/>
    <w:rsid w:val="426621D5"/>
    <w:rsid w:val="4269322C"/>
    <w:rsid w:val="426D560B"/>
    <w:rsid w:val="426F075F"/>
    <w:rsid w:val="426F7552"/>
    <w:rsid w:val="427206AA"/>
    <w:rsid w:val="42845443"/>
    <w:rsid w:val="42893C73"/>
    <w:rsid w:val="428A301F"/>
    <w:rsid w:val="428B0580"/>
    <w:rsid w:val="42A72EE0"/>
    <w:rsid w:val="42AE0712"/>
    <w:rsid w:val="42BE2F0C"/>
    <w:rsid w:val="42C152A9"/>
    <w:rsid w:val="42D53EF1"/>
    <w:rsid w:val="42DC702D"/>
    <w:rsid w:val="42DD0287"/>
    <w:rsid w:val="42ED3256"/>
    <w:rsid w:val="42ED5952"/>
    <w:rsid w:val="42EE036C"/>
    <w:rsid w:val="42EF3D16"/>
    <w:rsid w:val="42F52F66"/>
    <w:rsid w:val="42FC2B28"/>
    <w:rsid w:val="42FD378F"/>
    <w:rsid w:val="42FE57D8"/>
    <w:rsid w:val="42FF2CF7"/>
    <w:rsid w:val="43095949"/>
    <w:rsid w:val="43160791"/>
    <w:rsid w:val="431A78C9"/>
    <w:rsid w:val="431B5DA8"/>
    <w:rsid w:val="432033BE"/>
    <w:rsid w:val="432307B8"/>
    <w:rsid w:val="432359E8"/>
    <w:rsid w:val="432611F2"/>
    <w:rsid w:val="43302ED5"/>
    <w:rsid w:val="433E55F2"/>
    <w:rsid w:val="433E7EE2"/>
    <w:rsid w:val="43476B9D"/>
    <w:rsid w:val="43481952"/>
    <w:rsid w:val="435226F1"/>
    <w:rsid w:val="43560B8E"/>
    <w:rsid w:val="43572B58"/>
    <w:rsid w:val="435A2C8A"/>
    <w:rsid w:val="4376075F"/>
    <w:rsid w:val="43776D56"/>
    <w:rsid w:val="437804DE"/>
    <w:rsid w:val="437D4CB6"/>
    <w:rsid w:val="438751EB"/>
    <w:rsid w:val="439E42E3"/>
    <w:rsid w:val="43A51F88"/>
    <w:rsid w:val="43A84E9E"/>
    <w:rsid w:val="43AC4C52"/>
    <w:rsid w:val="43AF029E"/>
    <w:rsid w:val="43B03B87"/>
    <w:rsid w:val="43B6162D"/>
    <w:rsid w:val="43BC29BB"/>
    <w:rsid w:val="43C33D49"/>
    <w:rsid w:val="43CD451D"/>
    <w:rsid w:val="43CD4BC8"/>
    <w:rsid w:val="43DD12AF"/>
    <w:rsid w:val="43F37A4B"/>
    <w:rsid w:val="43F612C7"/>
    <w:rsid w:val="44030F25"/>
    <w:rsid w:val="440A0C04"/>
    <w:rsid w:val="44150A49"/>
    <w:rsid w:val="44184EE4"/>
    <w:rsid w:val="44206F7B"/>
    <w:rsid w:val="442139A0"/>
    <w:rsid w:val="44267712"/>
    <w:rsid w:val="442B0373"/>
    <w:rsid w:val="442E1B0B"/>
    <w:rsid w:val="443F607C"/>
    <w:rsid w:val="4444485A"/>
    <w:rsid w:val="44472BCC"/>
    <w:rsid w:val="444C3D3F"/>
    <w:rsid w:val="444D4EE6"/>
    <w:rsid w:val="44507CD3"/>
    <w:rsid w:val="44626C63"/>
    <w:rsid w:val="44671D18"/>
    <w:rsid w:val="44753296"/>
    <w:rsid w:val="44775260"/>
    <w:rsid w:val="44823C05"/>
    <w:rsid w:val="448939E8"/>
    <w:rsid w:val="44915BF6"/>
    <w:rsid w:val="44923F91"/>
    <w:rsid w:val="449F47B6"/>
    <w:rsid w:val="44A00BE2"/>
    <w:rsid w:val="44A07236"/>
    <w:rsid w:val="44A224AC"/>
    <w:rsid w:val="44A86EFB"/>
    <w:rsid w:val="44B00772"/>
    <w:rsid w:val="44B10046"/>
    <w:rsid w:val="44B31EE6"/>
    <w:rsid w:val="44B57B36"/>
    <w:rsid w:val="44BB3E33"/>
    <w:rsid w:val="44BE5D35"/>
    <w:rsid w:val="44C27924"/>
    <w:rsid w:val="44D04970"/>
    <w:rsid w:val="44D0671E"/>
    <w:rsid w:val="44D73F50"/>
    <w:rsid w:val="44FA379B"/>
    <w:rsid w:val="44FA7C3F"/>
    <w:rsid w:val="450D541D"/>
    <w:rsid w:val="45143F4E"/>
    <w:rsid w:val="451A0B43"/>
    <w:rsid w:val="451B328E"/>
    <w:rsid w:val="45280308"/>
    <w:rsid w:val="452E045A"/>
    <w:rsid w:val="45303D1E"/>
    <w:rsid w:val="45377B61"/>
    <w:rsid w:val="45386189"/>
    <w:rsid w:val="45391AA6"/>
    <w:rsid w:val="453C739E"/>
    <w:rsid w:val="453F38A4"/>
    <w:rsid w:val="454607EE"/>
    <w:rsid w:val="45492F1D"/>
    <w:rsid w:val="454A1DC3"/>
    <w:rsid w:val="454F3AE7"/>
    <w:rsid w:val="454F7F8B"/>
    <w:rsid w:val="45527C4E"/>
    <w:rsid w:val="4561381A"/>
    <w:rsid w:val="45684BA8"/>
    <w:rsid w:val="45744663"/>
    <w:rsid w:val="4581168F"/>
    <w:rsid w:val="45886FF9"/>
    <w:rsid w:val="458E4A1E"/>
    <w:rsid w:val="45A13E49"/>
    <w:rsid w:val="45A433AA"/>
    <w:rsid w:val="45B33293"/>
    <w:rsid w:val="45B93567"/>
    <w:rsid w:val="45C55410"/>
    <w:rsid w:val="45C85F8A"/>
    <w:rsid w:val="45CF69D6"/>
    <w:rsid w:val="45D3296A"/>
    <w:rsid w:val="45D67D64"/>
    <w:rsid w:val="45DA485E"/>
    <w:rsid w:val="45E74EF6"/>
    <w:rsid w:val="45EF72E2"/>
    <w:rsid w:val="45F6353E"/>
    <w:rsid w:val="46001285"/>
    <w:rsid w:val="4604332C"/>
    <w:rsid w:val="46136A1B"/>
    <w:rsid w:val="462C6C9E"/>
    <w:rsid w:val="46306CE3"/>
    <w:rsid w:val="463730E1"/>
    <w:rsid w:val="463B050F"/>
    <w:rsid w:val="463F7EF7"/>
    <w:rsid w:val="46411AB7"/>
    <w:rsid w:val="464D0C75"/>
    <w:rsid w:val="46511AE0"/>
    <w:rsid w:val="4653713A"/>
    <w:rsid w:val="465449A5"/>
    <w:rsid w:val="46592743"/>
    <w:rsid w:val="46647A66"/>
    <w:rsid w:val="4665062F"/>
    <w:rsid w:val="467030E7"/>
    <w:rsid w:val="467712F2"/>
    <w:rsid w:val="46846CCB"/>
    <w:rsid w:val="46861657"/>
    <w:rsid w:val="468A0B4E"/>
    <w:rsid w:val="469320F9"/>
    <w:rsid w:val="469330D2"/>
    <w:rsid w:val="46986F58"/>
    <w:rsid w:val="46A3775F"/>
    <w:rsid w:val="46AE6F33"/>
    <w:rsid w:val="46AF05B5"/>
    <w:rsid w:val="46C12627"/>
    <w:rsid w:val="46C73A02"/>
    <w:rsid w:val="46D36999"/>
    <w:rsid w:val="46DC3FBC"/>
    <w:rsid w:val="46E865A3"/>
    <w:rsid w:val="46E97F6B"/>
    <w:rsid w:val="46EC678D"/>
    <w:rsid w:val="46F32B98"/>
    <w:rsid w:val="46F37B55"/>
    <w:rsid w:val="46F5323E"/>
    <w:rsid w:val="46FF153C"/>
    <w:rsid w:val="47001927"/>
    <w:rsid w:val="4712301E"/>
    <w:rsid w:val="47172584"/>
    <w:rsid w:val="47190850"/>
    <w:rsid w:val="47215957"/>
    <w:rsid w:val="472901B7"/>
    <w:rsid w:val="4729770A"/>
    <w:rsid w:val="47401BB3"/>
    <w:rsid w:val="4743767B"/>
    <w:rsid w:val="474D674C"/>
    <w:rsid w:val="475108C8"/>
    <w:rsid w:val="475353E4"/>
    <w:rsid w:val="47541D2E"/>
    <w:rsid w:val="475950F1"/>
    <w:rsid w:val="475D17C3"/>
    <w:rsid w:val="476A10AC"/>
    <w:rsid w:val="476E35F6"/>
    <w:rsid w:val="47765D97"/>
    <w:rsid w:val="47777325"/>
    <w:rsid w:val="47782F47"/>
    <w:rsid w:val="4780210B"/>
    <w:rsid w:val="4793724B"/>
    <w:rsid w:val="479A68EF"/>
    <w:rsid w:val="47B642F1"/>
    <w:rsid w:val="47B916EB"/>
    <w:rsid w:val="47BD3430"/>
    <w:rsid w:val="47C30A54"/>
    <w:rsid w:val="47C3256A"/>
    <w:rsid w:val="47CA1B4A"/>
    <w:rsid w:val="47CA7D9C"/>
    <w:rsid w:val="47D63889"/>
    <w:rsid w:val="47DC187E"/>
    <w:rsid w:val="47DF247D"/>
    <w:rsid w:val="47E627D6"/>
    <w:rsid w:val="47ED67F5"/>
    <w:rsid w:val="47FD3CCE"/>
    <w:rsid w:val="480358EA"/>
    <w:rsid w:val="480575EF"/>
    <w:rsid w:val="480603C9"/>
    <w:rsid w:val="480871B6"/>
    <w:rsid w:val="48153815"/>
    <w:rsid w:val="48164D90"/>
    <w:rsid w:val="481903DC"/>
    <w:rsid w:val="48384D06"/>
    <w:rsid w:val="4839041D"/>
    <w:rsid w:val="483B2A48"/>
    <w:rsid w:val="48413100"/>
    <w:rsid w:val="48537D92"/>
    <w:rsid w:val="485465AE"/>
    <w:rsid w:val="48576465"/>
    <w:rsid w:val="485943C2"/>
    <w:rsid w:val="485C2349"/>
    <w:rsid w:val="48652E2E"/>
    <w:rsid w:val="486946DA"/>
    <w:rsid w:val="48695228"/>
    <w:rsid w:val="486A105E"/>
    <w:rsid w:val="486D7A48"/>
    <w:rsid w:val="487815A6"/>
    <w:rsid w:val="488D054F"/>
    <w:rsid w:val="48952120"/>
    <w:rsid w:val="48955123"/>
    <w:rsid w:val="489F2696"/>
    <w:rsid w:val="48A00AFD"/>
    <w:rsid w:val="48A06010"/>
    <w:rsid w:val="48AA54D8"/>
    <w:rsid w:val="48BA76D6"/>
    <w:rsid w:val="48C76805"/>
    <w:rsid w:val="48D540AE"/>
    <w:rsid w:val="48DD5AAE"/>
    <w:rsid w:val="48DE2A31"/>
    <w:rsid w:val="48E72288"/>
    <w:rsid w:val="48EB38F5"/>
    <w:rsid w:val="48EB4CA0"/>
    <w:rsid w:val="48EB58EF"/>
    <w:rsid w:val="48FF75D2"/>
    <w:rsid w:val="49066BB2"/>
    <w:rsid w:val="491C3E71"/>
    <w:rsid w:val="491D214E"/>
    <w:rsid w:val="492139EC"/>
    <w:rsid w:val="49250EF4"/>
    <w:rsid w:val="492E6109"/>
    <w:rsid w:val="493D4B22"/>
    <w:rsid w:val="494267FD"/>
    <w:rsid w:val="4944592C"/>
    <w:rsid w:val="494B2817"/>
    <w:rsid w:val="495F5C64"/>
    <w:rsid w:val="496075E1"/>
    <w:rsid w:val="497D499A"/>
    <w:rsid w:val="49816239"/>
    <w:rsid w:val="49875C3C"/>
    <w:rsid w:val="498F1BC5"/>
    <w:rsid w:val="499046CE"/>
    <w:rsid w:val="499C2D0D"/>
    <w:rsid w:val="499E6DEB"/>
    <w:rsid w:val="49A46704"/>
    <w:rsid w:val="49A954A7"/>
    <w:rsid w:val="49B0767B"/>
    <w:rsid w:val="49B14009"/>
    <w:rsid w:val="49B26D3A"/>
    <w:rsid w:val="49B54134"/>
    <w:rsid w:val="49B87712"/>
    <w:rsid w:val="49BA174B"/>
    <w:rsid w:val="49BC71A0"/>
    <w:rsid w:val="49C01EDD"/>
    <w:rsid w:val="49CB3958"/>
    <w:rsid w:val="49CF51F6"/>
    <w:rsid w:val="49DB1DED"/>
    <w:rsid w:val="49DC3DB7"/>
    <w:rsid w:val="49DC7913"/>
    <w:rsid w:val="49E50749"/>
    <w:rsid w:val="49E527BF"/>
    <w:rsid w:val="49E55DD7"/>
    <w:rsid w:val="49E83DEF"/>
    <w:rsid w:val="49EE6966"/>
    <w:rsid w:val="49F033BE"/>
    <w:rsid w:val="49F040D8"/>
    <w:rsid w:val="49F509D5"/>
    <w:rsid w:val="49F807AB"/>
    <w:rsid w:val="49FC6503"/>
    <w:rsid w:val="4A1E33FD"/>
    <w:rsid w:val="4A264ABA"/>
    <w:rsid w:val="4A28182E"/>
    <w:rsid w:val="4A2C4749"/>
    <w:rsid w:val="4A2F2E4E"/>
    <w:rsid w:val="4A3E412A"/>
    <w:rsid w:val="4A3E4A12"/>
    <w:rsid w:val="4A3F5E22"/>
    <w:rsid w:val="4A534588"/>
    <w:rsid w:val="4A566245"/>
    <w:rsid w:val="4A5C067A"/>
    <w:rsid w:val="4A5D532D"/>
    <w:rsid w:val="4A6F5A6E"/>
    <w:rsid w:val="4A704E76"/>
    <w:rsid w:val="4A8E3303"/>
    <w:rsid w:val="4A8E42EF"/>
    <w:rsid w:val="4A936138"/>
    <w:rsid w:val="4A997040"/>
    <w:rsid w:val="4AAE7501"/>
    <w:rsid w:val="4AB21E0C"/>
    <w:rsid w:val="4AB97C54"/>
    <w:rsid w:val="4ABD0DEA"/>
    <w:rsid w:val="4AC51355"/>
    <w:rsid w:val="4ACA1E61"/>
    <w:rsid w:val="4AD14F9E"/>
    <w:rsid w:val="4AD23834"/>
    <w:rsid w:val="4ADB7BCB"/>
    <w:rsid w:val="4ADD58ED"/>
    <w:rsid w:val="4AE051E1"/>
    <w:rsid w:val="4AE52E39"/>
    <w:rsid w:val="4AEB48ED"/>
    <w:rsid w:val="4AFD2237"/>
    <w:rsid w:val="4B0E4BE8"/>
    <w:rsid w:val="4B11183E"/>
    <w:rsid w:val="4B13393B"/>
    <w:rsid w:val="4B202904"/>
    <w:rsid w:val="4B243DF4"/>
    <w:rsid w:val="4B2A214B"/>
    <w:rsid w:val="4B3551B7"/>
    <w:rsid w:val="4B46489C"/>
    <w:rsid w:val="4B4A1D4B"/>
    <w:rsid w:val="4B5005B9"/>
    <w:rsid w:val="4B583122"/>
    <w:rsid w:val="4B5E0F27"/>
    <w:rsid w:val="4B613BD9"/>
    <w:rsid w:val="4B651A32"/>
    <w:rsid w:val="4B67658A"/>
    <w:rsid w:val="4B7818BD"/>
    <w:rsid w:val="4B8D2F73"/>
    <w:rsid w:val="4B9013CA"/>
    <w:rsid w:val="4B92297F"/>
    <w:rsid w:val="4BAC2F06"/>
    <w:rsid w:val="4BB07C37"/>
    <w:rsid w:val="4BB5041C"/>
    <w:rsid w:val="4BBB2F1A"/>
    <w:rsid w:val="4BC56FEB"/>
    <w:rsid w:val="4BC96D07"/>
    <w:rsid w:val="4BD411EA"/>
    <w:rsid w:val="4BDB7219"/>
    <w:rsid w:val="4BE15F13"/>
    <w:rsid w:val="4BE52824"/>
    <w:rsid w:val="4BE85EF8"/>
    <w:rsid w:val="4BED5E07"/>
    <w:rsid w:val="4BF82C36"/>
    <w:rsid w:val="4BF93271"/>
    <w:rsid w:val="4BF94CE9"/>
    <w:rsid w:val="4BFA2159"/>
    <w:rsid w:val="4BFD104F"/>
    <w:rsid w:val="4C0A31BB"/>
    <w:rsid w:val="4C0D16D8"/>
    <w:rsid w:val="4C0D64AA"/>
    <w:rsid w:val="4C15535E"/>
    <w:rsid w:val="4C155FE4"/>
    <w:rsid w:val="4C194E4E"/>
    <w:rsid w:val="4C1C66ED"/>
    <w:rsid w:val="4C230DBD"/>
    <w:rsid w:val="4C242682"/>
    <w:rsid w:val="4C2B6930"/>
    <w:rsid w:val="4C2E6C9B"/>
    <w:rsid w:val="4C301814"/>
    <w:rsid w:val="4C303F46"/>
    <w:rsid w:val="4C3103EA"/>
    <w:rsid w:val="4C343BAC"/>
    <w:rsid w:val="4C3D6D8F"/>
    <w:rsid w:val="4C3E6663"/>
    <w:rsid w:val="4C5145E8"/>
    <w:rsid w:val="4C532BCA"/>
    <w:rsid w:val="4C545E87"/>
    <w:rsid w:val="4C6D47D8"/>
    <w:rsid w:val="4C6F0F12"/>
    <w:rsid w:val="4C741325"/>
    <w:rsid w:val="4C785BEC"/>
    <w:rsid w:val="4C787C9F"/>
    <w:rsid w:val="4C820C46"/>
    <w:rsid w:val="4C8229F4"/>
    <w:rsid w:val="4C8846B3"/>
    <w:rsid w:val="4C8F3363"/>
    <w:rsid w:val="4C910FC2"/>
    <w:rsid w:val="4C9E6E2B"/>
    <w:rsid w:val="4CA37CC7"/>
    <w:rsid w:val="4CA50490"/>
    <w:rsid w:val="4CAA5AA7"/>
    <w:rsid w:val="4CAB3EEB"/>
    <w:rsid w:val="4CAD5597"/>
    <w:rsid w:val="4CC07F5D"/>
    <w:rsid w:val="4CC81A37"/>
    <w:rsid w:val="4CCC753C"/>
    <w:rsid w:val="4CDC7EDB"/>
    <w:rsid w:val="4CE25F3F"/>
    <w:rsid w:val="4CE511D4"/>
    <w:rsid w:val="4CEE62DB"/>
    <w:rsid w:val="4D007DBC"/>
    <w:rsid w:val="4D023B34"/>
    <w:rsid w:val="4D057181"/>
    <w:rsid w:val="4D0746A0"/>
    <w:rsid w:val="4D1612B8"/>
    <w:rsid w:val="4D24648A"/>
    <w:rsid w:val="4D2B7A35"/>
    <w:rsid w:val="4D3A1520"/>
    <w:rsid w:val="4D3C6747"/>
    <w:rsid w:val="4D4039F2"/>
    <w:rsid w:val="4D40640B"/>
    <w:rsid w:val="4D41312D"/>
    <w:rsid w:val="4D4978AC"/>
    <w:rsid w:val="4D4C5299"/>
    <w:rsid w:val="4D5123C6"/>
    <w:rsid w:val="4D532555"/>
    <w:rsid w:val="4D5A74CD"/>
    <w:rsid w:val="4D5E7ADA"/>
    <w:rsid w:val="4D65600A"/>
    <w:rsid w:val="4D6D2A6D"/>
    <w:rsid w:val="4D706CF0"/>
    <w:rsid w:val="4D737DF0"/>
    <w:rsid w:val="4D7B26E9"/>
    <w:rsid w:val="4D897DB2"/>
    <w:rsid w:val="4D8B4B0F"/>
    <w:rsid w:val="4D8F5115"/>
    <w:rsid w:val="4D957892"/>
    <w:rsid w:val="4DA3726F"/>
    <w:rsid w:val="4DB017E2"/>
    <w:rsid w:val="4DD15466"/>
    <w:rsid w:val="4DD1746B"/>
    <w:rsid w:val="4DD312BF"/>
    <w:rsid w:val="4DD42E92"/>
    <w:rsid w:val="4DD650A4"/>
    <w:rsid w:val="4DE1374A"/>
    <w:rsid w:val="4DF434F8"/>
    <w:rsid w:val="4DF6443C"/>
    <w:rsid w:val="4DF739FA"/>
    <w:rsid w:val="4E005F04"/>
    <w:rsid w:val="4E080410"/>
    <w:rsid w:val="4E121ACD"/>
    <w:rsid w:val="4E1D1FCF"/>
    <w:rsid w:val="4E21448E"/>
    <w:rsid w:val="4E2A50F1"/>
    <w:rsid w:val="4E3C4E24"/>
    <w:rsid w:val="4E412773"/>
    <w:rsid w:val="4E487C6D"/>
    <w:rsid w:val="4E497D56"/>
    <w:rsid w:val="4E4B32B9"/>
    <w:rsid w:val="4E5524A7"/>
    <w:rsid w:val="4E562A99"/>
    <w:rsid w:val="4E6306D9"/>
    <w:rsid w:val="4E6E5E24"/>
    <w:rsid w:val="4E772300"/>
    <w:rsid w:val="4E943C4A"/>
    <w:rsid w:val="4EA00250"/>
    <w:rsid w:val="4EA2112B"/>
    <w:rsid w:val="4EAB3EDC"/>
    <w:rsid w:val="4EB004CB"/>
    <w:rsid w:val="4EB04070"/>
    <w:rsid w:val="4EB66985"/>
    <w:rsid w:val="4EC512BE"/>
    <w:rsid w:val="4EC90016"/>
    <w:rsid w:val="4EE86960"/>
    <w:rsid w:val="4EEB67E2"/>
    <w:rsid w:val="4EEC1AB8"/>
    <w:rsid w:val="4EF15C0F"/>
    <w:rsid w:val="4F075432"/>
    <w:rsid w:val="4F162AE8"/>
    <w:rsid w:val="4F1931A5"/>
    <w:rsid w:val="4F2002A2"/>
    <w:rsid w:val="4F247991"/>
    <w:rsid w:val="4F4218F5"/>
    <w:rsid w:val="4F4C6922"/>
    <w:rsid w:val="4F5263C3"/>
    <w:rsid w:val="4F593ABC"/>
    <w:rsid w:val="4F6C1739"/>
    <w:rsid w:val="4F722A04"/>
    <w:rsid w:val="4F747D9A"/>
    <w:rsid w:val="4F754A92"/>
    <w:rsid w:val="4F7C5E20"/>
    <w:rsid w:val="4F7F1040"/>
    <w:rsid w:val="4F8E16AF"/>
    <w:rsid w:val="4F90510B"/>
    <w:rsid w:val="4F9547EC"/>
    <w:rsid w:val="4F9608D4"/>
    <w:rsid w:val="4F9D18F3"/>
    <w:rsid w:val="4FA233AD"/>
    <w:rsid w:val="4FA47125"/>
    <w:rsid w:val="4FA50381"/>
    <w:rsid w:val="4FA57CEC"/>
    <w:rsid w:val="4FA72337"/>
    <w:rsid w:val="4FAA3E27"/>
    <w:rsid w:val="4FAB04B3"/>
    <w:rsid w:val="4FAC0EB5"/>
    <w:rsid w:val="4FAC5676"/>
    <w:rsid w:val="4FB6701F"/>
    <w:rsid w:val="4FBB1E96"/>
    <w:rsid w:val="4FBC446F"/>
    <w:rsid w:val="4FC36AFC"/>
    <w:rsid w:val="4FD440F1"/>
    <w:rsid w:val="4FDF1F0B"/>
    <w:rsid w:val="4FEA4C06"/>
    <w:rsid w:val="50033E4B"/>
    <w:rsid w:val="50055E16"/>
    <w:rsid w:val="500A402A"/>
    <w:rsid w:val="500B0576"/>
    <w:rsid w:val="500E57E3"/>
    <w:rsid w:val="5015592D"/>
    <w:rsid w:val="501D4F23"/>
    <w:rsid w:val="502246FD"/>
    <w:rsid w:val="504B75A0"/>
    <w:rsid w:val="50597F0F"/>
    <w:rsid w:val="506455FE"/>
    <w:rsid w:val="50690F3B"/>
    <w:rsid w:val="507E4B78"/>
    <w:rsid w:val="508A1E77"/>
    <w:rsid w:val="50964CC0"/>
    <w:rsid w:val="50977978"/>
    <w:rsid w:val="50B27620"/>
    <w:rsid w:val="50C03597"/>
    <w:rsid w:val="50C03AEB"/>
    <w:rsid w:val="50C04ACF"/>
    <w:rsid w:val="50D22745"/>
    <w:rsid w:val="50D61AAB"/>
    <w:rsid w:val="50E13A61"/>
    <w:rsid w:val="50EC48E0"/>
    <w:rsid w:val="50EF0B70"/>
    <w:rsid w:val="50F9524E"/>
    <w:rsid w:val="5101311C"/>
    <w:rsid w:val="51040F92"/>
    <w:rsid w:val="51120D44"/>
    <w:rsid w:val="5114374B"/>
    <w:rsid w:val="51164B0E"/>
    <w:rsid w:val="51243D9F"/>
    <w:rsid w:val="513308E8"/>
    <w:rsid w:val="51340035"/>
    <w:rsid w:val="513567A7"/>
    <w:rsid w:val="51435719"/>
    <w:rsid w:val="514E7348"/>
    <w:rsid w:val="51583D23"/>
    <w:rsid w:val="515C4D29"/>
    <w:rsid w:val="516F72BF"/>
    <w:rsid w:val="51703763"/>
    <w:rsid w:val="51865EF8"/>
    <w:rsid w:val="51895ADC"/>
    <w:rsid w:val="519531C9"/>
    <w:rsid w:val="519643DD"/>
    <w:rsid w:val="51975DC6"/>
    <w:rsid w:val="51A52CE0"/>
    <w:rsid w:val="51A57E61"/>
    <w:rsid w:val="51A63042"/>
    <w:rsid w:val="51AC406F"/>
    <w:rsid w:val="51AC40B8"/>
    <w:rsid w:val="51B55037"/>
    <w:rsid w:val="51B72242"/>
    <w:rsid w:val="51BF1FF4"/>
    <w:rsid w:val="51CB6913"/>
    <w:rsid w:val="51CF4220"/>
    <w:rsid w:val="51E43930"/>
    <w:rsid w:val="51EF61C8"/>
    <w:rsid w:val="51FC4FF6"/>
    <w:rsid w:val="51FC6DA4"/>
    <w:rsid w:val="51FE2432"/>
    <w:rsid w:val="5207717C"/>
    <w:rsid w:val="52091FF5"/>
    <w:rsid w:val="520C372C"/>
    <w:rsid w:val="52171E30"/>
    <w:rsid w:val="521F0ECA"/>
    <w:rsid w:val="522744E6"/>
    <w:rsid w:val="52293911"/>
    <w:rsid w:val="522A0E1C"/>
    <w:rsid w:val="52321773"/>
    <w:rsid w:val="52325DDE"/>
    <w:rsid w:val="52373162"/>
    <w:rsid w:val="523A5422"/>
    <w:rsid w:val="52411021"/>
    <w:rsid w:val="52416EAD"/>
    <w:rsid w:val="52656FDF"/>
    <w:rsid w:val="52666914"/>
    <w:rsid w:val="5268443A"/>
    <w:rsid w:val="526E58C7"/>
    <w:rsid w:val="52714522"/>
    <w:rsid w:val="5272444A"/>
    <w:rsid w:val="527E7677"/>
    <w:rsid w:val="528B637A"/>
    <w:rsid w:val="52A62F44"/>
    <w:rsid w:val="52AA4A52"/>
    <w:rsid w:val="52B24454"/>
    <w:rsid w:val="52B2709A"/>
    <w:rsid w:val="52BB7DFA"/>
    <w:rsid w:val="52CB54A7"/>
    <w:rsid w:val="52CE4FF7"/>
    <w:rsid w:val="52CF23DF"/>
    <w:rsid w:val="52CF538F"/>
    <w:rsid w:val="52D24502"/>
    <w:rsid w:val="52E67223"/>
    <w:rsid w:val="52F466C5"/>
    <w:rsid w:val="52F757BE"/>
    <w:rsid w:val="530069BE"/>
    <w:rsid w:val="5309144E"/>
    <w:rsid w:val="530F0D59"/>
    <w:rsid w:val="53146376"/>
    <w:rsid w:val="531A14A8"/>
    <w:rsid w:val="531E64D3"/>
    <w:rsid w:val="532360BE"/>
    <w:rsid w:val="53312349"/>
    <w:rsid w:val="533802B0"/>
    <w:rsid w:val="5341581F"/>
    <w:rsid w:val="534B2FF7"/>
    <w:rsid w:val="53514ECE"/>
    <w:rsid w:val="535377FC"/>
    <w:rsid w:val="5355730E"/>
    <w:rsid w:val="53591FD4"/>
    <w:rsid w:val="53620E89"/>
    <w:rsid w:val="53713EC4"/>
    <w:rsid w:val="53746E0E"/>
    <w:rsid w:val="53877685"/>
    <w:rsid w:val="538E1C7E"/>
    <w:rsid w:val="538F0E19"/>
    <w:rsid w:val="53926BB5"/>
    <w:rsid w:val="53AC016D"/>
    <w:rsid w:val="53AC020E"/>
    <w:rsid w:val="53AF7E46"/>
    <w:rsid w:val="53B8402D"/>
    <w:rsid w:val="53BB05A0"/>
    <w:rsid w:val="53BC2CEE"/>
    <w:rsid w:val="53C07A07"/>
    <w:rsid w:val="53C733E2"/>
    <w:rsid w:val="53D65339"/>
    <w:rsid w:val="53D922E3"/>
    <w:rsid w:val="53E1595C"/>
    <w:rsid w:val="53EA0E7E"/>
    <w:rsid w:val="53F266B1"/>
    <w:rsid w:val="53F561A1"/>
    <w:rsid w:val="53FD18ED"/>
    <w:rsid w:val="54082DA6"/>
    <w:rsid w:val="541577B3"/>
    <w:rsid w:val="541673FA"/>
    <w:rsid w:val="541A79B6"/>
    <w:rsid w:val="54293C9D"/>
    <w:rsid w:val="54396B62"/>
    <w:rsid w:val="543B3BCC"/>
    <w:rsid w:val="54462559"/>
    <w:rsid w:val="54577179"/>
    <w:rsid w:val="545D5AF4"/>
    <w:rsid w:val="545D76E6"/>
    <w:rsid w:val="545E2638"/>
    <w:rsid w:val="54696247"/>
    <w:rsid w:val="54723C7D"/>
    <w:rsid w:val="54817A35"/>
    <w:rsid w:val="54880DC3"/>
    <w:rsid w:val="548B6A31"/>
    <w:rsid w:val="54905ECA"/>
    <w:rsid w:val="549635BC"/>
    <w:rsid w:val="549A28A4"/>
    <w:rsid w:val="54A8026E"/>
    <w:rsid w:val="54B716A8"/>
    <w:rsid w:val="54BD0EB2"/>
    <w:rsid w:val="54D235A8"/>
    <w:rsid w:val="54D41E2D"/>
    <w:rsid w:val="54DF115B"/>
    <w:rsid w:val="54E06AD6"/>
    <w:rsid w:val="54E14F54"/>
    <w:rsid w:val="54F20968"/>
    <w:rsid w:val="54F55D2D"/>
    <w:rsid w:val="54F92D33"/>
    <w:rsid w:val="54FB77E7"/>
    <w:rsid w:val="55024F3D"/>
    <w:rsid w:val="550C37A2"/>
    <w:rsid w:val="550C6CF4"/>
    <w:rsid w:val="550E0E57"/>
    <w:rsid w:val="550F3292"/>
    <w:rsid w:val="550F5041"/>
    <w:rsid w:val="55110EE4"/>
    <w:rsid w:val="551B5793"/>
    <w:rsid w:val="552346C0"/>
    <w:rsid w:val="55246983"/>
    <w:rsid w:val="55265E8A"/>
    <w:rsid w:val="5528381E"/>
    <w:rsid w:val="552C5BF2"/>
    <w:rsid w:val="55361E0F"/>
    <w:rsid w:val="554051FA"/>
    <w:rsid w:val="55450A62"/>
    <w:rsid w:val="55454BE0"/>
    <w:rsid w:val="554D2905"/>
    <w:rsid w:val="555057AE"/>
    <w:rsid w:val="556A04C9"/>
    <w:rsid w:val="556C5BFE"/>
    <w:rsid w:val="55750EB4"/>
    <w:rsid w:val="557E7A12"/>
    <w:rsid w:val="55814D6E"/>
    <w:rsid w:val="55867C7E"/>
    <w:rsid w:val="558C3EAC"/>
    <w:rsid w:val="55A5225D"/>
    <w:rsid w:val="55A97243"/>
    <w:rsid w:val="55AC288F"/>
    <w:rsid w:val="55B347D2"/>
    <w:rsid w:val="55BF6A67"/>
    <w:rsid w:val="55C51BA3"/>
    <w:rsid w:val="55D03AA7"/>
    <w:rsid w:val="55DD6B9B"/>
    <w:rsid w:val="55E02539"/>
    <w:rsid w:val="55E069DD"/>
    <w:rsid w:val="55EB785C"/>
    <w:rsid w:val="55F34962"/>
    <w:rsid w:val="55F45FE4"/>
    <w:rsid w:val="55F53F2C"/>
    <w:rsid w:val="55F860FD"/>
    <w:rsid w:val="56066443"/>
    <w:rsid w:val="561609D5"/>
    <w:rsid w:val="56177552"/>
    <w:rsid w:val="561B06FC"/>
    <w:rsid w:val="562C1C22"/>
    <w:rsid w:val="5634772E"/>
    <w:rsid w:val="563B3C13"/>
    <w:rsid w:val="563F1B50"/>
    <w:rsid w:val="564962A0"/>
    <w:rsid w:val="564B7A44"/>
    <w:rsid w:val="564F2378"/>
    <w:rsid w:val="56503B63"/>
    <w:rsid w:val="56705FB3"/>
    <w:rsid w:val="56777341"/>
    <w:rsid w:val="568234AE"/>
    <w:rsid w:val="5683124E"/>
    <w:rsid w:val="56860B9B"/>
    <w:rsid w:val="569F4959"/>
    <w:rsid w:val="56AD0D43"/>
    <w:rsid w:val="56B20379"/>
    <w:rsid w:val="56B35EE4"/>
    <w:rsid w:val="56BD62A9"/>
    <w:rsid w:val="56C628C8"/>
    <w:rsid w:val="56DA045C"/>
    <w:rsid w:val="56DB0841"/>
    <w:rsid w:val="56DB5CB5"/>
    <w:rsid w:val="56DB7934"/>
    <w:rsid w:val="56E11C93"/>
    <w:rsid w:val="56E12C15"/>
    <w:rsid w:val="56E20B7B"/>
    <w:rsid w:val="56F75D8C"/>
    <w:rsid w:val="57030BD5"/>
    <w:rsid w:val="570604E2"/>
    <w:rsid w:val="57101D17"/>
    <w:rsid w:val="571701DC"/>
    <w:rsid w:val="57193E63"/>
    <w:rsid w:val="572F4B44"/>
    <w:rsid w:val="573D4971"/>
    <w:rsid w:val="57493AB9"/>
    <w:rsid w:val="575719F3"/>
    <w:rsid w:val="57642D03"/>
    <w:rsid w:val="57675C29"/>
    <w:rsid w:val="576E23B2"/>
    <w:rsid w:val="576F1DC6"/>
    <w:rsid w:val="577443E5"/>
    <w:rsid w:val="57751C6D"/>
    <w:rsid w:val="57783371"/>
    <w:rsid w:val="57790E97"/>
    <w:rsid w:val="577D2735"/>
    <w:rsid w:val="57815BE5"/>
    <w:rsid w:val="578F038E"/>
    <w:rsid w:val="57907511"/>
    <w:rsid w:val="57A51C8C"/>
    <w:rsid w:val="57B3155A"/>
    <w:rsid w:val="57B41ECF"/>
    <w:rsid w:val="57BA1578"/>
    <w:rsid w:val="57BA277F"/>
    <w:rsid w:val="57BD5228"/>
    <w:rsid w:val="57BD6D86"/>
    <w:rsid w:val="57C0598A"/>
    <w:rsid w:val="57C275E4"/>
    <w:rsid w:val="57D165DD"/>
    <w:rsid w:val="57E26A3C"/>
    <w:rsid w:val="57F0619E"/>
    <w:rsid w:val="57F87BFC"/>
    <w:rsid w:val="57FB2EBF"/>
    <w:rsid w:val="57FE6840"/>
    <w:rsid w:val="580E6B97"/>
    <w:rsid w:val="58185781"/>
    <w:rsid w:val="582151CD"/>
    <w:rsid w:val="58242BB1"/>
    <w:rsid w:val="58246D8A"/>
    <w:rsid w:val="58254B7B"/>
    <w:rsid w:val="582A17E2"/>
    <w:rsid w:val="582B2191"/>
    <w:rsid w:val="5834469F"/>
    <w:rsid w:val="5835565B"/>
    <w:rsid w:val="586B07E0"/>
    <w:rsid w:val="586C27AA"/>
    <w:rsid w:val="586E02D0"/>
    <w:rsid w:val="5870229A"/>
    <w:rsid w:val="587721FB"/>
    <w:rsid w:val="587A4EC7"/>
    <w:rsid w:val="587D0513"/>
    <w:rsid w:val="587F40C2"/>
    <w:rsid w:val="589001FC"/>
    <w:rsid w:val="58930466"/>
    <w:rsid w:val="589967D4"/>
    <w:rsid w:val="589A1D02"/>
    <w:rsid w:val="58A957AC"/>
    <w:rsid w:val="58A9755A"/>
    <w:rsid w:val="58B33F35"/>
    <w:rsid w:val="58BA3515"/>
    <w:rsid w:val="58CD3249"/>
    <w:rsid w:val="58DA3BB7"/>
    <w:rsid w:val="58DE583E"/>
    <w:rsid w:val="58E21557"/>
    <w:rsid w:val="58EB1921"/>
    <w:rsid w:val="58FA2A8E"/>
    <w:rsid w:val="58FA44B3"/>
    <w:rsid w:val="58FA6F1E"/>
    <w:rsid w:val="58FC3B2E"/>
    <w:rsid w:val="58FE7EB4"/>
    <w:rsid w:val="5902026F"/>
    <w:rsid w:val="59050C34"/>
    <w:rsid w:val="59053DCF"/>
    <w:rsid w:val="5907160D"/>
    <w:rsid w:val="590920D4"/>
    <w:rsid w:val="590C7B39"/>
    <w:rsid w:val="591340C8"/>
    <w:rsid w:val="591470C9"/>
    <w:rsid w:val="591A2206"/>
    <w:rsid w:val="592B42D2"/>
    <w:rsid w:val="59401C6C"/>
    <w:rsid w:val="59425D30"/>
    <w:rsid w:val="59541160"/>
    <w:rsid w:val="595516A1"/>
    <w:rsid w:val="59564EC9"/>
    <w:rsid w:val="595A2602"/>
    <w:rsid w:val="595F4C97"/>
    <w:rsid w:val="596655D3"/>
    <w:rsid w:val="596828AE"/>
    <w:rsid w:val="596B1DB8"/>
    <w:rsid w:val="59710078"/>
    <w:rsid w:val="597731B4"/>
    <w:rsid w:val="597E4619"/>
    <w:rsid w:val="59862515"/>
    <w:rsid w:val="59A541C5"/>
    <w:rsid w:val="59B166C6"/>
    <w:rsid w:val="59B70235"/>
    <w:rsid w:val="59B85CA7"/>
    <w:rsid w:val="59C14232"/>
    <w:rsid w:val="59C7413C"/>
    <w:rsid w:val="59E41CE1"/>
    <w:rsid w:val="59E720E8"/>
    <w:rsid w:val="59F266E8"/>
    <w:rsid w:val="59F903D3"/>
    <w:rsid w:val="59FD190B"/>
    <w:rsid w:val="5A0E0421"/>
    <w:rsid w:val="5A0F185C"/>
    <w:rsid w:val="5A0F7891"/>
    <w:rsid w:val="5A1013EA"/>
    <w:rsid w:val="5A110504"/>
    <w:rsid w:val="5A112DD4"/>
    <w:rsid w:val="5A1629CD"/>
    <w:rsid w:val="5A184997"/>
    <w:rsid w:val="5A1C1BE3"/>
    <w:rsid w:val="5A217462"/>
    <w:rsid w:val="5A28191F"/>
    <w:rsid w:val="5A2E5F69"/>
    <w:rsid w:val="5A33532D"/>
    <w:rsid w:val="5A39107C"/>
    <w:rsid w:val="5A3C71B4"/>
    <w:rsid w:val="5A400D2B"/>
    <w:rsid w:val="5A417708"/>
    <w:rsid w:val="5A4A470A"/>
    <w:rsid w:val="5A4C63EF"/>
    <w:rsid w:val="5A592C1D"/>
    <w:rsid w:val="5A5B2AD6"/>
    <w:rsid w:val="5A5C0D28"/>
    <w:rsid w:val="5A5D23AA"/>
    <w:rsid w:val="5A696FA1"/>
    <w:rsid w:val="5A7122F9"/>
    <w:rsid w:val="5A7D47FA"/>
    <w:rsid w:val="5A865DA5"/>
    <w:rsid w:val="5A9102A6"/>
    <w:rsid w:val="5A9D6C4B"/>
    <w:rsid w:val="5A9E080B"/>
    <w:rsid w:val="5A9F332F"/>
    <w:rsid w:val="5AA4447D"/>
    <w:rsid w:val="5AC7171E"/>
    <w:rsid w:val="5AD51D64"/>
    <w:rsid w:val="5AD7379E"/>
    <w:rsid w:val="5ADE160E"/>
    <w:rsid w:val="5AE34FA5"/>
    <w:rsid w:val="5AE8158A"/>
    <w:rsid w:val="5AEB5C08"/>
    <w:rsid w:val="5AED1BED"/>
    <w:rsid w:val="5AF70DD8"/>
    <w:rsid w:val="5B005EC6"/>
    <w:rsid w:val="5B02505E"/>
    <w:rsid w:val="5B09337A"/>
    <w:rsid w:val="5B0F3534"/>
    <w:rsid w:val="5B0F3EBC"/>
    <w:rsid w:val="5B157129"/>
    <w:rsid w:val="5B322881"/>
    <w:rsid w:val="5B391CA6"/>
    <w:rsid w:val="5B3A6B8F"/>
    <w:rsid w:val="5B4812AC"/>
    <w:rsid w:val="5B4859C7"/>
    <w:rsid w:val="5B4B2B4A"/>
    <w:rsid w:val="5B5639C9"/>
    <w:rsid w:val="5B597015"/>
    <w:rsid w:val="5B5E63DA"/>
    <w:rsid w:val="5B607D3E"/>
    <w:rsid w:val="5B6A7213"/>
    <w:rsid w:val="5B6D1201"/>
    <w:rsid w:val="5B736F93"/>
    <w:rsid w:val="5B74385D"/>
    <w:rsid w:val="5B782532"/>
    <w:rsid w:val="5B79359D"/>
    <w:rsid w:val="5B7976B8"/>
    <w:rsid w:val="5B7A3719"/>
    <w:rsid w:val="5B857E0A"/>
    <w:rsid w:val="5BA533EB"/>
    <w:rsid w:val="5BA95452"/>
    <w:rsid w:val="5BAB48F4"/>
    <w:rsid w:val="5BC206F7"/>
    <w:rsid w:val="5BC43C62"/>
    <w:rsid w:val="5BC528FD"/>
    <w:rsid w:val="5BD90156"/>
    <w:rsid w:val="5BDE39BF"/>
    <w:rsid w:val="5BE81D4A"/>
    <w:rsid w:val="5C003935"/>
    <w:rsid w:val="5C0722E4"/>
    <w:rsid w:val="5C15181C"/>
    <w:rsid w:val="5C1F0D34"/>
    <w:rsid w:val="5C1F11D7"/>
    <w:rsid w:val="5C2164A5"/>
    <w:rsid w:val="5C2A6756"/>
    <w:rsid w:val="5C2E04A2"/>
    <w:rsid w:val="5C317F92"/>
    <w:rsid w:val="5C473312"/>
    <w:rsid w:val="5C49568F"/>
    <w:rsid w:val="5C4C0928"/>
    <w:rsid w:val="5C4C2760"/>
    <w:rsid w:val="5C5459E8"/>
    <w:rsid w:val="5C7921E0"/>
    <w:rsid w:val="5C7A1EEF"/>
    <w:rsid w:val="5C82699B"/>
    <w:rsid w:val="5C89111F"/>
    <w:rsid w:val="5C8A7C94"/>
    <w:rsid w:val="5C966047"/>
    <w:rsid w:val="5C9A1B76"/>
    <w:rsid w:val="5CA0787F"/>
    <w:rsid w:val="5CA97B29"/>
    <w:rsid w:val="5CAF2C65"/>
    <w:rsid w:val="5CBA7F88"/>
    <w:rsid w:val="5CC12584"/>
    <w:rsid w:val="5CC31C68"/>
    <w:rsid w:val="5CC6692D"/>
    <w:rsid w:val="5CCF5D1A"/>
    <w:rsid w:val="5CDB111B"/>
    <w:rsid w:val="5CE60412"/>
    <w:rsid w:val="5CEE5C05"/>
    <w:rsid w:val="5CF70B75"/>
    <w:rsid w:val="5CFA4828"/>
    <w:rsid w:val="5D0B2591"/>
    <w:rsid w:val="5D0D455B"/>
    <w:rsid w:val="5D137698"/>
    <w:rsid w:val="5D1551BE"/>
    <w:rsid w:val="5D273F5C"/>
    <w:rsid w:val="5D276C9F"/>
    <w:rsid w:val="5D335644"/>
    <w:rsid w:val="5D467388"/>
    <w:rsid w:val="5D4B6E32"/>
    <w:rsid w:val="5D5850AB"/>
    <w:rsid w:val="5D5C1A16"/>
    <w:rsid w:val="5D5E171F"/>
    <w:rsid w:val="5D5F6F3D"/>
    <w:rsid w:val="5D635F29"/>
    <w:rsid w:val="5D6916A9"/>
    <w:rsid w:val="5D731EE5"/>
    <w:rsid w:val="5D83037A"/>
    <w:rsid w:val="5D844ECB"/>
    <w:rsid w:val="5D852344"/>
    <w:rsid w:val="5D88074A"/>
    <w:rsid w:val="5D89418A"/>
    <w:rsid w:val="5D972077"/>
    <w:rsid w:val="5DA83A3A"/>
    <w:rsid w:val="5DA85467"/>
    <w:rsid w:val="5DBC388C"/>
    <w:rsid w:val="5DC105B0"/>
    <w:rsid w:val="5DC63846"/>
    <w:rsid w:val="5DC745BF"/>
    <w:rsid w:val="5DC93DEC"/>
    <w:rsid w:val="5DD40B61"/>
    <w:rsid w:val="5DD61172"/>
    <w:rsid w:val="5DDA5CC5"/>
    <w:rsid w:val="5DDC5B5E"/>
    <w:rsid w:val="5DEF2730"/>
    <w:rsid w:val="5DF5589D"/>
    <w:rsid w:val="5DFD637E"/>
    <w:rsid w:val="5E042B86"/>
    <w:rsid w:val="5E0751C7"/>
    <w:rsid w:val="5E115985"/>
    <w:rsid w:val="5E132ABA"/>
    <w:rsid w:val="5E185573"/>
    <w:rsid w:val="5E1B4A56"/>
    <w:rsid w:val="5E1E62F4"/>
    <w:rsid w:val="5E2747F2"/>
    <w:rsid w:val="5E3179DD"/>
    <w:rsid w:val="5E421FE3"/>
    <w:rsid w:val="5E672171"/>
    <w:rsid w:val="5E6A1416"/>
    <w:rsid w:val="5E6B79A2"/>
    <w:rsid w:val="5E6F5632"/>
    <w:rsid w:val="5E710B1A"/>
    <w:rsid w:val="5E7842BE"/>
    <w:rsid w:val="5E7F7645"/>
    <w:rsid w:val="5E802B0B"/>
    <w:rsid w:val="5E96232F"/>
    <w:rsid w:val="5E977F55"/>
    <w:rsid w:val="5E983463"/>
    <w:rsid w:val="5E987082"/>
    <w:rsid w:val="5E987E55"/>
    <w:rsid w:val="5E997E97"/>
    <w:rsid w:val="5EA9547D"/>
    <w:rsid w:val="5EAD7196"/>
    <w:rsid w:val="5EB17D9E"/>
    <w:rsid w:val="5EB50A07"/>
    <w:rsid w:val="5EB87E2D"/>
    <w:rsid w:val="5ECD013E"/>
    <w:rsid w:val="5EDF7832"/>
    <w:rsid w:val="5EF157B7"/>
    <w:rsid w:val="5EF273C6"/>
    <w:rsid w:val="5EF534F9"/>
    <w:rsid w:val="5EF756A8"/>
    <w:rsid w:val="5EFD415C"/>
    <w:rsid w:val="5F011E9E"/>
    <w:rsid w:val="5F0276AF"/>
    <w:rsid w:val="5F047298"/>
    <w:rsid w:val="5F182D44"/>
    <w:rsid w:val="5F1C0933"/>
    <w:rsid w:val="5F1D3030"/>
    <w:rsid w:val="5F203AC9"/>
    <w:rsid w:val="5F223689"/>
    <w:rsid w:val="5F265EE1"/>
    <w:rsid w:val="5F2B2783"/>
    <w:rsid w:val="5F3B320C"/>
    <w:rsid w:val="5F50739B"/>
    <w:rsid w:val="5F5C70D4"/>
    <w:rsid w:val="5F5F0972"/>
    <w:rsid w:val="5F660E37"/>
    <w:rsid w:val="5F7003AF"/>
    <w:rsid w:val="5F7C354F"/>
    <w:rsid w:val="5F814D8D"/>
    <w:rsid w:val="5F8403D9"/>
    <w:rsid w:val="5F8513F4"/>
    <w:rsid w:val="5F887EC9"/>
    <w:rsid w:val="5F8E44BB"/>
    <w:rsid w:val="5F944AC0"/>
    <w:rsid w:val="5F992331"/>
    <w:rsid w:val="5F9C6AB3"/>
    <w:rsid w:val="5F9D327E"/>
    <w:rsid w:val="5FA10F8B"/>
    <w:rsid w:val="5FAD16DE"/>
    <w:rsid w:val="5FD417F1"/>
    <w:rsid w:val="5FE07B70"/>
    <w:rsid w:val="5FEB2F82"/>
    <w:rsid w:val="5FED1A34"/>
    <w:rsid w:val="5FF11F12"/>
    <w:rsid w:val="60036DA1"/>
    <w:rsid w:val="6005776C"/>
    <w:rsid w:val="6010240E"/>
    <w:rsid w:val="601E2E82"/>
    <w:rsid w:val="602076B7"/>
    <w:rsid w:val="60235E44"/>
    <w:rsid w:val="60327E35"/>
    <w:rsid w:val="6037369D"/>
    <w:rsid w:val="604B66F9"/>
    <w:rsid w:val="604E1113"/>
    <w:rsid w:val="60500241"/>
    <w:rsid w:val="60511EE0"/>
    <w:rsid w:val="605168CD"/>
    <w:rsid w:val="6056012F"/>
    <w:rsid w:val="60563B24"/>
    <w:rsid w:val="60573DFD"/>
    <w:rsid w:val="6074044E"/>
    <w:rsid w:val="607E5A13"/>
    <w:rsid w:val="60885CA7"/>
    <w:rsid w:val="608D4DD1"/>
    <w:rsid w:val="60974712"/>
    <w:rsid w:val="60A57E46"/>
    <w:rsid w:val="60A61842"/>
    <w:rsid w:val="60AF2DC9"/>
    <w:rsid w:val="60B605B1"/>
    <w:rsid w:val="60C6742D"/>
    <w:rsid w:val="60C74A21"/>
    <w:rsid w:val="60C80510"/>
    <w:rsid w:val="60CB0B54"/>
    <w:rsid w:val="60CC64DC"/>
    <w:rsid w:val="60D55390"/>
    <w:rsid w:val="60DD6597"/>
    <w:rsid w:val="60DF7FBD"/>
    <w:rsid w:val="60E27AAD"/>
    <w:rsid w:val="60EB5230"/>
    <w:rsid w:val="60F33A68"/>
    <w:rsid w:val="60F51706"/>
    <w:rsid w:val="60F84300"/>
    <w:rsid w:val="60FB0B6F"/>
    <w:rsid w:val="610158EB"/>
    <w:rsid w:val="6106379C"/>
    <w:rsid w:val="610F0176"/>
    <w:rsid w:val="61122BB7"/>
    <w:rsid w:val="611820DD"/>
    <w:rsid w:val="61233665"/>
    <w:rsid w:val="6126577A"/>
    <w:rsid w:val="612B107A"/>
    <w:rsid w:val="612D3029"/>
    <w:rsid w:val="61402066"/>
    <w:rsid w:val="615A5F6D"/>
    <w:rsid w:val="615B183C"/>
    <w:rsid w:val="615F6917"/>
    <w:rsid w:val="61664FFF"/>
    <w:rsid w:val="616A25B8"/>
    <w:rsid w:val="616A490B"/>
    <w:rsid w:val="6171096B"/>
    <w:rsid w:val="61721E5C"/>
    <w:rsid w:val="61752ECF"/>
    <w:rsid w:val="617C580C"/>
    <w:rsid w:val="617F354E"/>
    <w:rsid w:val="61825CDE"/>
    <w:rsid w:val="61842912"/>
    <w:rsid w:val="618A761A"/>
    <w:rsid w:val="618B4A01"/>
    <w:rsid w:val="619D5782"/>
    <w:rsid w:val="61B2747F"/>
    <w:rsid w:val="61B72CE8"/>
    <w:rsid w:val="61C251E9"/>
    <w:rsid w:val="61CB6793"/>
    <w:rsid w:val="61DC274E"/>
    <w:rsid w:val="61E57855"/>
    <w:rsid w:val="61F3454C"/>
    <w:rsid w:val="61FC19FE"/>
    <w:rsid w:val="61FE76A1"/>
    <w:rsid w:val="620D3ACA"/>
    <w:rsid w:val="620D46B6"/>
    <w:rsid w:val="62115AFD"/>
    <w:rsid w:val="62163522"/>
    <w:rsid w:val="6219055C"/>
    <w:rsid w:val="621E027C"/>
    <w:rsid w:val="621F659C"/>
    <w:rsid w:val="624029E8"/>
    <w:rsid w:val="62436329"/>
    <w:rsid w:val="624A590A"/>
    <w:rsid w:val="624C78D4"/>
    <w:rsid w:val="62545B90"/>
    <w:rsid w:val="625B3673"/>
    <w:rsid w:val="625D4A96"/>
    <w:rsid w:val="626F711E"/>
    <w:rsid w:val="627920B2"/>
    <w:rsid w:val="627F2F0A"/>
    <w:rsid w:val="628131AC"/>
    <w:rsid w:val="62874DB0"/>
    <w:rsid w:val="628C4545"/>
    <w:rsid w:val="628E4EE1"/>
    <w:rsid w:val="6297211C"/>
    <w:rsid w:val="629B5670"/>
    <w:rsid w:val="62A0377C"/>
    <w:rsid w:val="62A53F77"/>
    <w:rsid w:val="62A83527"/>
    <w:rsid w:val="62B91A2C"/>
    <w:rsid w:val="62BF5FAF"/>
    <w:rsid w:val="62C54F90"/>
    <w:rsid w:val="62C92CD3"/>
    <w:rsid w:val="62C93018"/>
    <w:rsid w:val="62CA6A4B"/>
    <w:rsid w:val="62CF7BBD"/>
    <w:rsid w:val="62DA4EE0"/>
    <w:rsid w:val="62DF747D"/>
    <w:rsid w:val="62E265BC"/>
    <w:rsid w:val="62EF025F"/>
    <w:rsid w:val="62FA20CA"/>
    <w:rsid w:val="62FA43BA"/>
    <w:rsid w:val="62FB587B"/>
    <w:rsid w:val="62FF51E6"/>
    <w:rsid w:val="63003C5F"/>
    <w:rsid w:val="630C72F6"/>
    <w:rsid w:val="63107F04"/>
    <w:rsid w:val="631540C7"/>
    <w:rsid w:val="63161C90"/>
    <w:rsid w:val="63186B70"/>
    <w:rsid w:val="631B00C2"/>
    <w:rsid w:val="631D00D0"/>
    <w:rsid w:val="631F0B45"/>
    <w:rsid w:val="63285CA9"/>
    <w:rsid w:val="63300CC8"/>
    <w:rsid w:val="63333EA4"/>
    <w:rsid w:val="633518C5"/>
    <w:rsid w:val="634161E3"/>
    <w:rsid w:val="634366DC"/>
    <w:rsid w:val="63493E13"/>
    <w:rsid w:val="634A7254"/>
    <w:rsid w:val="634D4444"/>
    <w:rsid w:val="634F7668"/>
    <w:rsid w:val="63556314"/>
    <w:rsid w:val="635641FA"/>
    <w:rsid w:val="6362000E"/>
    <w:rsid w:val="63732C3E"/>
    <w:rsid w:val="63780255"/>
    <w:rsid w:val="637D5804"/>
    <w:rsid w:val="63864720"/>
    <w:rsid w:val="63892462"/>
    <w:rsid w:val="63917EBC"/>
    <w:rsid w:val="6397692D"/>
    <w:rsid w:val="6399626D"/>
    <w:rsid w:val="639F1B71"/>
    <w:rsid w:val="63A169C8"/>
    <w:rsid w:val="63AC6898"/>
    <w:rsid w:val="63AF271C"/>
    <w:rsid w:val="63BB6AAF"/>
    <w:rsid w:val="63BD3EBA"/>
    <w:rsid w:val="63BE4A67"/>
    <w:rsid w:val="63C00461"/>
    <w:rsid w:val="63C32B2E"/>
    <w:rsid w:val="63C700D5"/>
    <w:rsid w:val="63C87805"/>
    <w:rsid w:val="63DA06D3"/>
    <w:rsid w:val="63DF02D4"/>
    <w:rsid w:val="63E241D4"/>
    <w:rsid w:val="63E40FF8"/>
    <w:rsid w:val="63EF49BB"/>
    <w:rsid w:val="63F017F5"/>
    <w:rsid w:val="63F36A7C"/>
    <w:rsid w:val="63F46B69"/>
    <w:rsid w:val="63F57AF7"/>
    <w:rsid w:val="64047D3A"/>
    <w:rsid w:val="640652A2"/>
    <w:rsid w:val="64073812"/>
    <w:rsid w:val="640815D9"/>
    <w:rsid w:val="641C18AA"/>
    <w:rsid w:val="6421269A"/>
    <w:rsid w:val="642B3519"/>
    <w:rsid w:val="64394B9A"/>
    <w:rsid w:val="643A6F15"/>
    <w:rsid w:val="64437A08"/>
    <w:rsid w:val="644D7933"/>
    <w:rsid w:val="64550596"/>
    <w:rsid w:val="645559D6"/>
    <w:rsid w:val="645C6BAC"/>
    <w:rsid w:val="646541CC"/>
    <w:rsid w:val="64654C7D"/>
    <w:rsid w:val="646B1B68"/>
    <w:rsid w:val="647F4ABB"/>
    <w:rsid w:val="648B3FB8"/>
    <w:rsid w:val="648F130F"/>
    <w:rsid w:val="649551B0"/>
    <w:rsid w:val="64A137DB"/>
    <w:rsid w:val="64A6710D"/>
    <w:rsid w:val="64AD3955"/>
    <w:rsid w:val="64B11BAB"/>
    <w:rsid w:val="64C03C61"/>
    <w:rsid w:val="64D02678"/>
    <w:rsid w:val="64D20BC7"/>
    <w:rsid w:val="64E057D8"/>
    <w:rsid w:val="64E77B28"/>
    <w:rsid w:val="64EA6F30"/>
    <w:rsid w:val="64F61D79"/>
    <w:rsid w:val="6503056E"/>
    <w:rsid w:val="65115BD4"/>
    <w:rsid w:val="65154737"/>
    <w:rsid w:val="651B358E"/>
    <w:rsid w:val="651D3295"/>
    <w:rsid w:val="653102F5"/>
    <w:rsid w:val="654A6CB1"/>
    <w:rsid w:val="654B487E"/>
    <w:rsid w:val="6551139E"/>
    <w:rsid w:val="6556066D"/>
    <w:rsid w:val="65562818"/>
    <w:rsid w:val="655B3242"/>
    <w:rsid w:val="65712AAF"/>
    <w:rsid w:val="65743464"/>
    <w:rsid w:val="657F3A4C"/>
    <w:rsid w:val="6585261B"/>
    <w:rsid w:val="658B51D6"/>
    <w:rsid w:val="659A0BDD"/>
    <w:rsid w:val="65A64962"/>
    <w:rsid w:val="65AC6A44"/>
    <w:rsid w:val="65AD30E3"/>
    <w:rsid w:val="65B01F28"/>
    <w:rsid w:val="65C37EAD"/>
    <w:rsid w:val="65C41AE8"/>
    <w:rsid w:val="65D03035"/>
    <w:rsid w:val="65E2233B"/>
    <w:rsid w:val="65E80CEF"/>
    <w:rsid w:val="65F11076"/>
    <w:rsid w:val="65FE7137"/>
    <w:rsid w:val="660109A2"/>
    <w:rsid w:val="66083824"/>
    <w:rsid w:val="660B7FCE"/>
    <w:rsid w:val="661D50F9"/>
    <w:rsid w:val="66203285"/>
    <w:rsid w:val="663913DE"/>
    <w:rsid w:val="664041CB"/>
    <w:rsid w:val="66417024"/>
    <w:rsid w:val="66442670"/>
    <w:rsid w:val="6650370B"/>
    <w:rsid w:val="665E3732"/>
    <w:rsid w:val="6665218B"/>
    <w:rsid w:val="667542F8"/>
    <w:rsid w:val="667C005C"/>
    <w:rsid w:val="66826EC7"/>
    <w:rsid w:val="66A11A9E"/>
    <w:rsid w:val="66A7157D"/>
    <w:rsid w:val="66AF0431"/>
    <w:rsid w:val="66BB5028"/>
    <w:rsid w:val="66C67529"/>
    <w:rsid w:val="66DC4038"/>
    <w:rsid w:val="66DD13C2"/>
    <w:rsid w:val="66DE4873"/>
    <w:rsid w:val="66E03F87"/>
    <w:rsid w:val="66E10C5B"/>
    <w:rsid w:val="66E979E4"/>
    <w:rsid w:val="66F13DA0"/>
    <w:rsid w:val="66FE6CC3"/>
    <w:rsid w:val="67037161"/>
    <w:rsid w:val="67056009"/>
    <w:rsid w:val="670F2C7E"/>
    <w:rsid w:val="6716400D"/>
    <w:rsid w:val="67192516"/>
    <w:rsid w:val="671D183F"/>
    <w:rsid w:val="67220C03"/>
    <w:rsid w:val="67370A5B"/>
    <w:rsid w:val="673B1CC5"/>
    <w:rsid w:val="673E5A70"/>
    <w:rsid w:val="67430029"/>
    <w:rsid w:val="67453CEE"/>
    <w:rsid w:val="674C076E"/>
    <w:rsid w:val="67615148"/>
    <w:rsid w:val="67706EC8"/>
    <w:rsid w:val="67713939"/>
    <w:rsid w:val="6775693F"/>
    <w:rsid w:val="67771929"/>
    <w:rsid w:val="67773646"/>
    <w:rsid w:val="67777E41"/>
    <w:rsid w:val="67816AD2"/>
    <w:rsid w:val="678710AA"/>
    <w:rsid w:val="67887A14"/>
    <w:rsid w:val="679A2E90"/>
    <w:rsid w:val="67A324FD"/>
    <w:rsid w:val="67A605D1"/>
    <w:rsid w:val="67AB2F35"/>
    <w:rsid w:val="67AF3866"/>
    <w:rsid w:val="67BD26DA"/>
    <w:rsid w:val="67CC7648"/>
    <w:rsid w:val="67CD6A2C"/>
    <w:rsid w:val="67CF1C1A"/>
    <w:rsid w:val="67E13CA9"/>
    <w:rsid w:val="67EF5A7A"/>
    <w:rsid w:val="67F0425E"/>
    <w:rsid w:val="67F831F3"/>
    <w:rsid w:val="68040309"/>
    <w:rsid w:val="68064BFC"/>
    <w:rsid w:val="680B1697"/>
    <w:rsid w:val="680C265E"/>
    <w:rsid w:val="6816098B"/>
    <w:rsid w:val="681A3FD0"/>
    <w:rsid w:val="681D5EC9"/>
    <w:rsid w:val="6826527B"/>
    <w:rsid w:val="68307A21"/>
    <w:rsid w:val="6832131A"/>
    <w:rsid w:val="68386205"/>
    <w:rsid w:val="68455C4F"/>
    <w:rsid w:val="684B118F"/>
    <w:rsid w:val="684D69D9"/>
    <w:rsid w:val="68544984"/>
    <w:rsid w:val="68594AF9"/>
    <w:rsid w:val="685A617B"/>
    <w:rsid w:val="6866400F"/>
    <w:rsid w:val="68703205"/>
    <w:rsid w:val="68752FB5"/>
    <w:rsid w:val="68792DEC"/>
    <w:rsid w:val="687F3E33"/>
    <w:rsid w:val="68814582"/>
    <w:rsid w:val="68882CE8"/>
    <w:rsid w:val="68945B31"/>
    <w:rsid w:val="68975621"/>
    <w:rsid w:val="689F517F"/>
    <w:rsid w:val="68A660EC"/>
    <w:rsid w:val="68B26153"/>
    <w:rsid w:val="68B44D6B"/>
    <w:rsid w:val="68B97282"/>
    <w:rsid w:val="68BB7827"/>
    <w:rsid w:val="68F12840"/>
    <w:rsid w:val="68F14D31"/>
    <w:rsid w:val="68F9785E"/>
    <w:rsid w:val="68FB76F7"/>
    <w:rsid w:val="6908646B"/>
    <w:rsid w:val="690A6F18"/>
    <w:rsid w:val="690D358A"/>
    <w:rsid w:val="690D3C44"/>
    <w:rsid w:val="690E20F6"/>
    <w:rsid w:val="690F141C"/>
    <w:rsid w:val="69166546"/>
    <w:rsid w:val="691974C2"/>
    <w:rsid w:val="6922313D"/>
    <w:rsid w:val="69342E70"/>
    <w:rsid w:val="69344C1E"/>
    <w:rsid w:val="69353F17"/>
    <w:rsid w:val="69361497"/>
    <w:rsid w:val="693F06A7"/>
    <w:rsid w:val="693F1209"/>
    <w:rsid w:val="69470DF5"/>
    <w:rsid w:val="69481C28"/>
    <w:rsid w:val="694A0BB7"/>
    <w:rsid w:val="69563FAD"/>
    <w:rsid w:val="6959190E"/>
    <w:rsid w:val="69632C6B"/>
    <w:rsid w:val="696356E3"/>
    <w:rsid w:val="696848C8"/>
    <w:rsid w:val="697531CB"/>
    <w:rsid w:val="6975497E"/>
    <w:rsid w:val="697B45FB"/>
    <w:rsid w:val="69821D10"/>
    <w:rsid w:val="6985191D"/>
    <w:rsid w:val="69A05F97"/>
    <w:rsid w:val="69AF78C3"/>
    <w:rsid w:val="69B47B0D"/>
    <w:rsid w:val="69C04704"/>
    <w:rsid w:val="69CA70CE"/>
    <w:rsid w:val="69CE0D4A"/>
    <w:rsid w:val="69CF227F"/>
    <w:rsid w:val="69D12B91"/>
    <w:rsid w:val="69D15D3D"/>
    <w:rsid w:val="69D34437"/>
    <w:rsid w:val="69DC7D20"/>
    <w:rsid w:val="69E20B1E"/>
    <w:rsid w:val="69EC54F9"/>
    <w:rsid w:val="69EF6EF3"/>
    <w:rsid w:val="69F45D0F"/>
    <w:rsid w:val="69F541C1"/>
    <w:rsid w:val="6A0445F0"/>
    <w:rsid w:val="6A100C12"/>
    <w:rsid w:val="6A10568B"/>
    <w:rsid w:val="6A1635A7"/>
    <w:rsid w:val="6A164324"/>
    <w:rsid w:val="6A184540"/>
    <w:rsid w:val="6A196831"/>
    <w:rsid w:val="6A2357FC"/>
    <w:rsid w:val="6A2C1D99"/>
    <w:rsid w:val="6A533152"/>
    <w:rsid w:val="6A59154F"/>
    <w:rsid w:val="6A632BD6"/>
    <w:rsid w:val="6A647F9B"/>
    <w:rsid w:val="6A6908F7"/>
    <w:rsid w:val="6A6D6F53"/>
    <w:rsid w:val="6A723C50"/>
    <w:rsid w:val="6A74226B"/>
    <w:rsid w:val="6A7D2BD7"/>
    <w:rsid w:val="6A8255CC"/>
    <w:rsid w:val="6A843983"/>
    <w:rsid w:val="6A8B4B67"/>
    <w:rsid w:val="6A8F1610"/>
    <w:rsid w:val="6A927E4E"/>
    <w:rsid w:val="6A9D1C7F"/>
    <w:rsid w:val="6AAB0F10"/>
    <w:rsid w:val="6AAD5B8B"/>
    <w:rsid w:val="6ABC4ECB"/>
    <w:rsid w:val="6AC02C0D"/>
    <w:rsid w:val="6AC4762C"/>
    <w:rsid w:val="6AE8785F"/>
    <w:rsid w:val="6AEC106B"/>
    <w:rsid w:val="6AEC1C54"/>
    <w:rsid w:val="6AED777A"/>
    <w:rsid w:val="6AEF7B10"/>
    <w:rsid w:val="6AF73486"/>
    <w:rsid w:val="6AFC176B"/>
    <w:rsid w:val="6B02413F"/>
    <w:rsid w:val="6B054AC4"/>
    <w:rsid w:val="6B05525B"/>
    <w:rsid w:val="6B070879"/>
    <w:rsid w:val="6B117CAC"/>
    <w:rsid w:val="6B191ADE"/>
    <w:rsid w:val="6B1A3E1F"/>
    <w:rsid w:val="6B20545A"/>
    <w:rsid w:val="6B225676"/>
    <w:rsid w:val="6B256F14"/>
    <w:rsid w:val="6B26343E"/>
    <w:rsid w:val="6B3158B9"/>
    <w:rsid w:val="6B3621A9"/>
    <w:rsid w:val="6B377761"/>
    <w:rsid w:val="6B3929BF"/>
    <w:rsid w:val="6B3C03D8"/>
    <w:rsid w:val="6B3E367B"/>
    <w:rsid w:val="6B3E3BB6"/>
    <w:rsid w:val="6B405AFC"/>
    <w:rsid w:val="6B4275FD"/>
    <w:rsid w:val="6B447B3D"/>
    <w:rsid w:val="6B4B624F"/>
    <w:rsid w:val="6B551166"/>
    <w:rsid w:val="6B574014"/>
    <w:rsid w:val="6B5B2936"/>
    <w:rsid w:val="6B5E17A6"/>
    <w:rsid w:val="6B607F4C"/>
    <w:rsid w:val="6B647753"/>
    <w:rsid w:val="6B685053"/>
    <w:rsid w:val="6B6A7A2B"/>
    <w:rsid w:val="6B6F4E8F"/>
    <w:rsid w:val="6B7457A6"/>
    <w:rsid w:val="6B777044"/>
    <w:rsid w:val="6B7B7B0D"/>
    <w:rsid w:val="6B893C24"/>
    <w:rsid w:val="6B9B0F84"/>
    <w:rsid w:val="6B9F6CC6"/>
    <w:rsid w:val="6BAA7419"/>
    <w:rsid w:val="6BAB3AC4"/>
    <w:rsid w:val="6BAE62FA"/>
    <w:rsid w:val="6BB07340"/>
    <w:rsid w:val="6BB22149"/>
    <w:rsid w:val="6BB40298"/>
    <w:rsid w:val="6BB478D1"/>
    <w:rsid w:val="6BD43154"/>
    <w:rsid w:val="6BDE6F22"/>
    <w:rsid w:val="6BDF5356"/>
    <w:rsid w:val="6BF35EB6"/>
    <w:rsid w:val="6BFB1A23"/>
    <w:rsid w:val="6BFB2E89"/>
    <w:rsid w:val="6BFE01B0"/>
    <w:rsid w:val="6C040D59"/>
    <w:rsid w:val="6C0B610A"/>
    <w:rsid w:val="6C10109A"/>
    <w:rsid w:val="6C123DCE"/>
    <w:rsid w:val="6C16342F"/>
    <w:rsid w:val="6C17437D"/>
    <w:rsid w:val="6C230745"/>
    <w:rsid w:val="6C24541E"/>
    <w:rsid w:val="6C2F2B4C"/>
    <w:rsid w:val="6C303DC2"/>
    <w:rsid w:val="6C335661"/>
    <w:rsid w:val="6C423AF6"/>
    <w:rsid w:val="6C474C68"/>
    <w:rsid w:val="6C477BB8"/>
    <w:rsid w:val="6C5B4091"/>
    <w:rsid w:val="6C5D623A"/>
    <w:rsid w:val="6C5E66E4"/>
    <w:rsid w:val="6C5F1FB2"/>
    <w:rsid w:val="6C7C186F"/>
    <w:rsid w:val="6C7E24CF"/>
    <w:rsid w:val="6C907F1A"/>
    <w:rsid w:val="6C911E32"/>
    <w:rsid w:val="6C9C3206"/>
    <w:rsid w:val="6C9D0D2C"/>
    <w:rsid w:val="6CA266D1"/>
    <w:rsid w:val="6CA43063"/>
    <w:rsid w:val="6CAE6A95"/>
    <w:rsid w:val="6CB15965"/>
    <w:rsid w:val="6CBF74EB"/>
    <w:rsid w:val="6CC0105D"/>
    <w:rsid w:val="6CC462B9"/>
    <w:rsid w:val="6CD626CD"/>
    <w:rsid w:val="6CD7218C"/>
    <w:rsid w:val="6CDC145C"/>
    <w:rsid w:val="6CE150BD"/>
    <w:rsid w:val="6CE66C3E"/>
    <w:rsid w:val="6CEC4B14"/>
    <w:rsid w:val="6CED5810"/>
    <w:rsid w:val="6CEE3336"/>
    <w:rsid w:val="6CF05300"/>
    <w:rsid w:val="6CF748E0"/>
    <w:rsid w:val="6D13749D"/>
    <w:rsid w:val="6D140FEE"/>
    <w:rsid w:val="6D154D66"/>
    <w:rsid w:val="6D193702"/>
    <w:rsid w:val="6D1B410D"/>
    <w:rsid w:val="6D205BE5"/>
    <w:rsid w:val="6D262AD0"/>
    <w:rsid w:val="6D2C27DC"/>
    <w:rsid w:val="6D3D723E"/>
    <w:rsid w:val="6D3E0F8F"/>
    <w:rsid w:val="6D4B0788"/>
    <w:rsid w:val="6D4D62AE"/>
    <w:rsid w:val="6D512242"/>
    <w:rsid w:val="6D523765"/>
    <w:rsid w:val="6D535A6B"/>
    <w:rsid w:val="6D57712D"/>
    <w:rsid w:val="6D5D0B6C"/>
    <w:rsid w:val="6D5D0BE7"/>
    <w:rsid w:val="6D68758C"/>
    <w:rsid w:val="6D777441"/>
    <w:rsid w:val="6D792B89"/>
    <w:rsid w:val="6D800432"/>
    <w:rsid w:val="6D8E7E4C"/>
    <w:rsid w:val="6D940381"/>
    <w:rsid w:val="6DA65CB6"/>
    <w:rsid w:val="6DB36A59"/>
    <w:rsid w:val="6DB66549"/>
    <w:rsid w:val="6DBD3434"/>
    <w:rsid w:val="6DC05759"/>
    <w:rsid w:val="6DC8772D"/>
    <w:rsid w:val="6DCC070B"/>
    <w:rsid w:val="6DE05E6E"/>
    <w:rsid w:val="6DE330B6"/>
    <w:rsid w:val="6DEF2023"/>
    <w:rsid w:val="6DF606F4"/>
    <w:rsid w:val="6DFB21AE"/>
    <w:rsid w:val="6DFF3656"/>
    <w:rsid w:val="6E007902"/>
    <w:rsid w:val="6E011295"/>
    <w:rsid w:val="6E070B53"/>
    <w:rsid w:val="6E096679"/>
    <w:rsid w:val="6E11552E"/>
    <w:rsid w:val="6E2214E9"/>
    <w:rsid w:val="6E327B9D"/>
    <w:rsid w:val="6E3A0F28"/>
    <w:rsid w:val="6E405E13"/>
    <w:rsid w:val="6E463834"/>
    <w:rsid w:val="6E503D07"/>
    <w:rsid w:val="6E52128A"/>
    <w:rsid w:val="6E6214B2"/>
    <w:rsid w:val="6E7206C2"/>
    <w:rsid w:val="6E7D56FD"/>
    <w:rsid w:val="6E801699"/>
    <w:rsid w:val="6E8D04CC"/>
    <w:rsid w:val="6E902147"/>
    <w:rsid w:val="6E957F0D"/>
    <w:rsid w:val="6EA14B04"/>
    <w:rsid w:val="6EA345D5"/>
    <w:rsid w:val="6EA82540"/>
    <w:rsid w:val="6EA876DB"/>
    <w:rsid w:val="6EAC2E01"/>
    <w:rsid w:val="6EAE7189"/>
    <w:rsid w:val="6EB3122F"/>
    <w:rsid w:val="6EB86DD7"/>
    <w:rsid w:val="6EC425A0"/>
    <w:rsid w:val="6EC46A44"/>
    <w:rsid w:val="6EE86B55"/>
    <w:rsid w:val="6EF502DE"/>
    <w:rsid w:val="6F011A46"/>
    <w:rsid w:val="6F1A5B0D"/>
    <w:rsid w:val="6F1C23DC"/>
    <w:rsid w:val="6F1F3C7A"/>
    <w:rsid w:val="6F231363"/>
    <w:rsid w:val="6F5B1627"/>
    <w:rsid w:val="6F5D6566"/>
    <w:rsid w:val="6F5E47A3"/>
    <w:rsid w:val="6F5E725D"/>
    <w:rsid w:val="6F64419E"/>
    <w:rsid w:val="6F7C731F"/>
    <w:rsid w:val="6F886897"/>
    <w:rsid w:val="6F9053E5"/>
    <w:rsid w:val="6FA65031"/>
    <w:rsid w:val="6FAB2CD0"/>
    <w:rsid w:val="6FB10EAC"/>
    <w:rsid w:val="6FC447A7"/>
    <w:rsid w:val="6FC6488D"/>
    <w:rsid w:val="6FD85A8B"/>
    <w:rsid w:val="6FE11480"/>
    <w:rsid w:val="6FE43411"/>
    <w:rsid w:val="6FE91CE1"/>
    <w:rsid w:val="6FF13869"/>
    <w:rsid w:val="6FF435D5"/>
    <w:rsid w:val="6FF56B6A"/>
    <w:rsid w:val="70015FEA"/>
    <w:rsid w:val="700477E5"/>
    <w:rsid w:val="7007308C"/>
    <w:rsid w:val="70175E7B"/>
    <w:rsid w:val="701A0E1A"/>
    <w:rsid w:val="70227EC6"/>
    <w:rsid w:val="70271038"/>
    <w:rsid w:val="702A30BF"/>
    <w:rsid w:val="70311EB7"/>
    <w:rsid w:val="703D5A1C"/>
    <w:rsid w:val="703F45D4"/>
    <w:rsid w:val="70422316"/>
    <w:rsid w:val="70433998"/>
    <w:rsid w:val="70466694"/>
    <w:rsid w:val="704A516B"/>
    <w:rsid w:val="704D6E93"/>
    <w:rsid w:val="70626515"/>
    <w:rsid w:val="70651E7B"/>
    <w:rsid w:val="706A3497"/>
    <w:rsid w:val="706C469A"/>
    <w:rsid w:val="7075576E"/>
    <w:rsid w:val="70853FB1"/>
    <w:rsid w:val="708D49A9"/>
    <w:rsid w:val="709A5C0D"/>
    <w:rsid w:val="709D6A79"/>
    <w:rsid w:val="70A6597B"/>
    <w:rsid w:val="70A909E2"/>
    <w:rsid w:val="70AB7A47"/>
    <w:rsid w:val="70B76860"/>
    <w:rsid w:val="70BD400B"/>
    <w:rsid w:val="70BE2D30"/>
    <w:rsid w:val="70CB3C2D"/>
    <w:rsid w:val="70CE652D"/>
    <w:rsid w:val="70D8527D"/>
    <w:rsid w:val="70D91C61"/>
    <w:rsid w:val="70DA7947"/>
    <w:rsid w:val="70E150EF"/>
    <w:rsid w:val="70F26849"/>
    <w:rsid w:val="71056D11"/>
    <w:rsid w:val="71205940"/>
    <w:rsid w:val="712963E6"/>
    <w:rsid w:val="71453E6C"/>
    <w:rsid w:val="71487F4C"/>
    <w:rsid w:val="715776FB"/>
    <w:rsid w:val="715C11B6"/>
    <w:rsid w:val="715E0A8A"/>
    <w:rsid w:val="716A6D9B"/>
    <w:rsid w:val="716D5171"/>
    <w:rsid w:val="718304F0"/>
    <w:rsid w:val="71967C4C"/>
    <w:rsid w:val="719941B8"/>
    <w:rsid w:val="71B11464"/>
    <w:rsid w:val="71B60C74"/>
    <w:rsid w:val="71E75D6A"/>
    <w:rsid w:val="71EC078C"/>
    <w:rsid w:val="71FB283D"/>
    <w:rsid w:val="7205738D"/>
    <w:rsid w:val="72127AC6"/>
    <w:rsid w:val="72135D18"/>
    <w:rsid w:val="721970A7"/>
    <w:rsid w:val="722A35E9"/>
    <w:rsid w:val="722B4720"/>
    <w:rsid w:val="722C0B88"/>
    <w:rsid w:val="723F28C0"/>
    <w:rsid w:val="723F3DEE"/>
    <w:rsid w:val="723F6B0D"/>
    <w:rsid w:val="724E63C1"/>
    <w:rsid w:val="725E2D0C"/>
    <w:rsid w:val="72693B8A"/>
    <w:rsid w:val="72897D89"/>
    <w:rsid w:val="729624A5"/>
    <w:rsid w:val="72974E64"/>
    <w:rsid w:val="72A11BA7"/>
    <w:rsid w:val="72A9042B"/>
    <w:rsid w:val="72AD4A37"/>
    <w:rsid w:val="72B34E05"/>
    <w:rsid w:val="72B61496"/>
    <w:rsid w:val="72BA17F9"/>
    <w:rsid w:val="72C2329A"/>
    <w:rsid w:val="72C3042F"/>
    <w:rsid w:val="72CE7E91"/>
    <w:rsid w:val="72CF790A"/>
    <w:rsid w:val="72D60AF4"/>
    <w:rsid w:val="72D76034"/>
    <w:rsid w:val="72E256EB"/>
    <w:rsid w:val="72E33AB4"/>
    <w:rsid w:val="72EC397B"/>
    <w:rsid w:val="72ED0BB5"/>
    <w:rsid w:val="72EE22E1"/>
    <w:rsid w:val="72F02C9D"/>
    <w:rsid w:val="72F06514"/>
    <w:rsid w:val="72F862C7"/>
    <w:rsid w:val="72FC7CBC"/>
    <w:rsid w:val="72FE45F3"/>
    <w:rsid w:val="73033A8A"/>
    <w:rsid w:val="730F4124"/>
    <w:rsid w:val="731C6E4F"/>
    <w:rsid w:val="732145F1"/>
    <w:rsid w:val="73290D26"/>
    <w:rsid w:val="73293915"/>
    <w:rsid w:val="732F7BD8"/>
    <w:rsid w:val="73347FD2"/>
    <w:rsid w:val="733D79A3"/>
    <w:rsid w:val="734463A5"/>
    <w:rsid w:val="7352461E"/>
    <w:rsid w:val="735741B9"/>
    <w:rsid w:val="73593CC9"/>
    <w:rsid w:val="73604A6A"/>
    <w:rsid w:val="7366631C"/>
    <w:rsid w:val="73667C95"/>
    <w:rsid w:val="73740BCC"/>
    <w:rsid w:val="737511A4"/>
    <w:rsid w:val="7380460B"/>
    <w:rsid w:val="73814F04"/>
    <w:rsid w:val="738239FA"/>
    <w:rsid w:val="73826895"/>
    <w:rsid w:val="73836ECE"/>
    <w:rsid w:val="739048A5"/>
    <w:rsid w:val="73912A47"/>
    <w:rsid w:val="73914F8E"/>
    <w:rsid w:val="73916BA0"/>
    <w:rsid w:val="73927111"/>
    <w:rsid w:val="7399049F"/>
    <w:rsid w:val="73A00035"/>
    <w:rsid w:val="73A22903"/>
    <w:rsid w:val="73AF2A42"/>
    <w:rsid w:val="73AF7CC3"/>
    <w:rsid w:val="73BF6F86"/>
    <w:rsid w:val="73E3796C"/>
    <w:rsid w:val="73E46443"/>
    <w:rsid w:val="73EC3F4B"/>
    <w:rsid w:val="73F44B3C"/>
    <w:rsid w:val="73FF09D5"/>
    <w:rsid w:val="74027E3B"/>
    <w:rsid w:val="740353FF"/>
    <w:rsid w:val="74085DBC"/>
    <w:rsid w:val="740D2C3B"/>
    <w:rsid w:val="741661E7"/>
    <w:rsid w:val="741713C4"/>
    <w:rsid w:val="74177616"/>
    <w:rsid w:val="741823C0"/>
    <w:rsid w:val="74213B7A"/>
    <w:rsid w:val="7430105A"/>
    <w:rsid w:val="74341F76"/>
    <w:rsid w:val="74387CB8"/>
    <w:rsid w:val="743B1971"/>
    <w:rsid w:val="743C0E2B"/>
    <w:rsid w:val="74436F7B"/>
    <w:rsid w:val="744B22DC"/>
    <w:rsid w:val="744C482A"/>
    <w:rsid w:val="74546174"/>
    <w:rsid w:val="7456013E"/>
    <w:rsid w:val="74624D35"/>
    <w:rsid w:val="74697D41"/>
    <w:rsid w:val="746A1E3C"/>
    <w:rsid w:val="7470762F"/>
    <w:rsid w:val="74750FC8"/>
    <w:rsid w:val="7479008F"/>
    <w:rsid w:val="747A7307"/>
    <w:rsid w:val="74894A22"/>
    <w:rsid w:val="749525CF"/>
    <w:rsid w:val="74981EDB"/>
    <w:rsid w:val="749F0E9B"/>
    <w:rsid w:val="74AC5FB0"/>
    <w:rsid w:val="74C40DF7"/>
    <w:rsid w:val="74C55995"/>
    <w:rsid w:val="74C61A10"/>
    <w:rsid w:val="74C70E40"/>
    <w:rsid w:val="74C94DB4"/>
    <w:rsid w:val="74CE2B07"/>
    <w:rsid w:val="74D2336D"/>
    <w:rsid w:val="74D3178F"/>
    <w:rsid w:val="74D37E07"/>
    <w:rsid w:val="74D42DBE"/>
    <w:rsid w:val="74D53256"/>
    <w:rsid w:val="74D53EB5"/>
    <w:rsid w:val="74DA5B41"/>
    <w:rsid w:val="74DB0643"/>
    <w:rsid w:val="74EF62B6"/>
    <w:rsid w:val="75063912"/>
    <w:rsid w:val="750D66D2"/>
    <w:rsid w:val="750E309E"/>
    <w:rsid w:val="752526C6"/>
    <w:rsid w:val="75260876"/>
    <w:rsid w:val="75273052"/>
    <w:rsid w:val="752E4C17"/>
    <w:rsid w:val="75413E74"/>
    <w:rsid w:val="7544268D"/>
    <w:rsid w:val="75467E23"/>
    <w:rsid w:val="754D3426"/>
    <w:rsid w:val="75503F7D"/>
    <w:rsid w:val="75596138"/>
    <w:rsid w:val="755D1591"/>
    <w:rsid w:val="75622273"/>
    <w:rsid w:val="75641E0E"/>
    <w:rsid w:val="75671ED7"/>
    <w:rsid w:val="75686C5C"/>
    <w:rsid w:val="756A4FE7"/>
    <w:rsid w:val="75706FDE"/>
    <w:rsid w:val="75712730"/>
    <w:rsid w:val="75746C76"/>
    <w:rsid w:val="757E794D"/>
    <w:rsid w:val="75907583"/>
    <w:rsid w:val="75A6710D"/>
    <w:rsid w:val="75AC3F78"/>
    <w:rsid w:val="75B23A9A"/>
    <w:rsid w:val="75BD5BAE"/>
    <w:rsid w:val="75C62FBB"/>
    <w:rsid w:val="75CB06B8"/>
    <w:rsid w:val="75CB7A49"/>
    <w:rsid w:val="75DF4163"/>
    <w:rsid w:val="75E11C8A"/>
    <w:rsid w:val="75F55735"/>
    <w:rsid w:val="75FA2D4B"/>
    <w:rsid w:val="7601057E"/>
    <w:rsid w:val="761258E0"/>
    <w:rsid w:val="761E12D3"/>
    <w:rsid w:val="761E774B"/>
    <w:rsid w:val="762B680A"/>
    <w:rsid w:val="763212B3"/>
    <w:rsid w:val="763615DF"/>
    <w:rsid w:val="764576B4"/>
    <w:rsid w:val="76480432"/>
    <w:rsid w:val="764840EC"/>
    <w:rsid w:val="76507ACD"/>
    <w:rsid w:val="765A144F"/>
    <w:rsid w:val="765C4CE7"/>
    <w:rsid w:val="76634D94"/>
    <w:rsid w:val="7663508D"/>
    <w:rsid w:val="76635AA9"/>
    <w:rsid w:val="76766A98"/>
    <w:rsid w:val="767A3E3F"/>
    <w:rsid w:val="7682521B"/>
    <w:rsid w:val="76872831"/>
    <w:rsid w:val="769B452E"/>
    <w:rsid w:val="76AE24B4"/>
    <w:rsid w:val="76B12FAD"/>
    <w:rsid w:val="76C07AF1"/>
    <w:rsid w:val="76C14630"/>
    <w:rsid w:val="76C21ABB"/>
    <w:rsid w:val="76C356B9"/>
    <w:rsid w:val="76CA4988"/>
    <w:rsid w:val="76D11CFE"/>
    <w:rsid w:val="76D14028"/>
    <w:rsid w:val="76D812DE"/>
    <w:rsid w:val="76DA4C31"/>
    <w:rsid w:val="76EC6EEF"/>
    <w:rsid w:val="76FA1255"/>
    <w:rsid w:val="77086594"/>
    <w:rsid w:val="770E5E25"/>
    <w:rsid w:val="771536BC"/>
    <w:rsid w:val="77161535"/>
    <w:rsid w:val="77212C85"/>
    <w:rsid w:val="77231A20"/>
    <w:rsid w:val="772938E8"/>
    <w:rsid w:val="77296E1D"/>
    <w:rsid w:val="772C2BCD"/>
    <w:rsid w:val="7735228D"/>
    <w:rsid w:val="77376912"/>
    <w:rsid w:val="77376CAF"/>
    <w:rsid w:val="773E4ECE"/>
    <w:rsid w:val="77440722"/>
    <w:rsid w:val="774424D0"/>
    <w:rsid w:val="775070C7"/>
    <w:rsid w:val="77570975"/>
    <w:rsid w:val="77642B72"/>
    <w:rsid w:val="77673906"/>
    <w:rsid w:val="776E2354"/>
    <w:rsid w:val="7771703D"/>
    <w:rsid w:val="77862AE9"/>
    <w:rsid w:val="778B3CB1"/>
    <w:rsid w:val="77972F48"/>
    <w:rsid w:val="77A64F39"/>
    <w:rsid w:val="77AE3DED"/>
    <w:rsid w:val="77B07853"/>
    <w:rsid w:val="77D73CB6"/>
    <w:rsid w:val="77DB2505"/>
    <w:rsid w:val="77DD5D61"/>
    <w:rsid w:val="77E35E54"/>
    <w:rsid w:val="77F064C5"/>
    <w:rsid w:val="77F561E7"/>
    <w:rsid w:val="77F74916"/>
    <w:rsid w:val="780353F2"/>
    <w:rsid w:val="780526A4"/>
    <w:rsid w:val="78127214"/>
    <w:rsid w:val="78157F1C"/>
    <w:rsid w:val="78232A2D"/>
    <w:rsid w:val="78242E63"/>
    <w:rsid w:val="782D07D8"/>
    <w:rsid w:val="78317DED"/>
    <w:rsid w:val="78496FD5"/>
    <w:rsid w:val="784A5D53"/>
    <w:rsid w:val="785A442D"/>
    <w:rsid w:val="786F17CF"/>
    <w:rsid w:val="787D213D"/>
    <w:rsid w:val="788E7202"/>
    <w:rsid w:val="789254BD"/>
    <w:rsid w:val="789B4714"/>
    <w:rsid w:val="78A07E77"/>
    <w:rsid w:val="78A237B3"/>
    <w:rsid w:val="78A35BA9"/>
    <w:rsid w:val="78A5277E"/>
    <w:rsid w:val="78A74D93"/>
    <w:rsid w:val="78A7540C"/>
    <w:rsid w:val="78AC2080"/>
    <w:rsid w:val="78B673FD"/>
    <w:rsid w:val="78BF432E"/>
    <w:rsid w:val="78C3330F"/>
    <w:rsid w:val="78C7785D"/>
    <w:rsid w:val="78D21D5D"/>
    <w:rsid w:val="78E60A08"/>
    <w:rsid w:val="78E77C9E"/>
    <w:rsid w:val="78FD2CF4"/>
    <w:rsid w:val="79073F5C"/>
    <w:rsid w:val="79132908"/>
    <w:rsid w:val="791757D6"/>
    <w:rsid w:val="791F55DA"/>
    <w:rsid w:val="79213FD6"/>
    <w:rsid w:val="792614E9"/>
    <w:rsid w:val="79286BBB"/>
    <w:rsid w:val="792D51C1"/>
    <w:rsid w:val="79346574"/>
    <w:rsid w:val="793547C6"/>
    <w:rsid w:val="793565CE"/>
    <w:rsid w:val="79391A0A"/>
    <w:rsid w:val="79394020"/>
    <w:rsid w:val="793A1DDD"/>
    <w:rsid w:val="7941167B"/>
    <w:rsid w:val="794669D3"/>
    <w:rsid w:val="794C5900"/>
    <w:rsid w:val="794F0D68"/>
    <w:rsid w:val="79534C4C"/>
    <w:rsid w:val="7962011F"/>
    <w:rsid w:val="79690914"/>
    <w:rsid w:val="796C5D0E"/>
    <w:rsid w:val="79730F26"/>
    <w:rsid w:val="798E6E92"/>
    <w:rsid w:val="7993322C"/>
    <w:rsid w:val="799B65F3"/>
    <w:rsid w:val="799C2A97"/>
    <w:rsid w:val="799D7440"/>
    <w:rsid w:val="79B31B8F"/>
    <w:rsid w:val="79BA4CCB"/>
    <w:rsid w:val="79BE0C60"/>
    <w:rsid w:val="79C54357"/>
    <w:rsid w:val="79D25A47"/>
    <w:rsid w:val="79DB12C6"/>
    <w:rsid w:val="79DE0E40"/>
    <w:rsid w:val="79E248E7"/>
    <w:rsid w:val="79FA156C"/>
    <w:rsid w:val="79FC742D"/>
    <w:rsid w:val="79FF5F5B"/>
    <w:rsid w:val="7A097A01"/>
    <w:rsid w:val="7A195E96"/>
    <w:rsid w:val="7A1A5B66"/>
    <w:rsid w:val="7A232871"/>
    <w:rsid w:val="7A235881"/>
    <w:rsid w:val="7A3E76AA"/>
    <w:rsid w:val="7A495293"/>
    <w:rsid w:val="7A527DEB"/>
    <w:rsid w:val="7A6A6CDB"/>
    <w:rsid w:val="7A6C5676"/>
    <w:rsid w:val="7A710FF4"/>
    <w:rsid w:val="7A804C7E"/>
    <w:rsid w:val="7A89377D"/>
    <w:rsid w:val="7A8A08C5"/>
    <w:rsid w:val="7A910122"/>
    <w:rsid w:val="7A9C2623"/>
    <w:rsid w:val="7AAF1F02"/>
    <w:rsid w:val="7AB0280F"/>
    <w:rsid w:val="7AB71B55"/>
    <w:rsid w:val="7AB756AF"/>
    <w:rsid w:val="7AC5601E"/>
    <w:rsid w:val="7ACC6844"/>
    <w:rsid w:val="7ACC7361"/>
    <w:rsid w:val="7AD07D70"/>
    <w:rsid w:val="7AD3475A"/>
    <w:rsid w:val="7ADB4F5E"/>
    <w:rsid w:val="7ADC47C3"/>
    <w:rsid w:val="7ADE1F0B"/>
    <w:rsid w:val="7AF20495"/>
    <w:rsid w:val="7B004897"/>
    <w:rsid w:val="7B007056"/>
    <w:rsid w:val="7B036D23"/>
    <w:rsid w:val="7B0B5A3D"/>
    <w:rsid w:val="7B113011"/>
    <w:rsid w:val="7B1C5D86"/>
    <w:rsid w:val="7B1F3358"/>
    <w:rsid w:val="7B201C8F"/>
    <w:rsid w:val="7B272834"/>
    <w:rsid w:val="7B29556A"/>
    <w:rsid w:val="7B296F32"/>
    <w:rsid w:val="7B303E7C"/>
    <w:rsid w:val="7B30615A"/>
    <w:rsid w:val="7B364826"/>
    <w:rsid w:val="7B394FA4"/>
    <w:rsid w:val="7B3D5043"/>
    <w:rsid w:val="7B3D6400"/>
    <w:rsid w:val="7B42766E"/>
    <w:rsid w:val="7B433675"/>
    <w:rsid w:val="7B4707E1"/>
    <w:rsid w:val="7B4E129B"/>
    <w:rsid w:val="7B4F7695"/>
    <w:rsid w:val="7B5829EE"/>
    <w:rsid w:val="7B5B5F73"/>
    <w:rsid w:val="7B5F5B2A"/>
    <w:rsid w:val="7B637F2E"/>
    <w:rsid w:val="7B8657AD"/>
    <w:rsid w:val="7B871525"/>
    <w:rsid w:val="7B9574F8"/>
    <w:rsid w:val="7BA429A7"/>
    <w:rsid w:val="7BA75723"/>
    <w:rsid w:val="7BB1107D"/>
    <w:rsid w:val="7BB9049C"/>
    <w:rsid w:val="7BC63B1A"/>
    <w:rsid w:val="7BCD376E"/>
    <w:rsid w:val="7BDC717B"/>
    <w:rsid w:val="7BDE0D77"/>
    <w:rsid w:val="7BF42D23"/>
    <w:rsid w:val="7BF91F22"/>
    <w:rsid w:val="7C0C336D"/>
    <w:rsid w:val="7C13476B"/>
    <w:rsid w:val="7C1A4147"/>
    <w:rsid w:val="7C1C102D"/>
    <w:rsid w:val="7C1E4E05"/>
    <w:rsid w:val="7C232FFC"/>
    <w:rsid w:val="7C2D75A3"/>
    <w:rsid w:val="7C336FB7"/>
    <w:rsid w:val="7C3442C2"/>
    <w:rsid w:val="7C370A4B"/>
    <w:rsid w:val="7C376AA7"/>
    <w:rsid w:val="7C3A2C11"/>
    <w:rsid w:val="7C4F5666"/>
    <w:rsid w:val="7C563DC2"/>
    <w:rsid w:val="7C5E1D66"/>
    <w:rsid w:val="7C662FB4"/>
    <w:rsid w:val="7C6F6241"/>
    <w:rsid w:val="7C734192"/>
    <w:rsid w:val="7C945B52"/>
    <w:rsid w:val="7C9C59DA"/>
    <w:rsid w:val="7CA66475"/>
    <w:rsid w:val="7CAA5BB2"/>
    <w:rsid w:val="7CB45CE3"/>
    <w:rsid w:val="7CC72718"/>
    <w:rsid w:val="7CC83BC7"/>
    <w:rsid w:val="7CCD740C"/>
    <w:rsid w:val="7CCF6DC2"/>
    <w:rsid w:val="7CD2057E"/>
    <w:rsid w:val="7CE41D79"/>
    <w:rsid w:val="7D043912"/>
    <w:rsid w:val="7D1868D9"/>
    <w:rsid w:val="7D1D4E05"/>
    <w:rsid w:val="7D1F30F6"/>
    <w:rsid w:val="7D23702C"/>
    <w:rsid w:val="7D252DA4"/>
    <w:rsid w:val="7D256900"/>
    <w:rsid w:val="7D272678"/>
    <w:rsid w:val="7D286598"/>
    <w:rsid w:val="7D2B4481"/>
    <w:rsid w:val="7D4C66E6"/>
    <w:rsid w:val="7D553689"/>
    <w:rsid w:val="7D587BE9"/>
    <w:rsid w:val="7D606776"/>
    <w:rsid w:val="7D6807A5"/>
    <w:rsid w:val="7D690EE2"/>
    <w:rsid w:val="7D6C424C"/>
    <w:rsid w:val="7D755AD9"/>
    <w:rsid w:val="7D775C69"/>
    <w:rsid w:val="7D8201F6"/>
    <w:rsid w:val="7D8E26F7"/>
    <w:rsid w:val="7D907B8E"/>
    <w:rsid w:val="7D980C4C"/>
    <w:rsid w:val="7D9817C8"/>
    <w:rsid w:val="7D9D2EC1"/>
    <w:rsid w:val="7DA104EE"/>
    <w:rsid w:val="7DA71A0B"/>
    <w:rsid w:val="7DB27F66"/>
    <w:rsid w:val="7DBE7B75"/>
    <w:rsid w:val="7DC44799"/>
    <w:rsid w:val="7DC73E5B"/>
    <w:rsid w:val="7DCC7E16"/>
    <w:rsid w:val="7DCF5B6F"/>
    <w:rsid w:val="7DD979D1"/>
    <w:rsid w:val="7DE50BF2"/>
    <w:rsid w:val="7DE81C46"/>
    <w:rsid w:val="7DF2712A"/>
    <w:rsid w:val="7E0B1F99"/>
    <w:rsid w:val="7E0E3838"/>
    <w:rsid w:val="7E1370A0"/>
    <w:rsid w:val="7E140C3F"/>
    <w:rsid w:val="7E141AC2"/>
    <w:rsid w:val="7E143EB6"/>
    <w:rsid w:val="7E27285D"/>
    <w:rsid w:val="7E386B07"/>
    <w:rsid w:val="7E3971D0"/>
    <w:rsid w:val="7E3D5ECB"/>
    <w:rsid w:val="7E3F5CE6"/>
    <w:rsid w:val="7E437985"/>
    <w:rsid w:val="7E4B5C4E"/>
    <w:rsid w:val="7E4D4360"/>
    <w:rsid w:val="7E631DD5"/>
    <w:rsid w:val="7E6B2559"/>
    <w:rsid w:val="7E6B585B"/>
    <w:rsid w:val="7E6C1CCD"/>
    <w:rsid w:val="7E732030"/>
    <w:rsid w:val="7E891412"/>
    <w:rsid w:val="7E8A59B9"/>
    <w:rsid w:val="7E8B062E"/>
    <w:rsid w:val="7E957AB5"/>
    <w:rsid w:val="7E965613"/>
    <w:rsid w:val="7E9D5160"/>
    <w:rsid w:val="7EA42D38"/>
    <w:rsid w:val="7EA46C23"/>
    <w:rsid w:val="7EAA5F78"/>
    <w:rsid w:val="7EAC6BD1"/>
    <w:rsid w:val="7EB55306"/>
    <w:rsid w:val="7EB77A2B"/>
    <w:rsid w:val="7EBA548D"/>
    <w:rsid w:val="7EBA69D4"/>
    <w:rsid w:val="7EC124DF"/>
    <w:rsid w:val="7EC30AC6"/>
    <w:rsid w:val="7ED95102"/>
    <w:rsid w:val="7EDC1B88"/>
    <w:rsid w:val="7EE22502"/>
    <w:rsid w:val="7EF173E1"/>
    <w:rsid w:val="7EFB6F92"/>
    <w:rsid w:val="7EFC5B0D"/>
    <w:rsid w:val="7F01339C"/>
    <w:rsid w:val="7F0D1D41"/>
    <w:rsid w:val="7F145955"/>
    <w:rsid w:val="7F2A644F"/>
    <w:rsid w:val="7F310C9F"/>
    <w:rsid w:val="7F3E1EFB"/>
    <w:rsid w:val="7F411DDA"/>
    <w:rsid w:val="7F4223AA"/>
    <w:rsid w:val="7F45772D"/>
    <w:rsid w:val="7F4734A5"/>
    <w:rsid w:val="7F4C0ABC"/>
    <w:rsid w:val="7F541E52"/>
    <w:rsid w:val="7F683427"/>
    <w:rsid w:val="7F6F62EB"/>
    <w:rsid w:val="7F7E5A63"/>
    <w:rsid w:val="7F812FBC"/>
    <w:rsid w:val="7F834A28"/>
    <w:rsid w:val="7F8C7BBE"/>
    <w:rsid w:val="7F953F0D"/>
    <w:rsid w:val="7F963AE5"/>
    <w:rsid w:val="7FAE0E2E"/>
    <w:rsid w:val="7FB14DC3"/>
    <w:rsid w:val="7FB36445"/>
    <w:rsid w:val="7FB777D7"/>
    <w:rsid w:val="7FCB0226"/>
    <w:rsid w:val="7FCC2989"/>
    <w:rsid w:val="7FCD3E23"/>
    <w:rsid w:val="7FDC0B82"/>
    <w:rsid w:val="7FDD7D0D"/>
    <w:rsid w:val="7FDE2FA3"/>
    <w:rsid w:val="7FF52F01"/>
    <w:rsid w:val="7FF823CD"/>
    <w:rsid w:val="7FFF23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iPriority="0" w:semiHidden="0" w:name="toc 8"/>
    <w:lsdException w:qFormat="1" w:unhideWhenUsed="0" w:uiPriority="0" w:semiHidden="0" w:name="toc 9"/>
    <w:lsdException w:qFormat="1"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iPriority="0" w:semiHidden="0" w:name="caption"/>
    <w:lsdException w:uiPriority="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iPriority="0" w:name="List Number"/>
    <w:lsdException w:uiPriority="99" w:name="List 2"/>
    <w:lsdException w:uiPriority="99" w:name="List 3"/>
    <w:lsdException w:uiPriority="99" w:name="List 4"/>
    <w:lsdException w:uiPriority="99" w:name="List 5"/>
    <w:lsdException w:uiPriority="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0" w:semiHidden="0"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0" w:name="List Continue"/>
    <w:lsdException w:uiPriority="99" w:name="List Continue 2"/>
    <w:lsdException w:qFormat="1" w:uiPriority="99" w:name="List Continue 3"/>
    <w:lsdException w:qFormat="1" w:uiPriority="0" w:semiHidden="0"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iPriority="0" w:semiHidden="0" w:name="Body Text 3"/>
    <w:lsdException w:qFormat="1" w:uiPriority="0" w:semiHidden="0" w:name="Body Text Indent 2"/>
    <w:lsdException w:qFormat="1" w:uiPriority="0" w:semiHidden="0" w:name="Body Text Indent 3"/>
    <w:lsdException w:uiPriority="99"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iPriority="0" w:semiHidden="0" w:name="Plain Text"/>
    <w:lsdException w:qFormat="1" w:unhideWhenUsed="0" w:uiPriority="0" w:semiHidden="0"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0"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lang w:val="en-US" w:eastAsia="zh-CN" w:bidi="ar-SA"/>
    </w:rPr>
  </w:style>
  <w:style w:type="paragraph" w:styleId="2">
    <w:name w:val="heading 1"/>
    <w:basedOn w:val="3"/>
    <w:next w:val="3"/>
    <w:link w:val="71"/>
    <w:qFormat/>
    <w:uiPriority w:val="0"/>
    <w:pPr>
      <w:keepNext/>
      <w:keepLines/>
      <w:spacing w:beforeLines="300" w:after="100" w:afterAutospacing="1" w:line="480" w:lineRule="auto"/>
      <w:jc w:val="both"/>
      <w:outlineLvl w:val="0"/>
    </w:pPr>
    <w:rPr>
      <w:rFonts w:eastAsia="黑体"/>
      <w:bCs/>
      <w:kern w:val="44"/>
      <w:sz w:val="32"/>
      <w:szCs w:val="28"/>
    </w:rPr>
  </w:style>
  <w:style w:type="paragraph" w:styleId="4">
    <w:name w:val="heading 2"/>
    <w:basedOn w:val="1"/>
    <w:next w:val="1"/>
    <w:link w:val="72"/>
    <w:unhideWhenUsed/>
    <w:qFormat/>
    <w:uiPriority w:val="0"/>
    <w:pPr>
      <w:keepNext/>
      <w:keepLines/>
      <w:spacing w:before="260" w:after="260" w:line="415" w:lineRule="auto"/>
      <w:outlineLvl w:val="1"/>
    </w:pPr>
    <w:rPr>
      <w:rFonts w:ascii="Cambria" w:hAnsi="Cambria"/>
      <w:b/>
      <w:bCs/>
      <w:sz w:val="32"/>
      <w:szCs w:val="32"/>
    </w:rPr>
  </w:style>
  <w:style w:type="paragraph" w:styleId="5">
    <w:name w:val="heading 3"/>
    <w:basedOn w:val="1"/>
    <w:next w:val="1"/>
    <w:link w:val="73"/>
    <w:unhideWhenUsed/>
    <w:qFormat/>
    <w:uiPriority w:val="0"/>
    <w:pPr>
      <w:keepNext/>
      <w:keepLines/>
      <w:spacing w:before="260" w:after="260" w:line="415" w:lineRule="auto"/>
      <w:outlineLvl w:val="2"/>
    </w:pPr>
    <w:rPr>
      <w:b/>
      <w:bCs/>
      <w:sz w:val="32"/>
      <w:szCs w:val="32"/>
    </w:rPr>
  </w:style>
  <w:style w:type="paragraph" w:styleId="6">
    <w:name w:val="heading 4"/>
    <w:basedOn w:val="1"/>
    <w:next w:val="1"/>
    <w:link w:val="75"/>
    <w:unhideWhenUsed/>
    <w:qFormat/>
    <w:uiPriority w:val="0"/>
    <w:pPr>
      <w:keepNext/>
      <w:keepLines/>
      <w:widowControl w:val="0"/>
      <w:spacing w:before="280" w:after="290" w:line="374" w:lineRule="auto"/>
      <w:jc w:val="both"/>
      <w:outlineLvl w:val="3"/>
    </w:pPr>
    <w:rPr>
      <w:rFonts w:ascii="Arial" w:hAnsi="Arial" w:eastAsia="黑体"/>
      <w:b/>
      <w:bCs/>
      <w:kern w:val="2"/>
      <w:sz w:val="28"/>
      <w:szCs w:val="28"/>
    </w:rPr>
  </w:style>
  <w:style w:type="paragraph" w:styleId="7">
    <w:name w:val="heading 5"/>
    <w:basedOn w:val="1"/>
    <w:next w:val="8"/>
    <w:link w:val="78"/>
    <w:unhideWhenUsed/>
    <w:qFormat/>
    <w:uiPriority w:val="0"/>
    <w:pPr>
      <w:widowControl w:val="0"/>
      <w:adjustRightInd w:val="0"/>
      <w:snapToGrid w:val="0"/>
      <w:spacing w:line="312" w:lineRule="auto"/>
      <w:jc w:val="both"/>
      <w:outlineLvl w:val="4"/>
    </w:pPr>
    <w:rPr>
      <w:rFonts w:eastAsia="楷体_GB2312"/>
      <w:kern w:val="2"/>
      <w:sz w:val="28"/>
    </w:rPr>
  </w:style>
  <w:style w:type="paragraph" w:styleId="9">
    <w:name w:val="heading 6"/>
    <w:basedOn w:val="1"/>
    <w:next w:val="8"/>
    <w:link w:val="80"/>
    <w:unhideWhenUsed/>
    <w:qFormat/>
    <w:uiPriority w:val="0"/>
    <w:pPr>
      <w:widowControl w:val="0"/>
      <w:adjustRightInd w:val="0"/>
      <w:snapToGrid w:val="0"/>
      <w:spacing w:line="360" w:lineRule="auto"/>
      <w:ind w:firstLine="567"/>
      <w:jc w:val="both"/>
      <w:outlineLvl w:val="5"/>
    </w:pPr>
    <w:rPr>
      <w:kern w:val="2"/>
      <w:sz w:val="28"/>
    </w:rPr>
  </w:style>
  <w:style w:type="paragraph" w:styleId="10">
    <w:name w:val="heading 7"/>
    <w:basedOn w:val="1"/>
    <w:next w:val="1"/>
    <w:link w:val="81"/>
    <w:unhideWhenUsed/>
    <w:qFormat/>
    <w:uiPriority w:val="0"/>
    <w:pPr>
      <w:keepNext/>
      <w:keepLines/>
      <w:tabs>
        <w:tab w:val="left" w:pos="1296"/>
      </w:tabs>
      <w:adjustRightInd w:val="0"/>
      <w:snapToGrid w:val="0"/>
      <w:spacing w:before="240" w:afterLines="50" w:line="319" w:lineRule="auto"/>
      <w:ind w:left="1296" w:hanging="1296"/>
      <w:outlineLvl w:val="6"/>
    </w:pPr>
    <w:rPr>
      <w:b/>
      <w:bCs/>
      <w:sz w:val="21"/>
      <w:szCs w:val="24"/>
    </w:rPr>
  </w:style>
  <w:style w:type="paragraph" w:styleId="11">
    <w:name w:val="heading 8"/>
    <w:basedOn w:val="1"/>
    <w:next w:val="1"/>
    <w:link w:val="82"/>
    <w:unhideWhenUsed/>
    <w:qFormat/>
    <w:uiPriority w:val="0"/>
    <w:pPr>
      <w:keepNext/>
      <w:keepLines/>
      <w:tabs>
        <w:tab w:val="left" w:pos="1440"/>
      </w:tabs>
      <w:adjustRightInd w:val="0"/>
      <w:snapToGrid w:val="0"/>
      <w:spacing w:before="240" w:afterLines="50" w:line="319" w:lineRule="auto"/>
      <w:ind w:left="1440" w:hanging="1440"/>
      <w:outlineLvl w:val="7"/>
    </w:pPr>
    <w:rPr>
      <w:rFonts w:ascii="Arial" w:hAnsi="Arial" w:eastAsia="黑体"/>
      <w:sz w:val="21"/>
      <w:szCs w:val="24"/>
    </w:rPr>
  </w:style>
  <w:style w:type="paragraph" w:styleId="12">
    <w:name w:val="heading 9"/>
    <w:basedOn w:val="1"/>
    <w:next w:val="1"/>
    <w:link w:val="83"/>
    <w:unhideWhenUsed/>
    <w:qFormat/>
    <w:uiPriority w:val="0"/>
    <w:pPr>
      <w:keepNext/>
      <w:keepLines/>
      <w:tabs>
        <w:tab w:val="left" w:pos="1584"/>
      </w:tabs>
      <w:adjustRightInd w:val="0"/>
      <w:snapToGrid w:val="0"/>
      <w:spacing w:before="240" w:afterLines="50" w:line="319" w:lineRule="auto"/>
      <w:ind w:left="1584" w:hanging="1584"/>
      <w:outlineLvl w:val="8"/>
    </w:pPr>
    <w:rPr>
      <w:rFonts w:ascii="Arial" w:hAnsi="Arial" w:eastAsia="黑体"/>
      <w:sz w:val="21"/>
      <w:szCs w:val="21"/>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Layout w:type="fixed"/>
      <w:tblCellMar>
        <w:top w:w="0" w:type="dxa"/>
        <w:left w:w="108" w:type="dxa"/>
        <w:bottom w:w="0" w:type="dxa"/>
        <w:right w:w="108" w:type="dxa"/>
      </w:tblCellMar>
    </w:tblPr>
  </w:style>
  <w:style w:type="paragraph" w:styleId="3">
    <w:name w:val="Note Heading"/>
    <w:basedOn w:val="1"/>
    <w:next w:val="1"/>
    <w:link w:val="385"/>
    <w:qFormat/>
    <w:uiPriority w:val="0"/>
    <w:pPr>
      <w:widowControl w:val="0"/>
      <w:jc w:val="center"/>
    </w:pPr>
    <w:rPr>
      <w:kern w:val="2"/>
      <w:sz w:val="21"/>
      <w:szCs w:val="24"/>
    </w:rPr>
  </w:style>
  <w:style w:type="paragraph" w:styleId="8">
    <w:name w:val="Normal Indent"/>
    <w:basedOn w:val="1"/>
    <w:link w:val="79"/>
    <w:unhideWhenUsed/>
    <w:qFormat/>
    <w:uiPriority w:val="0"/>
    <w:pPr>
      <w:widowControl w:val="0"/>
      <w:ind w:firstLine="420" w:firstLineChars="200"/>
      <w:jc w:val="both"/>
    </w:pPr>
    <w:rPr>
      <w:kern w:val="2"/>
      <w:sz w:val="21"/>
      <w:szCs w:val="24"/>
    </w:rPr>
  </w:style>
  <w:style w:type="paragraph" w:styleId="13">
    <w:name w:val="toc 7"/>
    <w:basedOn w:val="1"/>
    <w:next w:val="1"/>
    <w:qFormat/>
    <w:uiPriority w:val="0"/>
    <w:pPr>
      <w:widowControl w:val="0"/>
      <w:adjustRightInd w:val="0"/>
      <w:snapToGrid w:val="0"/>
      <w:ind w:left="1680" w:firstLine="200" w:firstLineChars="200"/>
    </w:pPr>
    <w:rPr>
      <w:rFonts w:ascii="Calibri" w:hAnsi="Calibri"/>
      <w:kern w:val="2"/>
    </w:rPr>
  </w:style>
  <w:style w:type="paragraph" w:styleId="14">
    <w:name w:val="E-mail Signature"/>
    <w:basedOn w:val="1"/>
    <w:link w:val="480"/>
    <w:qFormat/>
    <w:uiPriority w:val="0"/>
    <w:pPr>
      <w:widowControl w:val="0"/>
      <w:adjustRightInd w:val="0"/>
      <w:snapToGrid w:val="0"/>
      <w:jc w:val="both"/>
    </w:pPr>
    <w:rPr>
      <w:kern w:val="2"/>
      <w:sz w:val="21"/>
      <w:szCs w:val="24"/>
    </w:rPr>
  </w:style>
  <w:style w:type="paragraph" w:styleId="15">
    <w:name w:val="List Number"/>
    <w:basedOn w:val="1"/>
    <w:link w:val="86"/>
    <w:semiHidden/>
    <w:unhideWhenUsed/>
    <w:qFormat/>
    <w:uiPriority w:val="0"/>
    <w:pPr>
      <w:widowControl w:val="0"/>
      <w:spacing w:beforeLines="50" w:line="360" w:lineRule="auto"/>
      <w:jc w:val="center"/>
    </w:pPr>
    <w:rPr>
      <w:rFonts w:asciiTheme="minorHAnsi" w:hAnsiTheme="minorHAnsi" w:eastAsiaTheme="minorEastAsia" w:cstheme="minorBidi"/>
      <w:b/>
      <w:kern w:val="2"/>
      <w:sz w:val="21"/>
      <w:szCs w:val="24"/>
    </w:rPr>
  </w:style>
  <w:style w:type="paragraph" w:styleId="16">
    <w:name w:val="caption"/>
    <w:basedOn w:val="1"/>
    <w:next w:val="1"/>
    <w:link w:val="85"/>
    <w:unhideWhenUsed/>
    <w:qFormat/>
    <w:uiPriority w:val="0"/>
    <w:pPr>
      <w:widowControl w:val="0"/>
      <w:jc w:val="both"/>
    </w:pPr>
    <w:rPr>
      <w:rFonts w:ascii="Arial" w:hAnsi="Arial" w:eastAsia="黑体" w:cs="Arial"/>
      <w:kern w:val="2"/>
      <w:sz w:val="21"/>
      <w:szCs w:val="22"/>
    </w:rPr>
  </w:style>
  <w:style w:type="paragraph" w:styleId="17">
    <w:name w:val="Document Map"/>
    <w:basedOn w:val="1"/>
    <w:link w:val="95"/>
    <w:unhideWhenUsed/>
    <w:qFormat/>
    <w:uiPriority w:val="0"/>
    <w:rPr>
      <w:rFonts w:ascii="宋体"/>
      <w:sz w:val="18"/>
      <w:szCs w:val="18"/>
    </w:rPr>
  </w:style>
  <w:style w:type="paragraph" w:styleId="18">
    <w:name w:val="annotation text"/>
    <w:basedOn w:val="1"/>
    <w:link w:val="84"/>
    <w:unhideWhenUsed/>
    <w:qFormat/>
    <w:uiPriority w:val="0"/>
    <w:pPr>
      <w:widowControl w:val="0"/>
    </w:pPr>
    <w:rPr>
      <w:kern w:val="2"/>
      <w:sz w:val="21"/>
      <w:szCs w:val="21"/>
    </w:rPr>
  </w:style>
  <w:style w:type="paragraph" w:styleId="19">
    <w:name w:val="index 6"/>
    <w:basedOn w:val="1"/>
    <w:next w:val="1"/>
    <w:qFormat/>
    <w:uiPriority w:val="0"/>
    <w:pPr>
      <w:widowControl w:val="0"/>
      <w:spacing w:line="360" w:lineRule="auto"/>
      <w:ind w:left="1000" w:leftChars="1000" w:firstLine="200" w:firstLineChars="200"/>
      <w:jc w:val="both"/>
    </w:pPr>
    <w:rPr>
      <w:rFonts w:ascii="Calibri" w:hAnsi="Calibri"/>
      <w:kern w:val="2"/>
      <w:sz w:val="24"/>
      <w:szCs w:val="22"/>
    </w:rPr>
  </w:style>
  <w:style w:type="paragraph" w:styleId="20">
    <w:name w:val="Body Text 3"/>
    <w:basedOn w:val="1"/>
    <w:link w:val="92"/>
    <w:unhideWhenUsed/>
    <w:qFormat/>
    <w:uiPriority w:val="0"/>
    <w:pPr>
      <w:widowControl w:val="0"/>
      <w:spacing w:after="120" w:line="360" w:lineRule="auto"/>
      <w:ind w:firstLine="200" w:firstLineChars="200"/>
      <w:jc w:val="both"/>
    </w:pPr>
    <w:rPr>
      <w:kern w:val="2"/>
      <w:sz w:val="16"/>
      <w:szCs w:val="16"/>
    </w:rPr>
  </w:style>
  <w:style w:type="paragraph" w:styleId="21">
    <w:name w:val="Body Text"/>
    <w:basedOn w:val="1"/>
    <w:link w:val="88"/>
    <w:unhideWhenUsed/>
    <w:qFormat/>
    <w:uiPriority w:val="0"/>
    <w:pPr>
      <w:widowControl w:val="0"/>
      <w:spacing w:after="120" w:line="360" w:lineRule="auto"/>
      <w:ind w:firstLine="200" w:firstLineChars="200"/>
      <w:jc w:val="both"/>
    </w:pPr>
    <w:rPr>
      <w:kern w:val="2"/>
      <w:sz w:val="24"/>
      <w:szCs w:val="24"/>
    </w:rPr>
  </w:style>
  <w:style w:type="paragraph" w:styleId="22">
    <w:name w:val="Body Text Indent"/>
    <w:basedOn w:val="1"/>
    <w:link w:val="89"/>
    <w:unhideWhenUsed/>
    <w:qFormat/>
    <w:uiPriority w:val="0"/>
    <w:pPr>
      <w:widowControl w:val="0"/>
      <w:spacing w:after="120" w:line="360" w:lineRule="auto"/>
      <w:ind w:left="420" w:leftChars="200" w:firstLine="200" w:firstLineChars="200"/>
      <w:jc w:val="both"/>
    </w:pPr>
    <w:rPr>
      <w:kern w:val="2"/>
      <w:sz w:val="24"/>
      <w:szCs w:val="24"/>
    </w:rPr>
  </w:style>
  <w:style w:type="paragraph" w:styleId="23">
    <w:name w:val="HTML Address"/>
    <w:basedOn w:val="1"/>
    <w:link w:val="481"/>
    <w:qFormat/>
    <w:uiPriority w:val="0"/>
    <w:pPr>
      <w:widowControl w:val="0"/>
      <w:adjustRightInd w:val="0"/>
      <w:snapToGrid w:val="0"/>
      <w:jc w:val="both"/>
    </w:pPr>
    <w:rPr>
      <w:i/>
      <w:iCs/>
      <w:kern w:val="2"/>
      <w:sz w:val="21"/>
      <w:szCs w:val="24"/>
    </w:rPr>
  </w:style>
  <w:style w:type="paragraph" w:styleId="24">
    <w:name w:val="index 4"/>
    <w:basedOn w:val="1"/>
    <w:next w:val="1"/>
    <w:qFormat/>
    <w:uiPriority w:val="0"/>
    <w:pPr>
      <w:widowControl w:val="0"/>
      <w:adjustRightInd w:val="0"/>
      <w:snapToGrid w:val="0"/>
      <w:ind w:left="600" w:leftChars="600"/>
      <w:jc w:val="both"/>
    </w:pPr>
    <w:rPr>
      <w:kern w:val="2"/>
      <w:sz w:val="21"/>
      <w:szCs w:val="24"/>
    </w:rPr>
  </w:style>
  <w:style w:type="paragraph" w:styleId="25">
    <w:name w:val="toc 5"/>
    <w:basedOn w:val="1"/>
    <w:next w:val="1"/>
    <w:qFormat/>
    <w:uiPriority w:val="0"/>
    <w:pPr>
      <w:widowControl w:val="0"/>
      <w:adjustRightInd w:val="0"/>
      <w:snapToGrid w:val="0"/>
      <w:ind w:left="1120" w:firstLine="200" w:firstLineChars="200"/>
    </w:pPr>
    <w:rPr>
      <w:rFonts w:ascii="Calibri" w:hAnsi="Calibri"/>
      <w:kern w:val="2"/>
    </w:rPr>
  </w:style>
  <w:style w:type="paragraph" w:styleId="26">
    <w:name w:val="toc 3"/>
    <w:basedOn w:val="1"/>
    <w:next w:val="1"/>
    <w:qFormat/>
    <w:uiPriority w:val="0"/>
    <w:pPr>
      <w:widowControl w:val="0"/>
      <w:spacing w:line="360" w:lineRule="auto"/>
      <w:ind w:left="840" w:leftChars="400" w:firstLine="640" w:firstLineChars="200"/>
      <w:jc w:val="both"/>
    </w:pPr>
    <w:rPr>
      <w:rFonts w:ascii="Calibri" w:hAnsi="Calibri"/>
      <w:kern w:val="2"/>
      <w:sz w:val="24"/>
      <w:szCs w:val="22"/>
    </w:rPr>
  </w:style>
  <w:style w:type="paragraph" w:styleId="27">
    <w:name w:val="Plain Text"/>
    <w:basedOn w:val="1"/>
    <w:next w:val="28"/>
    <w:link w:val="96"/>
    <w:unhideWhenUsed/>
    <w:qFormat/>
    <w:uiPriority w:val="0"/>
    <w:pPr>
      <w:widowControl w:val="0"/>
      <w:spacing w:line="412" w:lineRule="auto"/>
      <w:ind w:left="900"/>
      <w:jc w:val="both"/>
    </w:pPr>
    <w:rPr>
      <w:rFonts w:ascii="宋体" w:hAnsi="Courier New" w:cs="Courier New"/>
      <w:kern w:val="2"/>
      <w:sz w:val="28"/>
      <w:szCs w:val="21"/>
    </w:rPr>
  </w:style>
  <w:style w:type="paragraph" w:styleId="28">
    <w:name w:val="List Number 5"/>
    <w:basedOn w:val="1"/>
    <w:unhideWhenUsed/>
    <w:qFormat/>
    <w:uiPriority w:val="0"/>
    <w:pPr>
      <w:numPr>
        <w:ilvl w:val="0"/>
        <w:numId w:val="1"/>
      </w:numPr>
    </w:pPr>
  </w:style>
  <w:style w:type="paragraph" w:styleId="29">
    <w:name w:val="toc 8"/>
    <w:basedOn w:val="1"/>
    <w:next w:val="1"/>
    <w:unhideWhenUsed/>
    <w:qFormat/>
    <w:uiPriority w:val="0"/>
    <w:pPr>
      <w:ind w:left="2940" w:leftChars="1400"/>
    </w:pPr>
  </w:style>
  <w:style w:type="paragraph" w:styleId="30">
    <w:name w:val="Date"/>
    <w:basedOn w:val="1"/>
    <w:next w:val="1"/>
    <w:link w:val="90"/>
    <w:unhideWhenUsed/>
    <w:qFormat/>
    <w:uiPriority w:val="0"/>
    <w:pPr>
      <w:widowControl w:val="0"/>
      <w:ind w:left="100" w:leftChars="2500"/>
      <w:jc w:val="both"/>
    </w:pPr>
    <w:rPr>
      <w:kern w:val="2"/>
      <w:sz w:val="21"/>
      <w:szCs w:val="24"/>
    </w:rPr>
  </w:style>
  <w:style w:type="paragraph" w:styleId="31">
    <w:name w:val="Body Text Indent 2"/>
    <w:basedOn w:val="1"/>
    <w:link w:val="93"/>
    <w:unhideWhenUsed/>
    <w:qFormat/>
    <w:uiPriority w:val="0"/>
    <w:pPr>
      <w:spacing w:after="120" w:line="480" w:lineRule="auto"/>
      <w:ind w:left="420" w:leftChars="200"/>
    </w:pPr>
  </w:style>
  <w:style w:type="paragraph" w:styleId="32">
    <w:name w:val="Balloon Text"/>
    <w:basedOn w:val="1"/>
    <w:link w:val="98"/>
    <w:unhideWhenUsed/>
    <w:qFormat/>
    <w:uiPriority w:val="0"/>
    <w:pPr>
      <w:widowControl w:val="0"/>
      <w:jc w:val="both"/>
    </w:pPr>
    <w:rPr>
      <w:kern w:val="2"/>
      <w:sz w:val="18"/>
      <w:szCs w:val="18"/>
    </w:rPr>
  </w:style>
  <w:style w:type="paragraph" w:styleId="33">
    <w:name w:val="footer"/>
    <w:basedOn w:val="1"/>
    <w:link w:val="77"/>
    <w:unhideWhenUsed/>
    <w:qFormat/>
    <w:uiPriority w:val="0"/>
    <w:pPr>
      <w:tabs>
        <w:tab w:val="center" w:pos="4153"/>
        <w:tab w:val="right" w:pos="8306"/>
      </w:tabs>
      <w:snapToGrid w:val="0"/>
    </w:pPr>
    <w:rPr>
      <w:sz w:val="18"/>
      <w:szCs w:val="18"/>
    </w:rPr>
  </w:style>
  <w:style w:type="paragraph" w:styleId="34">
    <w:name w:val="header"/>
    <w:basedOn w:val="1"/>
    <w:link w:val="76"/>
    <w:unhideWhenUsed/>
    <w:qFormat/>
    <w:uiPriority w:val="0"/>
    <w:pPr>
      <w:pBdr>
        <w:bottom w:val="single" w:color="auto" w:sz="6" w:space="1"/>
      </w:pBdr>
      <w:tabs>
        <w:tab w:val="center" w:pos="4153"/>
        <w:tab w:val="right" w:pos="8306"/>
      </w:tabs>
      <w:snapToGrid w:val="0"/>
      <w:jc w:val="center"/>
    </w:pPr>
    <w:rPr>
      <w:sz w:val="18"/>
      <w:szCs w:val="18"/>
    </w:rPr>
  </w:style>
  <w:style w:type="paragraph" w:styleId="35">
    <w:name w:val="toc 1"/>
    <w:basedOn w:val="1"/>
    <w:next w:val="1"/>
    <w:unhideWhenUsed/>
    <w:qFormat/>
    <w:uiPriority w:val="39"/>
    <w:pPr>
      <w:spacing w:before="120" w:after="120"/>
    </w:pPr>
    <w:rPr>
      <w:rFonts w:ascii="Calibri" w:hAnsi="Calibri" w:cs="Calibri"/>
      <w:b/>
      <w:bCs/>
      <w:caps/>
    </w:rPr>
  </w:style>
  <w:style w:type="paragraph" w:styleId="36">
    <w:name w:val="List Continue 4"/>
    <w:basedOn w:val="1"/>
    <w:next w:val="1"/>
    <w:unhideWhenUsed/>
    <w:qFormat/>
    <w:uiPriority w:val="0"/>
    <w:pPr>
      <w:spacing w:after="120"/>
      <w:ind w:left="1680" w:leftChars="800"/>
      <w:contextualSpacing/>
    </w:pPr>
  </w:style>
  <w:style w:type="paragraph" w:styleId="37">
    <w:name w:val="toc 4"/>
    <w:basedOn w:val="1"/>
    <w:next w:val="1"/>
    <w:qFormat/>
    <w:uiPriority w:val="0"/>
    <w:pPr>
      <w:widowControl w:val="0"/>
      <w:adjustRightInd w:val="0"/>
      <w:snapToGrid w:val="0"/>
      <w:ind w:left="840" w:firstLine="200" w:firstLineChars="200"/>
    </w:pPr>
    <w:rPr>
      <w:rFonts w:ascii="Calibri" w:hAnsi="Calibri"/>
      <w:kern w:val="2"/>
    </w:rPr>
  </w:style>
  <w:style w:type="paragraph" w:styleId="38">
    <w:name w:val="Subtitle"/>
    <w:basedOn w:val="1"/>
    <w:next w:val="1"/>
    <w:link w:val="388"/>
    <w:qFormat/>
    <w:uiPriority w:val="0"/>
    <w:pPr>
      <w:widowControl w:val="0"/>
      <w:spacing w:before="240" w:after="60" w:line="312" w:lineRule="auto"/>
      <w:jc w:val="center"/>
      <w:outlineLvl w:val="1"/>
    </w:pPr>
    <w:rPr>
      <w:rFonts w:ascii="Cambria" w:hAnsi="Cambria"/>
      <w:b/>
      <w:bCs/>
      <w:kern w:val="28"/>
      <w:sz w:val="32"/>
      <w:szCs w:val="32"/>
      <w:lang w:val="zh-CN"/>
    </w:rPr>
  </w:style>
  <w:style w:type="paragraph" w:styleId="39">
    <w:name w:val="List"/>
    <w:basedOn w:val="1"/>
    <w:link w:val="397"/>
    <w:qFormat/>
    <w:uiPriority w:val="0"/>
    <w:pPr>
      <w:widowControl w:val="0"/>
      <w:jc w:val="center"/>
    </w:pPr>
    <w:rPr>
      <w:kern w:val="2"/>
      <w:sz w:val="21"/>
      <w:szCs w:val="24"/>
      <w:lang w:val="zh-CN"/>
    </w:rPr>
  </w:style>
  <w:style w:type="paragraph" w:styleId="40">
    <w:name w:val="toc 6"/>
    <w:basedOn w:val="1"/>
    <w:next w:val="1"/>
    <w:qFormat/>
    <w:uiPriority w:val="0"/>
    <w:pPr>
      <w:widowControl w:val="0"/>
      <w:adjustRightInd w:val="0"/>
      <w:snapToGrid w:val="0"/>
      <w:ind w:left="1400" w:firstLine="200" w:firstLineChars="200"/>
    </w:pPr>
    <w:rPr>
      <w:rFonts w:ascii="Calibri" w:hAnsi="Calibri"/>
      <w:kern w:val="2"/>
    </w:rPr>
  </w:style>
  <w:style w:type="paragraph" w:styleId="41">
    <w:name w:val="Body Text Indent 3"/>
    <w:basedOn w:val="1"/>
    <w:link w:val="94"/>
    <w:unhideWhenUsed/>
    <w:qFormat/>
    <w:uiPriority w:val="0"/>
    <w:pPr>
      <w:widowControl w:val="0"/>
      <w:autoSpaceDE w:val="0"/>
      <w:autoSpaceDN w:val="0"/>
      <w:adjustRightInd w:val="0"/>
      <w:spacing w:line="500" w:lineRule="exact"/>
      <w:ind w:right="6" w:firstLine="480" w:firstLineChars="200"/>
      <w:jc w:val="both"/>
    </w:pPr>
    <w:rPr>
      <w:sz w:val="24"/>
      <w:szCs w:val="18"/>
    </w:rPr>
  </w:style>
  <w:style w:type="paragraph" w:styleId="42">
    <w:name w:val="toc 2"/>
    <w:basedOn w:val="1"/>
    <w:next w:val="1"/>
    <w:unhideWhenUsed/>
    <w:qFormat/>
    <w:uiPriority w:val="39"/>
    <w:pPr>
      <w:ind w:left="200"/>
    </w:pPr>
    <w:rPr>
      <w:rFonts w:ascii="Calibri" w:hAnsi="Calibri" w:cs="Calibri"/>
      <w:smallCaps/>
    </w:rPr>
  </w:style>
  <w:style w:type="paragraph" w:styleId="43">
    <w:name w:val="toc 9"/>
    <w:basedOn w:val="1"/>
    <w:next w:val="1"/>
    <w:qFormat/>
    <w:uiPriority w:val="0"/>
    <w:pPr>
      <w:widowControl w:val="0"/>
      <w:adjustRightInd w:val="0"/>
      <w:snapToGrid w:val="0"/>
      <w:ind w:left="2240" w:firstLine="200" w:firstLineChars="200"/>
    </w:pPr>
    <w:rPr>
      <w:rFonts w:ascii="Calibri" w:hAnsi="Calibri"/>
      <w:kern w:val="2"/>
    </w:rPr>
  </w:style>
  <w:style w:type="paragraph" w:styleId="44">
    <w:name w:val="Body Text 2"/>
    <w:basedOn w:val="1"/>
    <w:link w:val="74"/>
    <w:unhideWhenUsed/>
    <w:qFormat/>
    <w:uiPriority w:val="0"/>
    <w:pPr>
      <w:widowControl w:val="0"/>
      <w:spacing w:after="120" w:line="480" w:lineRule="auto"/>
      <w:jc w:val="both"/>
    </w:pPr>
    <w:rPr>
      <w:kern w:val="2"/>
      <w:sz w:val="21"/>
      <w:szCs w:val="24"/>
    </w:rPr>
  </w:style>
  <w:style w:type="paragraph" w:styleId="45">
    <w:name w:val="HTML Preformatted"/>
    <w:basedOn w:val="1"/>
    <w:link w:val="389"/>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黑体" w:hAnsi="Courier New" w:eastAsia="黑体" w:cs="Courier New"/>
    </w:rPr>
  </w:style>
  <w:style w:type="paragraph" w:styleId="46">
    <w:name w:val="Normal (Web)"/>
    <w:basedOn w:val="1"/>
    <w:qFormat/>
    <w:uiPriority w:val="0"/>
    <w:pPr>
      <w:adjustRightInd w:val="0"/>
      <w:snapToGrid w:val="0"/>
      <w:spacing w:before="100" w:beforeAutospacing="1" w:after="100" w:afterAutospacing="1"/>
    </w:pPr>
    <w:rPr>
      <w:rFonts w:ascii="宋体" w:hAnsi="宋体" w:cs="宋体"/>
      <w:sz w:val="24"/>
      <w:szCs w:val="24"/>
    </w:rPr>
  </w:style>
  <w:style w:type="paragraph" w:styleId="47">
    <w:name w:val="List Continue 3"/>
    <w:basedOn w:val="1"/>
    <w:semiHidden/>
    <w:unhideWhenUsed/>
    <w:qFormat/>
    <w:uiPriority w:val="99"/>
    <w:pPr>
      <w:spacing w:after="120"/>
      <w:ind w:left="1260" w:leftChars="600"/>
      <w:contextualSpacing/>
    </w:pPr>
  </w:style>
  <w:style w:type="paragraph" w:styleId="48">
    <w:name w:val="index 1"/>
    <w:basedOn w:val="1"/>
    <w:next w:val="1"/>
    <w:qFormat/>
    <w:uiPriority w:val="0"/>
    <w:pPr>
      <w:widowControl w:val="0"/>
      <w:spacing w:line="360" w:lineRule="auto"/>
      <w:ind w:firstLine="200" w:firstLineChars="200"/>
      <w:jc w:val="both"/>
    </w:pPr>
    <w:rPr>
      <w:rFonts w:ascii="Calibri" w:hAnsi="Calibri"/>
      <w:kern w:val="2"/>
      <w:sz w:val="24"/>
      <w:szCs w:val="22"/>
    </w:rPr>
  </w:style>
  <w:style w:type="paragraph" w:styleId="49">
    <w:name w:val="Title"/>
    <w:basedOn w:val="2"/>
    <w:link w:val="87"/>
    <w:qFormat/>
    <w:uiPriority w:val="0"/>
    <w:pPr>
      <w:spacing w:line="540" w:lineRule="auto"/>
      <w:jc w:val="left"/>
    </w:pPr>
    <w:rPr>
      <w:rFonts w:ascii="Arial" w:hAnsi="Arial"/>
      <w:b/>
      <w:bCs w:val="0"/>
      <w:szCs w:val="32"/>
    </w:rPr>
  </w:style>
  <w:style w:type="paragraph" w:styleId="50">
    <w:name w:val="annotation subject"/>
    <w:basedOn w:val="18"/>
    <w:next w:val="18"/>
    <w:link w:val="390"/>
    <w:qFormat/>
    <w:uiPriority w:val="0"/>
    <w:rPr>
      <w:rFonts w:ascii="Calibri" w:hAnsi="Calibri"/>
      <w:b/>
      <w:bCs/>
      <w:szCs w:val="22"/>
    </w:rPr>
  </w:style>
  <w:style w:type="paragraph" w:styleId="51">
    <w:name w:val="Body Text First Indent"/>
    <w:basedOn w:val="21"/>
    <w:link w:val="91"/>
    <w:unhideWhenUsed/>
    <w:qFormat/>
    <w:uiPriority w:val="0"/>
    <w:pPr>
      <w:spacing w:line="240" w:lineRule="auto"/>
      <w:ind w:firstLine="420" w:firstLineChars="100"/>
    </w:pPr>
    <w:rPr>
      <w:sz w:val="21"/>
    </w:rPr>
  </w:style>
  <w:style w:type="paragraph" w:styleId="52">
    <w:name w:val="Body Text First Indent 2"/>
    <w:basedOn w:val="1"/>
    <w:next w:val="36"/>
    <w:link w:val="398"/>
    <w:qFormat/>
    <w:uiPriority w:val="0"/>
    <w:pPr>
      <w:ind w:firstLine="420"/>
    </w:pPr>
  </w:style>
  <w:style w:type="table" w:styleId="54">
    <w:name w:val="Table Grid"/>
    <w:basedOn w:val="5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basedOn w:val="55"/>
    <w:qFormat/>
    <w:uiPriority w:val="0"/>
    <w:rPr>
      <w:color w:val="800080"/>
      <w:u w:val="single"/>
    </w:rPr>
  </w:style>
  <w:style w:type="character" w:styleId="59">
    <w:name w:val="Emphasis"/>
    <w:basedOn w:val="55"/>
    <w:qFormat/>
    <w:uiPriority w:val="0"/>
    <w:rPr>
      <w:i/>
    </w:rPr>
  </w:style>
  <w:style w:type="character" w:styleId="60">
    <w:name w:val="Hyperlink"/>
    <w:unhideWhenUsed/>
    <w:qFormat/>
    <w:uiPriority w:val="99"/>
    <w:rPr>
      <w:rFonts w:hint="eastAsia" w:ascii="宋体" w:hAnsi="宋体" w:eastAsia="黑体" w:cs="宋体"/>
      <w:bCs/>
      <w:color w:val="0000FF"/>
      <w:kern w:val="44"/>
      <w:sz w:val="32"/>
      <w:szCs w:val="26"/>
      <w:u w:val="single"/>
      <w:lang w:val="en-US" w:eastAsia="zh-CN" w:bidi="ar-SA"/>
    </w:rPr>
  </w:style>
  <w:style w:type="character" w:styleId="61">
    <w:name w:val="annotation reference"/>
    <w:basedOn w:val="55"/>
    <w:qFormat/>
    <w:uiPriority w:val="0"/>
    <w:rPr>
      <w:sz w:val="21"/>
      <w:szCs w:val="21"/>
    </w:rPr>
  </w:style>
  <w:style w:type="character" w:styleId="62">
    <w:name w:val="HTML Sample"/>
    <w:qFormat/>
    <w:uiPriority w:val="0"/>
    <w:rPr>
      <w:rFonts w:ascii="Courier New" w:hAnsi="Courier New" w:cs="Courier New"/>
    </w:rPr>
  </w:style>
  <w:style w:type="paragraph" w:customStyle="1" w:styleId="63">
    <w:name w:val="样式1-正文"/>
    <w:basedOn w:val="1"/>
    <w:link w:val="161"/>
    <w:qFormat/>
    <w:uiPriority w:val="0"/>
    <w:pPr>
      <w:widowControl w:val="0"/>
      <w:topLinePunct/>
      <w:spacing w:line="360" w:lineRule="auto"/>
      <w:ind w:firstLine="480" w:firstLineChars="200"/>
      <w:jc w:val="both"/>
    </w:pPr>
    <w:rPr>
      <w:rFonts w:ascii="宋体" w:hAnsi="宋体" w:cstheme="minorBidi"/>
      <w:kern w:val="2"/>
      <w:sz w:val="24"/>
      <w:szCs w:val="24"/>
    </w:rPr>
  </w:style>
  <w:style w:type="paragraph" w:customStyle="1" w:styleId="64">
    <w:name w:val="样式3"/>
    <w:basedOn w:val="65"/>
    <w:qFormat/>
    <w:uiPriority w:val="0"/>
    <w:rPr>
      <w:b/>
    </w:rPr>
  </w:style>
  <w:style w:type="paragraph" w:customStyle="1" w:styleId="65">
    <w:name w:val="样式 标题 3 + 非加粗"/>
    <w:basedOn w:val="5"/>
    <w:qFormat/>
    <w:uiPriority w:val="0"/>
    <w:pPr>
      <w:keepNext w:val="0"/>
      <w:keepLines w:val="0"/>
      <w:widowControl w:val="0"/>
      <w:spacing w:before="0" w:after="0" w:line="360" w:lineRule="auto"/>
    </w:pPr>
    <w:rPr>
      <w:rFonts w:hAnsi="黑体" w:eastAsia="黑体"/>
      <w:b w:val="0"/>
      <w:color w:val="000000"/>
      <w:kern w:val="2"/>
      <w:sz w:val="28"/>
      <w:szCs w:val="28"/>
    </w:rPr>
  </w:style>
  <w:style w:type="paragraph" w:customStyle="1" w:styleId="66">
    <w:name w:val="样式4"/>
    <w:basedOn w:val="2"/>
    <w:next w:val="1"/>
    <w:qFormat/>
    <w:uiPriority w:val="0"/>
    <w:rPr>
      <w:rFonts w:ascii="黑体" w:hAnsi="宋体"/>
      <w:szCs w:val="32"/>
    </w:rPr>
  </w:style>
  <w:style w:type="paragraph" w:customStyle="1" w:styleId="67">
    <w:name w:val="样式5"/>
    <w:basedOn w:val="2"/>
    <w:next w:val="68"/>
    <w:qFormat/>
    <w:uiPriority w:val="0"/>
    <w:rPr>
      <w:rFonts w:ascii="黑体" w:hAnsi="宋体"/>
      <w:szCs w:val="32"/>
    </w:rPr>
  </w:style>
  <w:style w:type="paragraph" w:customStyle="1" w:styleId="68">
    <w:name w:val="样式 标题 1 + 黑体 加粗"/>
    <w:basedOn w:val="2"/>
    <w:link w:val="146"/>
    <w:qFormat/>
    <w:uiPriority w:val="0"/>
    <w:pPr>
      <w:jc w:val="left"/>
    </w:pPr>
    <w:rPr>
      <w:rFonts w:ascii="黑体" w:hAnsi="黑体" w:cstheme="minorBidi"/>
      <w:szCs w:val="32"/>
    </w:rPr>
  </w:style>
  <w:style w:type="paragraph" w:customStyle="1" w:styleId="69">
    <w:name w:val="样式6"/>
    <w:basedOn w:val="5"/>
    <w:next w:val="1"/>
    <w:qFormat/>
    <w:uiPriority w:val="0"/>
    <w:pPr>
      <w:widowControl w:val="0"/>
    </w:pPr>
    <w:rPr>
      <w:rFonts w:eastAsia="黑体"/>
      <w:b w:val="0"/>
      <w:color w:val="000000"/>
      <w:kern w:val="2"/>
      <w:sz w:val="28"/>
      <w:szCs w:val="28"/>
    </w:rPr>
  </w:style>
  <w:style w:type="paragraph" w:customStyle="1" w:styleId="70">
    <w:name w:val="样式7"/>
    <w:next w:val="1"/>
    <w:qFormat/>
    <w:uiPriority w:val="0"/>
    <w:pPr>
      <w:ind w:firstLine="360"/>
    </w:pPr>
    <w:rPr>
      <w:rFonts w:ascii="Times New Roman" w:hAnsi="Times New Roman" w:eastAsia="宋体" w:cs="Times New Roman"/>
      <w:kern w:val="2"/>
      <w:sz w:val="18"/>
      <w:szCs w:val="18"/>
      <w:lang w:val="en-US" w:eastAsia="zh-CN" w:bidi="ar-SA"/>
    </w:rPr>
  </w:style>
  <w:style w:type="character" w:customStyle="1" w:styleId="71">
    <w:name w:val="标题 1 字符"/>
    <w:basedOn w:val="55"/>
    <w:link w:val="2"/>
    <w:qFormat/>
    <w:uiPriority w:val="0"/>
    <w:rPr>
      <w:rFonts w:ascii="Times New Roman" w:hAnsi="Times New Roman" w:eastAsia="黑体" w:cs="Times New Roman"/>
      <w:bCs/>
      <w:kern w:val="44"/>
      <w:sz w:val="32"/>
      <w:szCs w:val="28"/>
    </w:rPr>
  </w:style>
  <w:style w:type="character" w:customStyle="1" w:styleId="72">
    <w:name w:val="标题 2 字符"/>
    <w:basedOn w:val="55"/>
    <w:link w:val="4"/>
    <w:qFormat/>
    <w:uiPriority w:val="0"/>
    <w:rPr>
      <w:rFonts w:ascii="Cambria" w:hAnsi="Cambria" w:eastAsia="宋体" w:cs="Times New Roman"/>
      <w:b/>
      <w:bCs/>
      <w:kern w:val="0"/>
      <w:sz w:val="32"/>
      <w:szCs w:val="32"/>
    </w:rPr>
  </w:style>
  <w:style w:type="character" w:customStyle="1" w:styleId="73">
    <w:name w:val="标题 3 字符"/>
    <w:basedOn w:val="55"/>
    <w:link w:val="5"/>
    <w:qFormat/>
    <w:uiPriority w:val="0"/>
    <w:rPr>
      <w:rFonts w:ascii="Times New Roman" w:hAnsi="Times New Roman" w:eastAsia="宋体" w:cs="Times New Roman"/>
      <w:b/>
      <w:bCs/>
      <w:kern w:val="0"/>
      <w:sz w:val="32"/>
      <w:szCs w:val="32"/>
    </w:rPr>
  </w:style>
  <w:style w:type="character" w:customStyle="1" w:styleId="74">
    <w:name w:val="正文文本 2 字符"/>
    <w:basedOn w:val="55"/>
    <w:link w:val="44"/>
    <w:qFormat/>
    <w:uiPriority w:val="0"/>
    <w:rPr>
      <w:rFonts w:ascii="Times New Roman" w:hAnsi="Times New Roman" w:eastAsia="宋体" w:cs="Times New Roman"/>
      <w:szCs w:val="24"/>
    </w:rPr>
  </w:style>
  <w:style w:type="character" w:customStyle="1" w:styleId="75">
    <w:name w:val="标题 4 字符"/>
    <w:basedOn w:val="55"/>
    <w:link w:val="6"/>
    <w:qFormat/>
    <w:uiPriority w:val="0"/>
    <w:rPr>
      <w:rFonts w:ascii="Arial" w:hAnsi="Arial" w:eastAsia="黑体" w:cs="Times New Roman"/>
      <w:b/>
      <w:bCs/>
      <w:sz w:val="28"/>
      <w:szCs w:val="28"/>
    </w:rPr>
  </w:style>
  <w:style w:type="character" w:customStyle="1" w:styleId="76">
    <w:name w:val="页眉 字符"/>
    <w:basedOn w:val="55"/>
    <w:link w:val="34"/>
    <w:qFormat/>
    <w:uiPriority w:val="0"/>
    <w:rPr>
      <w:sz w:val="18"/>
      <w:szCs w:val="18"/>
    </w:rPr>
  </w:style>
  <w:style w:type="character" w:customStyle="1" w:styleId="77">
    <w:name w:val="页脚 字符"/>
    <w:basedOn w:val="55"/>
    <w:link w:val="33"/>
    <w:qFormat/>
    <w:uiPriority w:val="0"/>
    <w:rPr>
      <w:sz w:val="18"/>
      <w:szCs w:val="18"/>
    </w:rPr>
  </w:style>
  <w:style w:type="character" w:customStyle="1" w:styleId="78">
    <w:name w:val="标题 5 字符"/>
    <w:basedOn w:val="55"/>
    <w:link w:val="7"/>
    <w:qFormat/>
    <w:uiPriority w:val="0"/>
    <w:rPr>
      <w:rFonts w:ascii="Times New Roman" w:hAnsi="Times New Roman" w:eastAsia="楷体_GB2312" w:cs="Times New Roman"/>
      <w:sz w:val="28"/>
      <w:szCs w:val="20"/>
    </w:rPr>
  </w:style>
  <w:style w:type="character" w:customStyle="1" w:styleId="79">
    <w:name w:val="正文缩进 字符"/>
    <w:link w:val="8"/>
    <w:qFormat/>
    <w:locked/>
    <w:uiPriority w:val="0"/>
    <w:rPr>
      <w:rFonts w:ascii="Times New Roman" w:hAnsi="Times New Roman" w:eastAsia="宋体" w:cs="Times New Roman"/>
      <w:szCs w:val="24"/>
    </w:rPr>
  </w:style>
  <w:style w:type="character" w:customStyle="1" w:styleId="80">
    <w:name w:val="标题 6 字符"/>
    <w:basedOn w:val="55"/>
    <w:link w:val="9"/>
    <w:qFormat/>
    <w:uiPriority w:val="0"/>
    <w:rPr>
      <w:rFonts w:ascii="Times New Roman" w:hAnsi="Times New Roman" w:eastAsia="宋体" w:cs="Times New Roman"/>
      <w:sz w:val="28"/>
      <w:szCs w:val="20"/>
    </w:rPr>
  </w:style>
  <w:style w:type="character" w:customStyle="1" w:styleId="81">
    <w:name w:val="标题 7 字符"/>
    <w:basedOn w:val="55"/>
    <w:link w:val="10"/>
    <w:qFormat/>
    <w:uiPriority w:val="0"/>
    <w:rPr>
      <w:rFonts w:ascii="Times New Roman" w:hAnsi="Times New Roman" w:eastAsia="宋体" w:cs="Times New Roman"/>
      <w:b/>
      <w:bCs/>
      <w:kern w:val="0"/>
      <w:szCs w:val="24"/>
    </w:rPr>
  </w:style>
  <w:style w:type="character" w:customStyle="1" w:styleId="82">
    <w:name w:val="标题 8 字符"/>
    <w:basedOn w:val="55"/>
    <w:link w:val="11"/>
    <w:qFormat/>
    <w:uiPriority w:val="0"/>
    <w:rPr>
      <w:rFonts w:ascii="Arial" w:hAnsi="Arial" w:eastAsia="黑体" w:cs="Times New Roman"/>
      <w:kern w:val="0"/>
      <w:szCs w:val="24"/>
    </w:rPr>
  </w:style>
  <w:style w:type="character" w:customStyle="1" w:styleId="83">
    <w:name w:val="标题 9 字符"/>
    <w:basedOn w:val="55"/>
    <w:link w:val="12"/>
    <w:qFormat/>
    <w:uiPriority w:val="0"/>
    <w:rPr>
      <w:rFonts w:ascii="Arial" w:hAnsi="Arial" w:eastAsia="黑体" w:cs="Times New Roman"/>
      <w:kern w:val="0"/>
      <w:szCs w:val="21"/>
    </w:rPr>
  </w:style>
  <w:style w:type="character" w:customStyle="1" w:styleId="84">
    <w:name w:val="批注文字 字符"/>
    <w:basedOn w:val="55"/>
    <w:link w:val="18"/>
    <w:qFormat/>
    <w:uiPriority w:val="0"/>
    <w:rPr>
      <w:rFonts w:ascii="Times New Roman" w:hAnsi="Times New Roman" w:eastAsia="宋体" w:cs="Times New Roman"/>
      <w:szCs w:val="21"/>
    </w:rPr>
  </w:style>
  <w:style w:type="character" w:customStyle="1" w:styleId="85">
    <w:name w:val="题注 字符"/>
    <w:link w:val="16"/>
    <w:semiHidden/>
    <w:qFormat/>
    <w:locked/>
    <w:uiPriority w:val="0"/>
    <w:rPr>
      <w:rFonts w:ascii="Arial" w:hAnsi="Arial" w:eastAsia="黑体" w:cs="Arial"/>
    </w:rPr>
  </w:style>
  <w:style w:type="character" w:customStyle="1" w:styleId="86">
    <w:name w:val="列表编号 字符"/>
    <w:link w:val="15"/>
    <w:semiHidden/>
    <w:qFormat/>
    <w:locked/>
    <w:uiPriority w:val="0"/>
    <w:rPr>
      <w:b/>
      <w:szCs w:val="24"/>
    </w:rPr>
  </w:style>
  <w:style w:type="character" w:customStyle="1" w:styleId="87">
    <w:name w:val="标题 字符"/>
    <w:basedOn w:val="55"/>
    <w:link w:val="49"/>
    <w:qFormat/>
    <w:uiPriority w:val="0"/>
    <w:rPr>
      <w:rFonts w:ascii="Arial" w:hAnsi="Arial" w:eastAsia="黑体" w:cs="Times New Roman"/>
      <w:b/>
      <w:kern w:val="44"/>
      <w:sz w:val="32"/>
      <w:szCs w:val="32"/>
    </w:rPr>
  </w:style>
  <w:style w:type="character" w:customStyle="1" w:styleId="88">
    <w:name w:val="正文文本 字符"/>
    <w:basedOn w:val="55"/>
    <w:link w:val="21"/>
    <w:qFormat/>
    <w:uiPriority w:val="0"/>
    <w:rPr>
      <w:rFonts w:ascii="Times New Roman" w:hAnsi="Times New Roman" w:eastAsia="宋体" w:cs="Times New Roman"/>
      <w:sz w:val="24"/>
      <w:szCs w:val="24"/>
    </w:rPr>
  </w:style>
  <w:style w:type="character" w:customStyle="1" w:styleId="89">
    <w:name w:val="正文文本缩进 字符"/>
    <w:basedOn w:val="55"/>
    <w:link w:val="22"/>
    <w:qFormat/>
    <w:uiPriority w:val="0"/>
    <w:rPr>
      <w:rFonts w:ascii="Times New Roman" w:hAnsi="Times New Roman" w:eastAsia="宋体" w:cs="Times New Roman"/>
      <w:sz w:val="24"/>
      <w:szCs w:val="24"/>
    </w:rPr>
  </w:style>
  <w:style w:type="character" w:customStyle="1" w:styleId="90">
    <w:name w:val="日期 字符"/>
    <w:basedOn w:val="55"/>
    <w:link w:val="30"/>
    <w:qFormat/>
    <w:uiPriority w:val="0"/>
    <w:rPr>
      <w:rFonts w:ascii="Times New Roman" w:hAnsi="Times New Roman" w:eastAsia="宋体" w:cs="Times New Roman"/>
      <w:szCs w:val="24"/>
    </w:rPr>
  </w:style>
  <w:style w:type="character" w:customStyle="1" w:styleId="91">
    <w:name w:val="正文文本首行缩进 字符"/>
    <w:basedOn w:val="88"/>
    <w:link w:val="51"/>
    <w:qFormat/>
    <w:uiPriority w:val="0"/>
    <w:rPr>
      <w:rFonts w:ascii="Times New Roman" w:hAnsi="Times New Roman" w:eastAsia="宋体" w:cs="Times New Roman"/>
      <w:sz w:val="24"/>
      <w:szCs w:val="24"/>
    </w:rPr>
  </w:style>
  <w:style w:type="character" w:customStyle="1" w:styleId="92">
    <w:name w:val="正文文本 3 字符"/>
    <w:basedOn w:val="55"/>
    <w:link w:val="20"/>
    <w:qFormat/>
    <w:uiPriority w:val="0"/>
    <w:rPr>
      <w:rFonts w:ascii="Times New Roman" w:hAnsi="Times New Roman" w:eastAsia="宋体" w:cs="Times New Roman"/>
      <w:sz w:val="16"/>
      <w:szCs w:val="16"/>
    </w:rPr>
  </w:style>
  <w:style w:type="character" w:customStyle="1" w:styleId="93">
    <w:name w:val="正文文本缩进 2 字符"/>
    <w:basedOn w:val="55"/>
    <w:link w:val="31"/>
    <w:qFormat/>
    <w:uiPriority w:val="0"/>
    <w:rPr>
      <w:rFonts w:ascii="Times New Roman" w:hAnsi="Times New Roman" w:eastAsia="宋体" w:cs="Times New Roman"/>
      <w:kern w:val="0"/>
      <w:sz w:val="20"/>
      <w:szCs w:val="20"/>
    </w:rPr>
  </w:style>
  <w:style w:type="character" w:customStyle="1" w:styleId="94">
    <w:name w:val="正文文本缩进 3 字符"/>
    <w:basedOn w:val="55"/>
    <w:link w:val="41"/>
    <w:qFormat/>
    <w:uiPriority w:val="0"/>
    <w:rPr>
      <w:rFonts w:ascii="Times New Roman" w:hAnsi="Times New Roman" w:eastAsia="宋体" w:cs="Times New Roman"/>
      <w:kern w:val="0"/>
      <w:sz w:val="24"/>
      <w:szCs w:val="18"/>
    </w:rPr>
  </w:style>
  <w:style w:type="character" w:customStyle="1" w:styleId="95">
    <w:name w:val="文档结构图 字符"/>
    <w:basedOn w:val="55"/>
    <w:link w:val="17"/>
    <w:qFormat/>
    <w:uiPriority w:val="0"/>
    <w:rPr>
      <w:rFonts w:ascii="宋体" w:hAnsi="Times New Roman" w:eastAsia="宋体" w:cs="Times New Roman"/>
      <w:kern w:val="0"/>
      <w:sz w:val="18"/>
      <w:szCs w:val="18"/>
    </w:rPr>
  </w:style>
  <w:style w:type="character" w:customStyle="1" w:styleId="96">
    <w:name w:val="纯文本 字符"/>
    <w:link w:val="27"/>
    <w:qFormat/>
    <w:locked/>
    <w:uiPriority w:val="0"/>
    <w:rPr>
      <w:rFonts w:ascii="宋体" w:hAnsi="Courier New" w:eastAsia="宋体" w:cs="Courier New"/>
      <w:sz w:val="28"/>
      <w:szCs w:val="21"/>
    </w:rPr>
  </w:style>
  <w:style w:type="character" w:customStyle="1" w:styleId="97">
    <w:name w:val="纯文本 Char"/>
    <w:basedOn w:val="55"/>
    <w:qFormat/>
    <w:uiPriority w:val="0"/>
    <w:rPr>
      <w:rFonts w:ascii="宋体" w:hAnsi="Courier New" w:eastAsia="宋体" w:cs="Courier New"/>
      <w:kern w:val="0"/>
      <w:szCs w:val="21"/>
    </w:rPr>
  </w:style>
  <w:style w:type="character" w:customStyle="1" w:styleId="98">
    <w:name w:val="批注框文本 字符"/>
    <w:basedOn w:val="55"/>
    <w:link w:val="32"/>
    <w:qFormat/>
    <w:uiPriority w:val="0"/>
    <w:rPr>
      <w:rFonts w:ascii="Times New Roman" w:hAnsi="Times New Roman" w:eastAsia="宋体" w:cs="Times New Roman"/>
      <w:sz w:val="18"/>
      <w:szCs w:val="18"/>
    </w:rPr>
  </w:style>
  <w:style w:type="paragraph" w:styleId="99">
    <w:name w:val="List Paragraph"/>
    <w:basedOn w:val="1"/>
    <w:qFormat/>
    <w:uiPriority w:val="34"/>
    <w:pPr>
      <w:widowControl w:val="0"/>
      <w:ind w:firstLine="420" w:firstLineChars="200"/>
      <w:jc w:val="both"/>
    </w:pPr>
    <w:rPr>
      <w:kern w:val="2"/>
      <w:sz w:val="21"/>
      <w:szCs w:val="24"/>
    </w:rPr>
  </w:style>
  <w:style w:type="character" w:customStyle="1" w:styleId="100">
    <w:name w:val="表 头 Char"/>
    <w:basedOn w:val="55"/>
    <w:link w:val="101"/>
    <w:qFormat/>
    <w:locked/>
    <w:uiPriority w:val="0"/>
    <w:rPr>
      <w:rFonts w:ascii="黑体" w:hAnsi="黑体" w:eastAsia="黑体"/>
      <w:spacing w:val="10"/>
      <w:sz w:val="24"/>
    </w:rPr>
  </w:style>
  <w:style w:type="paragraph" w:customStyle="1" w:styleId="101">
    <w:name w:val="表 头"/>
    <w:basedOn w:val="1"/>
    <w:link w:val="100"/>
    <w:qFormat/>
    <w:uiPriority w:val="0"/>
    <w:pPr>
      <w:widowControl w:val="0"/>
      <w:adjustRightInd w:val="0"/>
      <w:spacing w:before="120" w:after="120" w:line="360" w:lineRule="atLeast"/>
      <w:jc w:val="center"/>
    </w:pPr>
    <w:rPr>
      <w:rFonts w:ascii="黑体" w:hAnsi="黑体" w:eastAsia="黑体" w:cstheme="minorBidi"/>
      <w:spacing w:val="10"/>
      <w:kern w:val="2"/>
      <w:sz w:val="24"/>
      <w:szCs w:val="22"/>
    </w:rPr>
  </w:style>
  <w:style w:type="character" w:customStyle="1" w:styleId="102">
    <w:name w:val="样式 段 + 首行缩进:  2 字符 Char"/>
    <w:link w:val="103"/>
    <w:qFormat/>
    <w:locked/>
    <w:uiPriority w:val="0"/>
    <w:rPr>
      <w:rFonts w:ascii="宋体" w:hAnsi="宋体" w:eastAsia="宋体" w:cs="宋体"/>
      <w:szCs w:val="21"/>
    </w:rPr>
  </w:style>
  <w:style w:type="paragraph" w:customStyle="1" w:styleId="103">
    <w:name w:val="样式 段 + 首行缩进:  2 字符"/>
    <w:basedOn w:val="1"/>
    <w:link w:val="102"/>
    <w:qFormat/>
    <w:uiPriority w:val="0"/>
    <w:pPr>
      <w:autoSpaceDE w:val="0"/>
      <w:autoSpaceDN w:val="0"/>
      <w:ind w:firstLine="420" w:firstLineChars="200"/>
      <w:jc w:val="both"/>
    </w:pPr>
    <w:rPr>
      <w:rFonts w:ascii="宋体" w:hAnsi="宋体" w:cs="宋体"/>
      <w:kern w:val="2"/>
      <w:sz w:val="21"/>
      <w:szCs w:val="21"/>
    </w:rPr>
  </w:style>
  <w:style w:type="paragraph" w:customStyle="1" w:styleId="104">
    <w:name w:val="样式 标题 3 + 黑体 加粗5"/>
    <w:basedOn w:val="5"/>
    <w:qFormat/>
    <w:uiPriority w:val="0"/>
    <w:pPr>
      <w:widowControl w:val="0"/>
      <w:spacing w:line="360" w:lineRule="auto"/>
    </w:pPr>
    <w:rPr>
      <w:rFonts w:hAnsi="黑体" w:eastAsia="黑体"/>
      <w:b w:val="0"/>
      <w:color w:val="000000"/>
      <w:kern w:val="2"/>
      <w:sz w:val="28"/>
      <w:szCs w:val="28"/>
    </w:rPr>
  </w:style>
  <w:style w:type="paragraph" w:customStyle="1" w:styleId="105">
    <w:name w:val="content1"/>
    <w:basedOn w:val="1"/>
    <w:qFormat/>
    <w:uiPriority w:val="0"/>
    <w:pPr>
      <w:shd w:val="clear" w:color="auto" w:fill="FFFFFF"/>
      <w:wordWrap w:val="0"/>
      <w:spacing w:before="100" w:beforeAutospacing="1" w:after="100" w:afterAutospacing="1" w:line="272" w:lineRule="atLeast"/>
    </w:pPr>
    <w:rPr>
      <w:rFonts w:ascii="宋体" w:hAnsi="宋体" w:cs="宋体"/>
      <w:sz w:val="19"/>
      <w:szCs w:val="19"/>
    </w:rPr>
  </w:style>
  <w:style w:type="paragraph" w:customStyle="1" w:styleId="106">
    <w:name w:val="Char1 Char Char Char"/>
    <w:basedOn w:val="1"/>
    <w:qFormat/>
    <w:uiPriority w:val="0"/>
    <w:pPr>
      <w:widowControl w:val="0"/>
      <w:spacing w:line="360" w:lineRule="auto"/>
      <w:ind w:firstLine="200" w:firstLineChars="200"/>
      <w:jc w:val="both"/>
    </w:pPr>
    <w:rPr>
      <w:rFonts w:ascii="仿宋_GB2312" w:eastAsia="仿宋_GB2312"/>
      <w:b/>
      <w:kern w:val="2"/>
      <w:sz w:val="32"/>
      <w:szCs w:val="32"/>
    </w:rPr>
  </w:style>
  <w:style w:type="character" w:customStyle="1" w:styleId="107">
    <w:name w:val="图标标题 Char"/>
    <w:link w:val="108"/>
    <w:qFormat/>
    <w:locked/>
    <w:uiPriority w:val="0"/>
    <w:rPr>
      <w:rFonts w:ascii="黑体" w:hAnsi="黑体" w:eastAsia="黑体" w:cs="宋体"/>
      <w:sz w:val="24"/>
    </w:rPr>
  </w:style>
  <w:style w:type="paragraph" w:customStyle="1" w:styleId="108">
    <w:name w:val="图标标题"/>
    <w:basedOn w:val="1"/>
    <w:link w:val="107"/>
    <w:qFormat/>
    <w:uiPriority w:val="0"/>
    <w:pPr>
      <w:widowControl w:val="0"/>
      <w:spacing w:line="360" w:lineRule="auto"/>
      <w:jc w:val="center"/>
    </w:pPr>
    <w:rPr>
      <w:rFonts w:ascii="黑体" w:hAnsi="黑体" w:eastAsia="黑体" w:cs="宋体"/>
      <w:kern w:val="2"/>
      <w:sz w:val="24"/>
      <w:szCs w:val="22"/>
    </w:rPr>
  </w:style>
  <w:style w:type="paragraph" w:customStyle="1" w:styleId="109">
    <w:name w:val="表格文字1"/>
    <w:basedOn w:val="1"/>
    <w:next w:val="1"/>
    <w:qFormat/>
    <w:uiPriority w:val="0"/>
    <w:pPr>
      <w:widowControl w:val="0"/>
      <w:tabs>
        <w:tab w:val="left" w:pos="0"/>
        <w:tab w:val="left" w:pos="510"/>
        <w:tab w:val="center" w:pos="612"/>
        <w:tab w:val="left" w:pos="7380"/>
      </w:tabs>
      <w:wordWrap w:val="0"/>
      <w:overflowPunct w:val="0"/>
      <w:autoSpaceDE w:val="0"/>
      <w:autoSpaceDN w:val="0"/>
      <w:adjustRightInd w:val="0"/>
      <w:snapToGrid w:val="0"/>
      <w:jc w:val="center"/>
    </w:pPr>
    <w:rPr>
      <w:rFonts w:ascii="宋体" w:hAnsi="宋体" w:cs="宋体"/>
      <w:bCs/>
      <w:color w:val="000000"/>
      <w:sz w:val="21"/>
      <w:szCs w:val="21"/>
    </w:rPr>
  </w:style>
  <w:style w:type="paragraph" w:customStyle="1" w:styleId="110">
    <w:name w:val="样式 样式 宋体 小四 + 首行缩进:  2 字符"/>
    <w:basedOn w:val="1"/>
    <w:qFormat/>
    <w:uiPriority w:val="0"/>
    <w:pPr>
      <w:widowControl w:val="0"/>
      <w:spacing w:line="500" w:lineRule="exact"/>
      <w:jc w:val="both"/>
    </w:pPr>
    <w:rPr>
      <w:rFonts w:ascii="宋体" w:hAnsi="宋体" w:eastAsia="仿宋_GB2312"/>
      <w:bCs/>
      <w:color w:val="000000"/>
      <w:kern w:val="2"/>
      <w:sz w:val="32"/>
      <w:szCs w:val="32"/>
    </w:rPr>
  </w:style>
  <w:style w:type="paragraph" w:customStyle="1" w:styleId="111">
    <w:name w:val="reader-word-layer reader-word-s1-11"/>
    <w:basedOn w:val="1"/>
    <w:qFormat/>
    <w:uiPriority w:val="0"/>
    <w:pPr>
      <w:spacing w:before="100" w:beforeAutospacing="1" w:after="100" w:afterAutospacing="1"/>
    </w:pPr>
    <w:rPr>
      <w:rFonts w:ascii="宋体" w:hAnsi="宋体" w:cs="宋体"/>
      <w:sz w:val="24"/>
      <w:szCs w:val="24"/>
    </w:rPr>
  </w:style>
  <w:style w:type="character" w:customStyle="1" w:styleId="112">
    <w:name w:val="正文 Char"/>
    <w:basedOn w:val="55"/>
    <w:link w:val="113"/>
    <w:qFormat/>
    <w:locked/>
    <w:uiPriority w:val="0"/>
    <w:rPr>
      <w:rFonts w:ascii="仿宋_GB2312" w:eastAsia="仿宋_GB2312" w:cs="宋体"/>
      <w:sz w:val="28"/>
    </w:rPr>
  </w:style>
  <w:style w:type="paragraph" w:customStyle="1" w:styleId="113">
    <w:name w:val="正文2"/>
    <w:basedOn w:val="1"/>
    <w:link w:val="112"/>
    <w:qFormat/>
    <w:uiPriority w:val="0"/>
    <w:pPr>
      <w:widowControl w:val="0"/>
      <w:ind w:firstLine="200" w:firstLineChars="200"/>
      <w:jc w:val="both"/>
    </w:pPr>
    <w:rPr>
      <w:rFonts w:ascii="仿宋_GB2312" w:eastAsia="仿宋_GB2312" w:cs="宋体" w:hAnsiTheme="minorHAnsi"/>
      <w:kern w:val="2"/>
      <w:sz w:val="28"/>
      <w:szCs w:val="22"/>
    </w:rPr>
  </w:style>
  <w:style w:type="paragraph" w:customStyle="1" w:styleId="114">
    <w:name w:val="图表脚注"/>
    <w:next w:val="1"/>
    <w:qFormat/>
    <w:uiPriority w:val="0"/>
    <w:pPr>
      <w:ind w:left="200" w:leftChars="200" w:hanging="100" w:hangingChars="100"/>
      <w:jc w:val="both"/>
    </w:pPr>
    <w:rPr>
      <w:rFonts w:ascii="宋体" w:hAnsi="Times New Roman" w:eastAsia="宋体" w:cs="Times New Roman"/>
      <w:sz w:val="18"/>
      <w:lang w:val="en-US" w:eastAsia="zh-CN" w:bidi="ar-SA"/>
    </w:rPr>
  </w:style>
  <w:style w:type="paragraph" w:customStyle="1" w:styleId="115">
    <w:name w:val="题注1"/>
    <w:basedOn w:val="16"/>
    <w:qFormat/>
    <w:uiPriority w:val="0"/>
    <w:pPr>
      <w:jc w:val="center"/>
    </w:pPr>
    <w:rPr>
      <w:rFonts w:ascii="Times New Roman" w:hAnsi="Times New Roman" w:cs="宋体"/>
    </w:rPr>
  </w:style>
  <w:style w:type="paragraph" w:customStyle="1" w:styleId="116">
    <w:name w:val="正文文字"/>
    <w:basedOn w:val="1"/>
    <w:qFormat/>
    <w:uiPriority w:val="0"/>
    <w:pPr>
      <w:spacing w:line="419" w:lineRule="atLeast"/>
      <w:ind w:firstLine="419"/>
      <w:jc w:val="center"/>
    </w:pPr>
    <w:rPr>
      <w:color w:val="000000"/>
      <w:sz w:val="18"/>
      <w:u w:color="000000"/>
    </w:rPr>
  </w:style>
  <w:style w:type="paragraph" w:customStyle="1" w:styleId="117">
    <w:name w:val="标题4"/>
    <w:qFormat/>
    <w:uiPriority w:val="0"/>
    <w:pPr>
      <w:spacing w:beforeLines="50" w:afterLines="50" w:line="360" w:lineRule="auto"/>
      <w:outlineLvl w:val="3"/>
    </w:pPr>
    <w:rPr>
      <w:rFonts w:ascii="Times New Roman" w:hAnsi="Times New Roman" w:eastAsia="宋体" w:cs="Times New Roman"/>
      <w:kern w:val="2"/>
      <w:sz w:val="24"/>
      <w:szCs w:val="24"/>
      <w:lang w:val="en-US" w:eastAsia="zh-CN" w:bidi="ar-SA"/>
    </w:rPr>
  </w:style>
  <w:style w:type="character" w:customStyle="1" w:styleId="118">
    <w:name w:val="曹家山-正文 Char"/>
    <w:link w:val="119"/>
    <w:qFormat/>
    <w:locked/>
    <w:uiPriority w:val="0"/>
    <w:rPr>
      <w:rFonts w:ascii="仿宋_GB2312" w:eastAsia="仿宋_GB2312"/>
      <w:sz w:val="24"/>
      <w:szCs w:val="24"/>
      <w:lang w:val="de-DE"/>
    </w:rPr>
  </w:style>
  <w:style w:type="paragraph" w:customStyle="1" w:styleId="119">
    <w:name w:val="曹家山-正文"/>
    <w:basedOn w:val="1"/>
    <w:link w:val="118"/>
    <w:qFormat/>
    <w:uiPriority w:val="0"/>
    <w:pPr>
      <w:widowControl w:val="0"/>
      <w:spacing w:line="360" w:lineRule="auto"/>
      <w:ind w:firstLine="200" w:firstLineChars="200"/>
    </w:pPr>
    <w:rPr>
      <w:rFonts w:ascii="仿宋_GB2312" w:eastAsia="仿宋_GB2312" w:hAnsiTheme="minorHAnsi" w:cstheme="minorBidi"/>
      <w:kern w:val="2"/>
      <w:sz w:val="24"/>
      <w:szCs w:val="24"/>
      <w:lang w:val="de-DE"/>
    </w:rPr>
  </w:style>
  <w:style w:type="paragraph" w:customStyle="1" w:styleId="120">
    <w:name w:val="图表题主"/>
    <w:basedOn w:val="16"/>
    <w:qFormat/>
    <w:uiPriority w:val="0"/>
    <w:pPr>
      <w:spacing w:beforeLines="50" w:line="360" w:lineRule="auto"/>
      <w:ind w:right="420"/>
      <w:jc w:val="center"/>
    </w:pPr>
    <w:rPr>
      <w:rFonts w:ascii="Times New Roman" w:hAnsi="Times New Roman"/>
      <w:szCs w:val="21"/>
    </w:rPr>
  </w:style>
  <w:style w:type="paragraph" w:customStyle="1" w:styleId="121">
    <w:name w:val="样式 标题 2 + 加粗"/>
    <w:basedOn w:val="4"/>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122">
    <w:name w:val="Char Char Char Char Char Char Char Char Char Char Char Char Char Char Char Char Char Char Char Char Char Char Char Char"/>
    <w:basedOn w:val="1"/>
    <w:qFormat/>
    <w:uiPriority w:val="0"/>
    <w:pPr>
      <w:widowControl w:val="0"/>
      <w:jc w:val="both"/>
    </w:pPr>
    <w:rPr>
      <w:rFonts w:ascii="Tahoma" w:hAnsi="Tahoma"/>
      <w:kern w:val="2"/>
      <w:sz w:val="24"/>
    </w:rPr>
  </w:style>
  <w:style w:type="paragraph" w:customStyle="1" w:styleId="123">
    <w:name w:val="默认段落字体 Para Char Char Char Char"/>
    <w:basedOn w:val="1"/>
    <w:qFormat/>
    <w:uiPriority w:val="0"/>
    <w:pPr>
      <w:widowControl w:val="0"/>
      <w:jc w:val="both"/>
    </w:pPr>
    <w:rPr>
      <w:kern w:val="2"/>
      <w:sz w:val="24"/>
    </w:rPr>
  </w:style>
  <w:style w:type="paragraph" w:customStyle="1" w:styleId="124">
    <w:name w:val="Table Paragraph"/>
    <w:basedOn w:val="1"/>
    <w:qFormat/>
    <w:uiPriority w:val="0"/>
    <w:pPr>
      <w:jc w:val="center"/>
    </w:pPr>
    <w:rPr>
      <w:rFonts w:ascii="宋体" w:hAnsi="宋体" w:cs="宋体"/>
    </w:rPr>
  </w:style>
  <w:style w:type="paragraph" w:customStyle="1" w:styleId="125">
    <w:name w:val="样式 标题 3 + 黑体 加粗6"/>
    <w:basedOn w:val="5"/>
    <w:qFormat/>
    <w:uiPriority w:val="0"/>
    <w:pPr>
      <w:widowControl w:val="0"/>
    </w:pPr>
    <w:rPr>
      <w:rFonts w:ascii="黑体" w:hAnsi="黑体" w:eastAsia="黑体"/>
      <w:b w:val="0"/>
      <w:color w:val="000000"/>
      <w:kern w:val="2"/>
      <w:sz w:val="28"/>
      <w:szCs w:val="28"/>
    </w:rPr>
  </w:style>
  <w:style w:type="paragraph" w:customStyle="1" w:styleId="126">
    <w:name w:val="xl49"/>
    <w:basedOn w:val="1"/>
    <w:qFormat/>
    <w:uiPriority w:val="0"/>
    <w:pPr>
      <w:pBdr>
        <w:top w:val="single" w:color="auto" w:sz="8" w:space="0"/>
        <w:left w:val="single" w:color="auto" w:sz="4" w:space="0"/>
        <w:bottom w:val="single" w:color="auto" w:sz="4" w:space="0"/>
        <w:right w:val="single" w:color="auto" w:sz="4" w:space="0"/>
      </w:pBdr>
      <w:spacing w:before="100" w:after="100"/>
      <w:jc w:val="center"/>
    </w:pPr>
    <w:rPr>
      <w:rFonts w:ascii="宋体" w:hAnsi="宋体"/>
      <w:sz w:val="18"/>
      <w:szCs w:val="18"/>
    </w:rPr>
  </w:style>
  <w:style w:type="character" w:customStyle="1" w:styleId="127">
    <w:name w:val="正文段落-环保篇 Char"/>
    <w:basedOn w:val="55"/>
    <w:link w:val="128"/>
    <w:qFormat/>
    <w:locked/>
    <w:uiPriority w:val="0"/>
    <w:rPr>
      <w:rFonts w:ascii="Arial Narrow" w:hAnsi="Arial Narrow" w:eastAsia="汉鼎简书宋"/>
      <w:sz w:val="24"/>
      <w:szCs w:val="24"/>
    </w:rPr>
  </w:style>
  <w:style w:type="paragraph" w:customStyle="1" w:styleId="128">
    <w:name w:val="正文段落-环保篇"/>
    <w:basedOn w:val="1"/>
    <w:link w:val="127"/>
    <w:qFormat/>
    <w:uiPriority w:val="0"/>
    <w:pPr>
      <w:widowControl w:val="0"/>
      <w:snapToGrid w:val="0"/>
      <w:spacing w:line="500" w:lineRule="exact"/>
      <w:ind w:firstLine="200" w:firstLineChars="200"/>
      <w:jc w:val="both"/>
    </w:pPr>
    <w:rPr>
      <w:rFonts w:ascii="Arial Narrow" w:hAnsi="Arial Narrow" w:eastAsia="汉鼎简书宋" w:cstheme="minorBidi"/>
      <w:kern w:val="2"/>
      <w:sz w:val="24"/>
      <w:szCs w:val="24"/>
    </w:rPr>
  </w:style>
  <w:style w:type="character" w:customStyle="1" w:styleId="129">
    <w:name w:val="正文样式 Char Char"/>
    <w:link w:val="130"/>
    <w:qFormat/>
    <w:locked/>
    <w:uiPriority w:val="0"/>
    <w:rPr>
      <w:rFonts w:ascii="宋体" w:hAnsi="宋体" w:eastAsia="宋体"/>
      <w:sz w:val="24"/>
      <w:szCs w:val="24"/>
    </w:rPr>
  </w:style>
  <w:style w:type="paragraph" w:customStyle="1" w:styleId="130">
    <w:name w:val="正文样式"/>
    <w:basedOn w:val="1"/>
    <w:link w:val="129"/>
    <w:qFormat/>
    <w:uiPriority w:val="0"/>
    <w:pPr>
      <w:widowControl w:val="0"/>
      <w:spacing w:line="360" w:lineRule="auto"/>
      <w:ind w:firstLine="480" w:firstLineChars="200"/>
      <w:jc w:val="both"/>
    </w:pPr>
    <w:rPr>
      <w:rFonts w:ascii="宋体" w:hAnsi="宋体" w:cstheme="minorBidi"/>
      <w:kern w:val="2"/>
      <w:sz w:val="24"/>
      <w:szCs w:val="24"/>
    </w:rPr>
  </w:style>
  <w:style w:type="paragraph" w:customStyle="1" w:styleId="131">
    <w:name w:val="*正文"/>
    <w:qFormat/>
    <w:uiPriority w:val="0"/>
    <w:pPr>
      <w:spacing w:line="360" w:lineRule="auto"/>
      <w:ind w:firstLine="200" w:firstLineChars="200"/>
      <w:jc w:val="both"/>
    </w:pPr>
    <w:rPr>
      <w:rFonts w:ascii="仿宋_GB2312" w:hAnsi="仿宋_GB2312" w:eastAsia="宋体" w:cs="仿宋_GB2312"/>
      <w:color w:val="000000"/>
      <w:kern w:val="2"/>
      <w:sz w:val="24"/>
      <w:szCs w:val="24"/>
      <w:lang w:val="en-US" w:eastAsia="zh-CN" w:bidi="ar-SA"/>
    </w:rPr>
  </w:style>
  <w:style w:type="paragraph" w:customStyle="1" w:styleId="132">
    <w:name w:val="样式 标题 2 + 加粗1"/>
    <w:basedOn w:val="4"/>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133">
    <w:name w:val="前言、引言标题"/>
    <w:next w:val="1"/>
    <w:qFormat/>
    <w:uiPriority w:val="0"/>
    <w:pPr>
      <w:shd w:val="clear" w:color="auto" w:fill="FFFFFF"/>
      <w:spacing w:before="640" w:after="560"/>
      <w:jc w:val="center"/>
      <w:outlineLvl w:val="0"/>
    </w:pPr>
    <w:rPr>
      <w:rFonts w:ascii="黑体" w:hAnsi="Times New Roman" w:eastAsia="黑体" w:cs="Times New Roman"/>
      <w:sz w:val="32"/>
      <w:lang w:val="en-US" w:eastAsia="zh-CN" w:bidi="ar-SA"/>
    </w:rPr>
  </w:style>
  <w:style w:type="paragraph" w:customStyle="1" w:styleId="134">
    <w:name w:val="xl47"/>
    <w:basedOn w:val="1"/>
    <w:qFormat/>
    <w:uiPriority w:val="0"/>
    <w:pPr>
      <w:pBdr>
        <w:left w:val="single" w:color="auto" w:sz="4" w:space="0"/>
        <w:bottom w:val="single" w:color="auto" w:sz="4" w:space="0"/>
        <w:right w:val="single" w:color="auto" w:sz="4" w:space="0"/>
      </w:pBdr>
      <w:spacing w:before="100" w:after="100"/>
      <w:jc w:val="center"/>
    </w:pPr>
    <w:rPr>
      <w:sz w:val="18"/>
      <w:szCs w:val="18"/>
    </w:rPr>
  </w:style>
  <w:style w:type="paragraph" w:customStyle="1" w:styleId="135">
    <w:name w:val="标正文1"/>
    <w:basedOn w:val="1"/>
    <w:qFormat/>
    <w:uiPriority w:val="0"/>
    <w:pPr>
      <w:widowControl w:val="0"/>
      <w:tabs>
        <w:tab w:val="left" w:pos="3060"/>
      </w:tabs>
      <w:spacing w:line="360" w:lineRule="auto"/>
      <w:ind w:firstLine="520" w:firstLineChars="200"/>
      <w:jc w:val="both"/>
    </w:pPr>
    <w:rPr>
      <w:rFonts w:ascii="宋体" w:hAnsi="宋体"/>
      <w:color w:val="000000"/>
      <w:kern w:val="2"/>
      <w:sz w:val="26"/>
      <w:szCs w:val="24"/>
    </w:rPr>
  </w:style>
  <w:style w:type="paragraph" w:customStyle="1" w:styleId="136">
    <w:name w:val="reader-word-layer reader-word-s1-12"/>
    <w:basedOn w:val="1"/>
    <w:qFormat/>
    <w:uiPriority w:val="0"/>
    <w:pPr>
      <w:spacing w:before="100" w:beforeAutospacing="1" w:after="100" w:afterAutospacing="1"/>
    </w:pPr>
    <w:rPr>
      <w:rFonts w:ascii="宋体" w:hAnsi="宋体" w:cs="宋体"/>
      <w:sz w:val="24"/>
      <w:szCs w:val="24"/>
    </w:rPr>
  </w:style>
  <w:style w:type="character" w:customStyle="1" w:styleId="137">
    <w:name w:val="表内－中 Char"/>
    <w:link w:val="138"/>
    <w:qFormat/>
    <w:locked/>
    <w:uiPriority w:val="0"/>
    <w:rPr>
      <w:rFonts w:ascii="宋体" w:hAnsi="宋体" w:eastAsia="Times New Roman" w:cs="宋体"/>
      <w:bCs/>
      <w:kern w:val="28"/>
      <w:szCs w:val="26"/>
    </w:rPr>
  </w:style>
  <w:style w:type="paragraph" w:customStyle="1" w:styleId="138">
    <w:name w:val="表内－中"/>
    <w:link w:val="137"/>
    <w:qFormat/>
    <w:uiPriority w:val="0"/>
    <w:pPr>
      <w:widowControl w:val="0"/>
      <w:adjustRightInd w:val="0"/>
      <w:snapToGrid w:val="0"/>
      <w:spacing w:line="360" w:lineRule="exact"/>
      <w:jc w:val="center"/>
    </w:pPr>
    <w:rPr>
      <w:rFonts w:ascii="宋体" w:hAnsi="宋体" w:eastAsia="Times New Roman" w:cs="宋体"/>
      <w:bCs/>
      <w:kern w:val="28"/>
      <w:sz w:val="21"/>
      <w:szCs w:val="26"/>
      <w:lang w:val="en-US" w:eastAsia="zh-CN" w:bidi="ar-SA"/>
    </w:rPr>
  </w:style>
  <w:style w:type="paragraph" w:customStyle="1" w:styleId="139">
    <w:name w:val="Char Char Char Char1"/>
    <w:basedOn w:val="1"/>
    <w:qFormat/>
    <w:uiPriority w:val="0"/>
    <w:pPr>
      <w:widowControl w:val="0"/>
      <w:snapToGrid w:val="0"/>
      <w:spacing w:line="360" w:lineRule="auto"/>
      <w:ind w:firstLine="529" w:firstLineChars="200"/>
      <w:jc w:val="both"/>
    </w:pPr>
    <w:rPr>
      <w:rFonts w:ascii="宋体" w:hAnsi="宋体"/>
      <w:b/>
      <w:kern w:val="2"/>
      <w:sz w:val="21"/>
      <w:szCs w:val="24"/>
    </w:rPr>
  </w:style>
  <w:style w:type="character" w:customStyle="1" w:styleId="140">
    <w:name w:val="样式 标题 3 + Char"/>
    <w:link w:val="141"/>
    <w:qFormat/>
    <w:locked/>
    <w:uiPriority w:val="0"/>
    <w:rPr>
      <w:rFonts w:ascii="黑体" w:hAnsi="黑体" w:eastAsia="黑体"/>
      <w:b/>
      <w:bCs/>
      <w:color w:val="000000"/>
      <w:sz w:val="28"/>
      <w:szCs w:val="28"/>
    </w:rPr>
  </w:style>
  <w:style w:type="paragraph" w:customStyle="1" w:styleId="141">
    <w:name w:val="样式 标题 3 +"/>
    <w:basedOn w:val="5"/>
    <w:link w:val="140"/>
    <w:qFormat/>
    <w:uiPriority w:val="0"/>
    <w:pPr>
      <w:keepNext w:val="0"/>
      <w:keepLines w:val="0"/>
      <w:widowControl w:val="0"/>
      <w:spacing w:before="0" w:after="0" w:line="360" w:lineRule="auto"/>
    </w:pPr>
    <w:rPr>
      <w:rFonts w:ascii="黑体" w:hAnsi="黑体" w:eastAsia="黑体" w:cstheme="minorBidi"/>
      <w:color w:val="000000"/>
      <w:kern w:val="2"/>
      <w:sz w:val="28"/>
      <w:szCs w:val="28"/>
    </w:rPr>
  </w:style>
  <w:style w:type="character" w:customStyle="1" w:styleId="142">
    <w:name w:val="正文+ Char"/>
    <w:link w:val="143"/>
    <w:qFormat/>
    <w:locked/>
    <w:uiPriority w:val="0"/>
    <w:rPr>
      <w:rFonts w:ascii="宋体" w:hAnsi="宋体" w:eastAsia="宋体" w:cs="宋体"/>
      <w:sz w:val="24"/>
    </w:rPr>
  </w:style>
  <w:style w:type="paragraph" w:customStyle="1" w:styleId="143">
    <w:name w:val="正文+"/>
    <w:basedOn w:val="1"/>
    <w:link w:val="142"/>
    <w:qFormat/>
    <w:uiPriority w:val="0"/>
    <w:pPr>
      <w:widowControl w:val="0"/>
      <w:spacing w:line="360" w:lineRule="auto"/>
      <w:ind w:firstLine="480" w:firstLineChars="200"/>
      <w:jc w:val="both"/>
    </w:pPr>
    <w:rPr>
      <w:rFonts w:ascii="宋体" w:hAnsi="宋体" w:cs="宋体"/>
      <w:kern w:val="2"/>
      <w:sz w:val="24"/>
      <w:szCs w:val="22"/>
    </w:rPr>
  </w:style>
  <w:style w:type="paragraph" w:customStyle="1" w:styleId="144">
    <w:name w:val="Char1"/>
    <w:basedOn w:val="1"/>
    <w:qFormat/>
    <w:uiPriority w:val="0"/>
    <w:pPr>
      <w:widowControl w:val="0"/>
      <w:jc w:val="both"/>
    </w:pPr>
    <w:rPr>
      <w:sz w:val="21"/>
      <w:u w:color="000000"/>
    </w:rPr>
  </w:style>
  <w:style w:type="paragraph" w:customStyle="1" w:styleId="145">
    <w:name w:val="样式8"/>
    <w:qFormat/>
    <w:uiPriority w:val="0"/>
    <w:pPr>
      <w:ind w:firstLine="360"/>
    </w:pPr>
    <w:rPr>
      <w:rFonts w:ascii="Times New Roman" w:hAnsi="Times New Roman" w:eastAsia="宋体" w:cs="Times New Roman"/>
      <w:kern w:val="2"/>
      <w:sz w:val="18"/>
      <w:szCs w:val="18"/>
      <w:lang w:val="en-US" w:eastAsia="zh-CN" w:bidi="ar-SA"/>
    </w:rPr>
  </w:style>
  <w:style w:type="character" w:customStyle="1" w:styleId="146">
    <w:name w:val="样式 标题 1 + 黑体 加粗 Char"/>
    <w:link w:val="68"/>
    <w:qFormat/>
    <w:locked/>
    <w:uiPriority w:val="0"/>
    <w:rPr>
      <w:rFonts w:ascii="黑体" w:hAnsi="黑体" w:eastAsia="黑体"/>
      <w:bCs/>
      <w:kern w:val="44"/>
      <w:sz w:val="32"/>
      <w:szCs w:val="32"/>
    </w:rPr>
  </w:style>
  <w:style w:type="character" w:customStyle="1" w:styleId="147">
    <w:name w:val="正文28磅 Char"/>
    <w:link w:val="148"/>
    <w:qFormat/>
    <w:locked/>
    <w:uiPriority w:val="0"/>
    <w:rPr>
      <w:color w:val="000000"/>
      <w:kern w:val="28"/>
      <w:sz w:val="28"/>
      <w:u w:color="000000"/>
      <w:lang w:val="en-GB"/>
    </w:rPr>
  </w:style>
  <w:style w:type="paragraph" w:customStyle="1" w:styleId="148">
    <w:name w:val="正文28磅"/>
    <w:basedOn w:val="1"/>
    <w:link w:val="147"/>
    <w:qFormat/>
    <w:uiPriority w:val="0"/>
    <w:pPr>
      <w:widowControl w:val="0"/>
      <w:spacing w:line="560" w:lineRule="exact"/>
      <w:ind w:firstLine="560" w:firstLineChars="200"/>
    </w:pPr>
    <w:rPr>
      <w:rFonts w:asciiTheme="minorHAnsi" w:hAnsiTheme="minorHAnsi" w:eastAsiaTheme="minorEastAsia" w:cstheme="minorBidi"/>
      <w:color w:val="000000"/>
      <w:kern w:val="28"/>
      <w:sz w:val="28"/>
      <w:szCs w:val="22"/>
      <w:u w:color="000000"/>
      <w:lang w:val="en-GB"/>
    </w:rPr>
  </w:style>
  <w:style w:type="paragraph" w:customStyle="1" w:styleId="149">
    <w:name w:val="正文A"/>
    <w:qFormat/>
    <w:uiPriority w:val="0"/>
    <w:pPr>
      <w:widowControl w:val="0"/>
      <w:tabs>
        <w:tab w:val="left" w:pos="0"/>
      </w:tabs>
      <w:snapToGrid w:val="0"/>
      <w:spacing w:line="360" w:lineRule="auto"/>
      <w:ind w:firstLine="520" w:firstLineChars="200"/>
      <w:jc w:val="both"/>
    </w:pPr>
    <w:rPr>
      <w:rFonts w:ascii="宋体" w:hAnsi="宋体" w:eastAsia="宋体" w:cs="Plotter"/>
      <w:sz w:val="26"/>
      <w:szCs w:val="26"/>
      <w:lang w:val="en-US" w:eastAsia="zh-CN" w:bidi="ar-SA"/>
    </w:rPr>
  </w:style>
  <w:style w:type="paragraph" w:customStyle="1" w:styleId="150">
    <w:name w:val="xl44"/>
    <w:basedOn w:val="1"/>
    <w:qFormat/>
    <w:uiPriority w:val="0"/>
    <w:pPr>
      <w:pBdr>
        <w:top w:val="single" w:color="auto" w:sz="4" w:space="0"/>
        <w:left w:val="single" w:color="auto" w:sz="4" w:space="0"/>
        <w:right w:val="single" w:color="auto" w:sz="4" w:space="0"/>
      </w:pBdr>
      <w:spacing w:before="100" w:beforeAutospacing="1" w:after="100" w:afterAutospacing="1"/>
    </w:pPr>
    <w:rPr>
      <w:rFonts w:ascii="Arial Unicode MS" w:hAnsi="Arial Unicode MS" w:eastAsia="Arial Unicode MS" w:cs="Arial Unicode MS"/>
    </w:rPr>
  </w:style>
  <w:style w:type="paragraph" w:customStyle="1" w:styleId="151">
    <w:name w:val="Char Char Char1 Char Char Char Char Char Char Char Char Char Char Char Char Char Char Char Char Char Char Char Char Char Char Char Char Char"/>
    <w:basedOn w:val="1"/>
    <w:qFormat/>
    <w:uiPriority w:val="0"/>
    <w:pPr>
      <w:widowControl w:val="0"/>
      <w:spacing w:line="360" w:lineRule="auto"/>
      <w:ind w:firstLine="200" w:firstLineChars="200"/>
      <w:jc w:val="both"/>
    </w:pPr>
    <w:rPr>
      <w:rFonts w:ascii="宋体" w:hAnsi="宋体" w:cs="宋体"/>
      <w:kern w:val="2"/>
      <w:sz w:val="24"/>
      <w:szCs w:val="24"/>
    </w:rPr>
  </w:style>
  <w:style w:type="character" w:customStyle="1" w:styleId="152">
    <w:name w:val="xzd Char"/>
    <w:link w:val="153"/>
    <w:qFormat/>
    <w:locked/>
    <w:uiPriority w:val="0"/>
    <w:rPr>
      <w:rFonts w:ascii="宋体" w:hAnsi="宋体" w:eastAsia="宋体" w:cs="宋体"/>
      <w:sz w:val="24"/>
    </w:rPr>
  </w:style>
  <w:style w:type="paragraph" w:customStyle="1" w:styleId="153">
    <w:name w:val="xzd"/>
    <w:basedOn w:val="1"/>
    <w:link w:val="152"/>
    <w:qFormat/>
    <w:uiPriority w:val="0"/>
    <w:pPr>
      <w:widowControl w:val="0"/>
      <w:spacing w:line="360" w:lineRule="auto"/>
      <w:ind w:firstLine="480" w:firstLineChars="200"/>
    </w:pPr>
    <w:rPr>
      <w:rFonts w:ascii="宋体" w:hAnsi="宋体" w:cs="宋体"/>
      <w:kern w:val="2"/>
      <w:sz w:val="24"/>
      <w:szCs w:val="22"/>
    </w:rPr>
  </w:style>
  <w:style w:type="character" w:customStyle="1" w:styleId="154">
    <w:name w:val="一级条标题 Char"/>
    <w:link w:val="155"/>
    <w:qFormat/>
    <w:locked/>
    <w:uiPriority w:val="0"/>
    <w:rPr>
      <w:rFonts w:ascii="黑体" w:hAnsi="黑体" w:eastAsia="黑体"/>
    </w:rPr>
  </w:style>
  <w:style w:type="paragraph" w:customStyle="1" w:styleId="155">
    <w:name w:val="一级条标题"/>
    <w:next w:val="1"/>
    <w:link w:val="154"/>
    <w:qFormat/>
    <w:uiPriority w:val="0"/>
    <w:pPr>
      <w:outlineLvl w:val="2"/>
    </w:pPr>
    <w:rPr>
      <w:rFonts w:ascii="黑体" w:hAnsi="黑体" w:eastAsia="黑体" w:cstheme="minorBidi"/>
      <w:kern w:val="2"/>
      <w:sz w:val="21"/>
      <w:szCs w:val="22"/>
      <w:lang w:val="en-US" w:eastAsia="zh-CN" w:bidi="ar-SA"/>
    </w:rPr>
  </w:style>
  <w:style w:type="paragraph" w:customStyle="1" w:styleId="156">
    <w:name w:val="图表题主111"/>
    <w:basedOn w:val="1"/>
    <w:qFormat/>
    <w:uiPriority w:val="0"/>
    <w:pPr>
      <w:widowControl w:val="0"/>
      <w:tabs>
        <w:tab w:val="left" w:pos="4320"/>
      </w:tabs>
      <w:spacing w:line="360" w:lineRule="auto"/>
      <w:ind w:firstLine="480" w:firstLineChars="200"/>
      <w:jc w:val="both"/>
    </w:pPr>
    <w:rPr>
      <w:rFonts w:eastAsia="黑体"/>
      <w:kern w:val="2"/>
      <w:sz w:val="21"/>
      <w:szCs w:val="24"/>
    </w:rPr>
  </w:style>
  <w:style w:type="paragraph" w:customStyle="1" w:styleId="157">
    <w:name w:val="Char Char Char1 Char"/>
    <w:basedOn w:val="1"/>
    <w:qFormat/>
    <w:uiPriority w:val="0"/>
    <w:pPr>
      <w:widowControl w:val="0"/>
      <w:spacing w:line="360" w:lineRule="auto"/>
      <w:ind w:firstLine="200" w:firstLineChars="200"/>
      <w:jc w:val="both"/>
    </w:pPr>
    <w:rPr>
      <w:kern w:val="2"/>
      <w:sz w:val="21"/>
    </w:rPr>
  </w:style>
  <w:style w:type="character" w:customStyle="1" w:styleId="158">
    <w:name w:val="表头 Char"/>
    <w:link w:val="159"/>
    <w:qFormat/>
    <w:locked/>
    <w:uiPriority w:val="0"/>
    <w:rPr>
      <w:rFonts w:ascii="黑体" w:hAnsi="黑体" w:eastAsia="黑体"/>
      <w:bCs/>
      <w:szCs w:val="21"/>
    </w:rPr>
  </w:style>
  <w:style w:type="paragraph" w:customStyle="1" w:styleId="159">
    <w:name w:val="表头"/>
    <w:basedOn w:val="1"/>
    <w:next w:val="160"/>
    <w:link w:val="158"/>
    <w:qFormat/>
    <w:uiPriority w:val="0"/>
    <w:pPr>
      <w:widowControl w:val="0"/>
      <w:tabs>
        <w:tab w:val="left" w:pos="540"/>
        <w:tab w:val="left" w:pos="1080"/>
        <w:tab w:val="left" w:pos="1260"/>
        <w:tab w:val="left" w:pos="1440"/>
      </w:tabs>
      <w:snapToGrid w:val="0"/>
      <w:spacing w:line="360" w:lineRule="auto"/>
      <w:jc w:val="center"/>
    </w:pPr>
    <w:rPr>
      <w:rFonts w:ascii="黑体" w:hAnsi="黑体" w:eastAsia="黑体" w:cstheme="minorBidi"/>
      <w:bCs/>
      <w:kern w:val="2"/>
      <w:sz w:val="21"/>
      <w:szCs w:val="21"/>
    </w:rPr>
  </w:style>
  <w:style w:type="paragraph" w:customStyle="1" w:styleId="160">
    <w:name w:val="别动"/>
    <w:basedOn w:val="159"/>
    <w:link w:val="474"/>
    <w:qFormat/>
    <w:uiPriority w:val="0"/>
    <w:pPr>
      <w:tabs>
        <w:tab w:val="clear" w:pos="540"/>
        <w:tab w:val="clear" w:pos="1080"/>
        <w:tab w:val="clear" w:pos="1260"/>
        <w:tab w:val="clear" w:pos="1440"/>
      </w:tabs>
      <w:adjustRightInd w:val="0"/>
      <w:spacing w:line="340" w:lineRule="exact"/>
    </w:pPr>
    <w:rPr>
      <w:rFonts w:ascii="Times New Roman" w:hAnsi="Times New Roman" w:eastAsia="宋体" w:cs="Times New Roman"/>
      <w:bCs w:val="0"/>
      <w:kern w:val="0"/>
      <w:szCs w:val="20"/>
    </w:rPr>
  </w:style>
  <w:style w:type="character" w:customStyle="1" w:styleId="161">
    <w:name w:val="样式1-正文 Char"/>
    <w:link w:val="63"/>
    <w:qFormat/>
    <w:locked/>
    <w:uiPriority w:val="0"/>
    <w:rPr>
      <w:rFonts w:ascii="宋体" w:hAnsi="宋体" w:eastAsia="宋体"/>
      <w:sz w:val="24"/>
      <w:szCs w:val="24"/>
    </w:rPr>
  </w:style>
  <w:style w:type="paragraph" w:customStyle="1" w:styleId="162">
    <w:name w:val="表题头"/>
    <w:basedOn w:val="1"/>
    <w:qFormat/>
    <w:uiPriority w:val="0"/>
    <w:pPr>
      <w:widowControl w:val="0"/>
      <w:spacing w:beforeLines="50" w:line="360" w:lineRule="auto"/>
      <w:ind w:firstLine="600" w:firstLineChars="200"/>
      <w:jc w:val="center"/>
    </w:pPr>
    <w:rPr>
      <w:b/>
      <w:color w:val="000000"/>
      <w:kern w:val="2"/>
      <w:sz w:val="24"/>
      <w:szCs w:val="28"/>
    </w:rPr>
  </w:style>
  <w:style w:type="paragraph" w:customStyle="1" w:styleId="163">
    <w:name w:val="样式 宋体 四号 行距: 固定值 25 磅"/>
    <w:basedOn w:val="1"/>
    <w:qFormat/>
    <w:uiPriority w:val="0"/>
    <w:pPr>
      <w:widowControl w:val="0"/>
      <w:spacing w:line="500" w:lineRule="exact"/>
      <w:ind w:firstLine="560" w:firstLineChars="200"/>
      <w:jc w:val="both"/>
    </w:pPr>
    <w:rPr>
      <w:rFonts w:ascii="宋体" w:hAnsi="宋体" w:cs="宋体"/>
      <w:kern w:val="2"/>
      <w:sz w:val="24"/>
      <w:szCs w:val="24"/>
    </w:rPr>
  </w:style>
  <w:style w:type="paragraph" w:customStyle="1" w:styleId="164">
    <w:name w:val="A正文"/>
    <w:basedOn w:val="1"/>
    <w:qFormat/>
    <w:uiPriority w:val="0"/>
    <w:pPr>
      <w:widowControl w:val="0"/>
      <w:topLinePunct/>
      <w:spacing w:line="480" w:lineRule="auto"/>
      <w:ind w:firstLine="560" w:firstLineChars="200"/>
      <w:jc w:val="center"/>
    </w:pPr>
    <w:rPr>
      <w:rFonts w:ascii="宋体" w:hAnsi="宋体"/>
      <w:bCs/>
      <w:kern w:val="2"/>
      <w:sz w:val="28"/>
      <w:szCs w:val="21"/>
    </w:rPr>
  </w:style>
  <w:style w:type="paragraph" w:customStyle="1" w:styleId="165">
    <w:name w:val="样式 标题 4 + 宋体 小四 非加粗"/>
    <w:basedOn w:val="6"/>
    <w:qFormat/>
    <w:uiPriority w:val="0"/>
    <w:rPr>
      <w:rFonts w:ascii="宋体" w:hAnsi="宋体" w:eastAsia="宋体"/>
      <w:b w:val="0"/>
      <w:bCs w:val="0"/>
      <w:sz w:val="24"/>
    </w:rPr>
  </w:style>
  <w:style w:type="paragraph" w:customStyle="1" w:styleId="166">
    <w:name w:val="节（修改）"/>
    <w:basedOn w:val="1"/>
    <w:qFormat/>
    <w:uiPriority w:val="0"/>
    <w:pPr>
      <w:widowControl w:val="0"/>
      <w:spacing w:before="240" w:after="240" w:line="360" w:lineRule="auto"/>
      <w:outlineLvl w:val="3"/>
    </w:pPr>
    <w:rPr>
      <w:rFonts w:ascii="Tahoma" w:hAnsi="Tahoma" w:eastAsia="黑体"/>
      <w:b/>
      <w:kern w:val="2"/>
      <w:sz w:val="32"/>
    </w:rPr>
  </w:style>
  <w:style w:type="paragraph" w:customStyle="1" w:styleId="167">
    <w:name w:val="123"/>
    <w:basedOn w:val="1"/>
    <w:qFormat/>
    <w:uiPriority w:val="0"/>
    <w:pPr>
      <w:keepNext/>
      <w:keepLines/>
      <w:widowControl w:val="0"/>
      <w:spacing w:before="340" w:after="330" w:line="576" w:lineRule="auto"/>
      <w:outlineLvl w:val="0"/>
    </w:pPr>
    <w:rPr>
      <w:rFonts w:ascii="黑体" w:hAnsi="宋体" w:eastAsia="黑体"/>
      <w:bCs/>
      <w:kern w:val="44"/>
      <w:sz w:val="32"/>
      <w:szCs w:val="32"/>
    </w:rPr>
  </w:style>
  <w:style w:type="paragraph" w:customStyle="1" w:styleId="168">
    <w:name w:val="标题22222"/>
    <w:basedOn w:val="1"/>
    <w:qFormat/>
    <w:uiPriority w:val="0"/>
    <w:pPr>
      <w:widowControl w:val="0"/>
      <w:spacing w:line="500" w:lineRule="exact"/>
      <w:jc w:val="both"/>
    </w:pPr>
    <w:rPr>
      <w:rFonts w:eastAsia="仿宋_GB2312"/>
      <w:kern w:val="2"/>
      <w:sz w:val="24"/>
      <w:szCs w:val="24"/>
    </w:rPr>
  </w:style>
  <w:style w:type="paragraph" w:customStyle="1" w:styleId="169">
    <w:name w:val="Char Char Char1 Char Char Char Char Char Char Char Char Char Char"/>
    <w:basedOn w:val="1"/>
    <w:next w:val="1"/>
    <w:qFormat/>
    <w:uiPriority w:val="0"/>
    <w:pPr>
      <w:widowControl w:val="0"/>
      <w:spacing w:line="360" w:lineRule="auto"/>
      <w:ind w:firstLine="200" w:firstLineChars="200"/>
      <w:jc w:val="both"/>
    </w:pPr>
    <w:rPr>
      <w:rFonts w:ascii="宋体" w:hAnsi="宋体" w:cs="宋体"/>
      <w:kern w:val="2"/>
      <w:sz w:val="24"/>
      <w:szCs w:val="24"/>
    </w:rPr>
  </w:style>
  <w:style w:type="paragraph" w:customStyle="1" w:styleId="17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171">
    <w:name w:val="样式 标题 3 + 黑体 加粗3"/>
    <w:basedOn w:val="5"/>
    <w:qFormat/>
    <w:uiPriority w:val="0"/>
    <w:pPr>
      <w:widowControl w:val="0"/>
      <w:spacing w:line="360" w:lineRule="auto"/>
    </w:pPr>
    <w:rPr>
      <w:rFonts w:hAnsi="黑体" w:eastAsia="黑体"/>
      <w:b w:val="0"/>
      <w:color w:val="000000"/>
      <w:kern w:val="2"/>
      <w:sz w:val="28"/>
      <w:szCs w:val="28"/>
    </w:rPr>
  </w:style>
  <w:style w:type="character" w:customStyle="1" w:styleId="172">
    <w:name w:val="_表内容_土地复垦 Char"/>
    <w:link w:val="173"/>
    <w:qFormat/>
    <w:locked/>
    <w:uiPriority w:val="0"/>
    <w:rPr>
      <w:rFonts w:ascii="仿宋_GB2312" w:eastAsia="仿宋_GB2312"/>
      <w:szCs w:val="24"/>
    </w:rPr>
  </w:style>
  <w:style w:type="paragraph" w:customStyle="1" w:styleId="173">
    <w:name w:val="_表内容_土地复垦"/>
    <w:link w:val="172"/>
    <w:qFormat/>
    <w:uiPriority w:val="0"/>
    <w:pPr>
      <w:jc w:val="center"/>
    </w:pPr>
    <w:rPr>
      <w:rFonts w:ascii="仿宋_GB2312" w:eastAsia="仿宋_GB2312" w:hAnsiTheme="minorHAnsi" w:cstheme="minorBidi"/>
      <w:kern w:val="2"/>
      <w:sz w:val="21"/>
      <w:szCs w:val="24"/>
      <w:lang w:val="en-US" w:eastAsia="zh-CN" w:bidi="ar-SA"/>
    </w:rPr>
  </w:style>
  <w:style w:type="paragraph" w:customStyle="1" w:styleId="174">
    <w:name w:val="正文一"/>
    <w:basedOn w:val="22"/>
    <w:qFormat/>
    <w:uiPriority w:val="0"/>
    <w:pPr>
      <w:ind w:firstLine="560"/>
    </w:pPr>
    <w:rPr>
      <w:rFonts w:ascii="宋体" w:hAnsi="宋体"/>
      <w:sz w:val="28"/>
      <w:szCs w:val="20"/>
    </w:rPr>
  </w:style>
  <w:style w:type="paragraph" w:customStyle="1" w:styleId="175">
    <w:name w:val="Char Char Char1 Char Char Char Char"/>
    <w:basedOn w:val="1"/>
    <w:qFormat/>
    <w:uiPriority w:val="0"/>
    <w:pPr>
      <w:widowControl w:val="0"/>
      <w:spacing w:line="360" w:lineRule="auto"/>
      <w:ind w:firstLine="200" w:firstLineChars="200"/>
      <w:jc w:val="both"/>
    </w:pPr>
    <w:rPr>
      <w:rFonts w:ascii="宋体" w:hAnsi="宋体" w:cs="宋体"/>
      <w:kern w:val="2"/>
      <w:sz w:val="24"/>
      <w:szCs w:val="24"/>
    </w:rPr>
  </w:style>
  <w:style w:type="paragraph" w:customStyle="1" w:styleId="176">
    <w:name w:val="默认段落字体 Para Char Char Char Char Char Char Char Char Char3 Char Char Char Char"/>
    <w:basedOn w:val="17"/>
    <w:qFormat/>
    <w:uiPriority w:val="0"/>
    <w:pPr>
      <w:widowControl w:val="0"/>
      <w:shd w:val="clear" w:color="auto" w:fill="000080"/>
      <w:adjustRightInd w:val="0"/>
      <w:spacing w:line="240" w:lineRule="exact"/>
      <w:ind w:left="357"/>
      <w:outlineLvl w:val="3"/>
    </w:pPr>
    <w:rPr>
      <w:rFonts w:ascii="Tahoma" w:hAnsi="Tahoma"/>
      <w:kern w:val="2"/>
      <w:sz w:val="21"/>
      <w:szCs w:val="21"/>
    </w:rPr>
  </w:style>
  <w:style w:type="paragraph" w:customStyle="1" w:styleId="177">
    <w:name w:val="标题B"/>
    <w:qFormat/>
    <w:uiPriority w:val="0"/>
    <w:pPr>
      <w:adjustRightInd w:val="0"/>
      <w:spacing w:beforeLines="50" w:line="720" w:lineRule="auto"/>
      <w:ind w:firstLine="200" w:firstLineChars="200"/>
      <w:outlineLvl w:val="1"/>
    </w:pPr>
    <w:rPr>
      <w:rFonts w:ascii="Times New Roman" w:hAnsi="Times New Roman" w:eastAsia="宋体" w:cs="Plotter"/>
      <w:b/>
      <w:sz w:val="30"/>
      <w:lang w:val="en-US" w:eastAsia="zh-CN" w:bidi="ar-SA"/>
    </w:rPr>
  </w:style>
  <w:style w:type="paragraph" w:customStyle="1" w:styleId="178">
    <w:name w:val="表头++"/>
    <w:basedOn w:val="1"/>
    <w:qFormat/>
    <w:uiPriority w:val="0"/>
    <w:pPr>
      <w:widowControl w:val="0"/>
      <w:spacing w:before="120"/>
    </w:pPr>
    <w:rPr>
      <w:rFonts w:hAnsi="宋体"/>
      <w:b/>
      <w:sz w:val="24"/>
      <w:szCs w:val="24"/>
    </w:rPr>
  </w:style>
  <w:style w:type="character" w:customStyle="1" w:styleId="179">
    <w:name w:val="说明书正文 Char"/>
    <w:link w:val="180"/>
    <w:qFormat/>
    <w:locked/>
    <w:uiPriority w:val="0"/>
    <w:rPr>
      <w:rFonts w:ascii="仿宋_GB2312" w:eastAsia="仿宋_GB2312"/>
      <w:color w:val="000000"/>
      <w:sz w:val="30"/>
      <w:szCs w:val="24"/>
    </w:rPr>
  </w:style>
  <w:style w:type="paragraph" w:customStyle="1" w:styleId="180">
    <w:name w:val="说明书正文"/>
    <w:basedOn w:val="1"/>
    <w:link w:val="179"/>
    <w:qFormat/>
    <w:uiPriority w:val="0"/>
    <w:pPr>
      <w:widowControl w:val="0"/>
      <w:spacing w:line="480" w:lineRule="exact"/>
      <w:ind w:firstLine="600" w:firstLineChars="200"/>
      <w:jc w:val="both"/>
    </w:pPr>
    <w:rPr>
      <w:rFonts w:ascii="仿宋_GB2312" w:eastAsia="仿宋_GB2312" w:hAnsiTheme="minorHAnsi" w:cstheme="minorBidi"/>
      <w:color w:val="000000"/>
      <w:kern w:val="2"/>
      <w:sz w:val="30"/>
      <w:szCs w:val="24"/>
    </w:rPr>
  </w:style>
  <w:style w:type="character" w:customStyle="1" w:styleId="181">
    <w:name w:val="样式 样式 标题 1 + 黑体 加粗 + Times New Roman 非加粗 Char"/>
    <w:link w:val="182"/>
    <w:qFormat/>
    <w:locked/>
    <w:uiPriority w:val="0"/>
    <w:rPr>
      <w:rFonts w:ascii="黑体" w:hAnsi="黑体" w:eastAsia="黑体"/>
      <w:kern w:val="44"/>
      <w:sz w:val="32"/>
      <w:szCs w:val="32"/>
    </w:rPr>
  </w:style>
  <w:style w:type="paragraph" w:customStyle="1" w:styleId="182">
    <w:name w:val="样式 样式 标题 1 + 黑体 加粗 + Times New Roman 非加粗"/>
    <w:basedOn w:val="1"/>
    <w:link w:val="181"/>
    <w:qFormat/>
    <w:uiPriority w:val="0"/>
    <w:pPr>
      <w:keepNext/>
      <w:keepLines/>
      <w:widowControl w:val="0"/>
      <w:spacing w:before="340" w:after="330" w:line="576" w:lineRule="auto"/>
      <w:outlineLvl w:val="0"/>
    </w:pPr>
    <w:rPr>
      <w:rFonts w:ascii="黑体" w:hAnsi="黑体" w:eastAsia="黑体" w:cstheme="minorBidi"/>
      <w:kern w:val="44"/>
      <w:sz w:val="32"/>
      <w:szCs w:val="32"/>
    </w:rPr>
  </w:style>
  <w:style w:type="character" w:customStyle="1" w:styleId="183">
    <w:name w:val="样式 图标标题 + 黑体 Char"/>
    <w:link w:val="184"/>
    <w:qFormat/>
    <w:locked/>
    <w:uiPriority w:val="0"/>
    <w:rPr>
      <w:rFonts w:ascii="黑体" w:hAnsi="黑体" w:eastAsia="黑体" w:cs="宋体"/>
      <w:sz w:val="24"/>
    </w:rPr>
  </w:style>
  <w:style w:type="paragraph" w:customStyle="1" w:styleId="184">
    <w:name w:val="样式 图标标题 + 黑体"/>
    <w:basedOn w:val="108"/>
    <w:link w:val="183"/>
    <w:qFormat/>
    <w:uiPriority w:val="0"/>
  </w:style>
  <w:style w:type="paragraph" w:customStyle="1" w:styleId="185">
    <w:name w:val="节标题"/>
    <w:basedOn w:val="1"/>
    <w:next w:val="1"/>
    <w:qFormat/>
    <w:uiPriority w:val="0"/>
    <w:pPr>
      <w:widowControl w:val="0"/>
      <w:autoSpaceDE w:val="0"/>
      <w:autoSpaceDN w:val="0"/>
      <w:adjustRightInd w:val="0"/>
      <w:spacing w:line="289" w:lineRule="atLeast"/>
      <w:jc w:val="center"/>
    </w:pPr>
    <w:rPr>
      <w:color w:val="000000"/>
      <w:sz w:val="28"/>
      <w:szCs w:val="21"/>
    </w:rPr>
  </w:style>
  <w:style w:type="paragraph" w:customStyle="1" w:styleId="186">
    <w:name w:val="表格2"/>
    <w:basedOn w:val="1"/>
    <w:qFormat/>
    <w:uiPriority w:val="0"/>
    <w:pPr>
      <w:widowControl w:val="0"/>
      <w:autoSpaceDE w:val="0"/>
      <w:autoSpaceDN w:val="0"/>
      <w:adjustRightInd w:val="0"/>
      <w:spacing w:line="360" w:lineRule="exact"/>
      <w:ind w:firstLine="1470" w:firstLineChars="525"/>
      <w:jc w:val="both"/>
    </w:pPr>
    <w:rPr>
      <w:rFonts w:ascii="宋体" w:hAnsi="宋体"/>
      <w:sz w:val="28"/>
    </w:rPr>
  </w:style>
  <w:style w:type="character" w:customStyle="1" w:styleId="187">
    <w:name w:val="表标题 Char"/>
    <w:link w:val="188"/>
    <w:qFormat/>
    <w:locked/>
    <w:uiPriority w:val="0"/>
    <w:rPr>
      <w:b/>
      <w:sz w:val="24"/>
      <w:szCs w:val="24"/>
    </w:rPr>
  </w:style>
  <w:style w:type="paragraph" w:customStyle="1" w:styleId="188">
    <w:name w:val="表标题"/>
    <w:basedOn w:val="1"/>
    <w:link w:val="187"/>
    <w:qFormat/>
    <w:uiPriority w:val="0"/>
    <w:pPr>
      <w:widowControl w:val="0"/>
      <w:jc w:val="center"/>
    </w:pPr>
    <w:rPr>
      <w:rFonts w:asciiTheme="minorHAnsi" w:hAnsiTheme="minorHAnsi" w:eastAsiaTheme="minorEastAsia" w:cstheme="minorBidi"/>
      <w:b/>
      <w:kern w:val="2"/>
      <w:sz w:val="24"/>
      <w:szCs w:val="24"/>
    </w:rPr>
  </w:style>
  <w:style w:type="paragraph" w:customStyle="1" w:styleId="189">
    <w:name w:val="Char Char2"/>
    <w:basedOn w:val="1"/>
    <w:qFormat/>
    <w:uiPriority w:val="0"/>
    <w:pPr>
      <w:widowControl w:val="0"/>
      <w:jc w:val="both"/>
    </w:pPr>
    <w:rPr>
      <w:kern w:val="2"/>
      <w:sz w:val="21"/>
      <w:szCs w:val="24"/>
    </w:rPr>
  </w:style>
  <w:style w:type="character" w:customStyle="1" w:styleId="190">
    <w:name w:val="070707正文样式 Char"/>
    <w:link w:val="191"/>
    <w:qFormat/>
    <w:locked/>
    <w:uiPriority w:val="0"/>
    <w:rPr>
      <w:rFonts w:ascii="宋体" w:hAnsi="宋体" w:eastAsia="宋体"/>
      <w:sz w:val="28"/>
      <w:szCs w:val="28"/>
    </w:rPr>
  </w:style>
  <w:style w:type="paragraph" w:customStyle="1" w:styleId="191">
    <w:name w:val="070707正文样式"/>
    <w:basedOn w:val="41"/>
    <w:link w:val="190"/>
    <w:qFormat/>
    <w:uiPriority w:val="0"/>
    <w:pPr>
      <w:autoSpaceDE/>
      <w:autoSpaceDN/>
      <w:snapToGrid w:val="0"/>
      <w:spacing w:line="360" w:lineRule="auto"/>
      <w:ind w:right="0" w:firstLine="560"/>
    </w:pPr>
    <w:rPr>
      <w:rFonts w:ascii="宋体" w:hAnsi="宋体" w:cstheme="minorBidi"/>
      <w:kern w:val="2"/>
      <w:sz w:val="28"/>
      <w:szCs w:val="28"/>
    </w:rPr>
  </w:style>
  <w:style w:type="paragraph" w:customStyle="1" w:styleId="192">
    <w:name w:val="列出段落1"/>
    <w:basedOn w:val="1"/>
    <w:qFormat/>
    <w:uiPriority w:val="0"/>
    <w:pPr>
      <w:widowControl w:val="0"/>
      <w:ind w:firstLine="420" w:firstLineChars="200"/>
      <w:jc w:val="both"/>
    </w:pPr>
    <w:rPr>
      <w:kern w:val="2"/>
      <w:sz w:val="21"/>
      <w:szCs w:val="21"/>
    </w:rPr>
  </w:style>
  <w:style w:type="paragraph" w:customStyle="1" w:styleId="193">
    <w:name w:val="正文28磅 Char Char1"/>
    <w:qFormat/>
    <w:uiPriority w:val="0"/>
    <w:pPr>
      <w:spacing w:line="560" w:lineRule="exact"/>
      <w:ind w:firstLine="538" w:firstLineChars="192"/>
    </w:pPr>
    <w:rPr>
      <w:rFonts w:ascii="Times New Roman" w:hAnsi="Times New Roman" w:eastAsia="宋体" w:cs="宋体"/>
      <w:kern w:val="28"/>
      <w:sz w:val="28"/>
      <w:szCs w:val="28"/>
      <w:lang w:val="en-GB" w:eastAsia="zh-CN" w:bidi="ar-SA"/>
    </w:rPr>
  </w:style>
  <w:style w:type="character" w:customStyle="1" w:styleId="194">
    <w:name w:val="表头样式 Char"/>
    <w:link w:val="195"/>
    <w:qFormat/>
    <w:locked/>
    <w:uiPriority w:val="0"/>
    <w:rPr>
      <w:rFonts w:ascii="宋体" w:hAnsi="宋体" w:eastAsia="宋体"/>
      <w:sz w:val="28"/>
      <w:szCs w:val="28"/>
    </w:rPr>
  </w:style>
  <w:style w:type="paragraph" w:customStyle="1" w:styleId="195">
    <w:name w:val="表头样式"/>
    <w:basedOn w:val="1"/>
    <w:link w:val="194"/>
    <w:qFormat/>
    <w:uiPriority w:val="0"/>
    <w:pPr>
      <w:widowControl w:val="0"/>
      <w:wordWrap w:val="0"/>
      <w:adjustRightInd w:val="0"/>
      <w:snapToGrid w:val="0"/>
      <w:spacing w:line="360" w:lineRule="auto"/>
      <w:ind w:firstLine="599" w:firstLineChars="214"/>
      <w:jc w:val="both"/>
    </w:pPr>
    <w:rPr>
      <w:rFonts w:ascii="宋体" w:hAnsi="宋体" w:cstheme="minorBidi"/>
      <w:kern w:val="2"/>
      <w:sz w:val="28"/>
      <w:szCs w:val="28"/>
    </w:rPr>
  </w:style>
  <w:style w:type="paragraph" w:customStyle="1" w:styleId="196">
    <w:name w:val="WPSOffice手动目录 1"/>
    <w:qFormat/>
    <w:uiPriority w:val="0"/>
    <w:rPr>
      <w:rFonts w:ascii="Times New Roman" w:hAnsi="Times New Roman" w:eastAsia="宋体" w:cs="Times New Roman"/>
      <w:lang w:val="en-US" w:eastAsia="zh-CN" w:bidi="ar-SA"/>
    </w:rPr>
  </w:style>
  <w:style w:type="paragraph" w:customStyle="1" w:styleId="197">
    <w:name w:val="1"/>
    <w:basedOn w:val="1"/>
    <w:next w:val="1"/>
    <w:qFormat/>
    <w:uiPriority w:val="0"/>
    <w:pPr>
      <w:widowControl w:val="0"/>
      <w:spacing w:after="120"/>
      <w:ind w:left="420" w:leftChars="200"/>
      <w:jc w:val="both"/>
    </w:pPr>
    <w:rPr>
      <w:kern w:val="2"/>
      <w:sz w:val="21"/>
      <w:szCs w:val="24"/>
    </w:rPr>
  </w:style>
  <w:style w:type="character" w:customStyle="1" w:styleId="198">
    <w:name w:val="表头1 Char"/>
    <w:link w:val="199"/>
    <w:qFormat/>
    <w:locked/>
    <w:uiPriority w:val="0"/>
    <w:rPr>
      <w:rFonts w:ascii="宋体" w:hAnsi="宋体" w:eastAsia="黑体" w:cs="宋体"/>
      <w:bCs/>
      <w:color w:val="000000"/>
      <w:sz w:val="24"/>
      <w:szCs w:val="26"/>
    </w:rPr>
  </w:style>
  <w:style w:type="paragraph" w:customStyle="1" w:styleId="199">
    <w:name w:val="表头1"/>
    <w:link w:val="198"/>
    <w:qFormat/>
    <w:uiPriority w:val="0"/>
    <w:pPr>
      <w:spacing w:before="10"/>
    </w:pPr>
    <w:rPr>
      <w:rFonts w:ascii="宋体" w:hAnsi="宋体" w:eastAsia="黑体" w:cs="宋体"/>
      <w:bCs/>
      <w:color w:val="000000"/>
      <w:kern w:val="2"/>
      <w:sz w:val="24"/>
      <w:szCs w:val="26"/>
      <w:lang w:val="en-US" w:eastAsia="zh-CN" w:bidi="ar-SA"/>
    </w:rPr>
  </w:style>
  <w:style w:type="paragraph" w:customStyle="1" w:styleId="200">
    <w:name w:val="样式 表头1 + 自动设置"/>
    <w:basedOn w:val="1"/>
    <w:qFormat/>
    <w:uiPriority w:val="0"/>
    <w:pPr>
      <w:spacing w:before="10"/>
    </w:pPr>
    <w:rPr>
      <w:rFonts w:eastAsia="黑体"/>
      <w:kern w:val="2"/>
      <w:sz w:val="28"/>
    </w:rPr>
  </w:style>
  <w:style w:type="paragraph" w:customStyle="1" w:styleId="201">
    <w:name w:val="Char"/>
    <w:basedOn w:val="1"/>
    <w:link w:val="202"/>
    <w:qFormat/>
    <w:uiPriority w:val="0"/>
    <w:pPr>
      <w:widowControl w:val="0"/>
      <w:snapToGrid w:val="0"/>
      <w:spacing w:line="360" w:lineRule="auto"/>
      <w:ind w:firstLine="200" w:firstLineChars="200"/>
      <w:jc w:val="both"/>
    </w:pPr>
    <w:rPr>
      <w:rFonts w:eastAsia="仿宋_GB2312"/>
      <w:sz w:val="24"/>
      <w:szCs w:val="28"/>
    </w:rPr>
  </w:style>
  <w:style w:type="character" w:customStyle="1" w:styleId="202">
    <w:name w:val="Char Char22"/>
    <w:link w:val="201"/>
    <w:qFormat/>
    <w:locked/>
    <w:uiPriority w:val="0"/>
    <w:rPr>
      <w:rFonts w:ascii="Times New Roman" w:hAnsi="Times New Roman" w:eastAsia="仿宋_GB2312" w:cs="Times New Roman"/>
      <w:kern w:val="0"/>
      <w:sz w:val="24"/>
      <w:szCs w:val="28"/>
    </w:rPr>
  </w:style>
  <w:style w:type="paragraph" w:customStyle="1" w:styleId="203">
    <w:name w:val="样式 标题 2 + 加粗2"/>
    <w:basedOn w:val="4"/>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204">
    <w:name w:val="表内－中5"/>
    <w:qFormat/>
    <w:uiPriority w:val="0"/>
    <w:pPr>
      <w:spacing w:line="360" w:lineRule="exact"/>
      <w:jc w:val="center"/>
    </w:pPr>
    <w:rPr>
      <w:rFonts w:ascii="Times New Roman" w:hAnsi="Times New Roman" w:eastAsia="宋体" w:cs="Times New Roman"/>
      <w:kern w:val="2"/>
      <w:sz w:val="21"/>
      <w:szCs w:val="21"/>
      <w:lang w:val="en-GB" w:eastAsia="zh-CN" w:bidi="ar-SA"/>
    </w:rPr>
  </w:style>
  <w:style w:type="character" w:customStyle="1" w:styleId="205">
    <w:name w:val="样式 标题 4 + 宋体 小四 非加粗1 Char"/>
    <w:link w:val="206"/>
    <w:qFormat/>
    <w:locked/>
    <w:uiPriority w:val="0"/>
    <w:rPr>
      <w:rFonts w:ascii="宋体" w:hAnsi="宋体" w:eastAsia="宋体"/>
      <w:bCs/>
      <w:sz w:val="24"/>
      <w:szCs w:val="28"/>
    </w:rPr>
  </w:style>
  <w:style w:type="paragraph" w:customStyle="1" w:styleId="206">
    <w:name w:val="样式 标题 4 + 宋体 小四 非加粗1"/>
    <w:basedOn w:val="6"/>
    <w:link w:val="205"/>
    <w:qFormat/>
    <w:uiPriority w:val="0"/>
    <w:pPr>
      <w:spacing w:before="120" w:after="120" w:line="240" w:lineRule="auto"/>
    </w:pPr>
    <w:rPr>
      <w:rFonts w:ascii="宋体" w:hAnsi="宋体" w:eastAsia="宋体" w:cstheme="minorBidi"/>
      <w:b w:val="0"/>
      <w:sz w:val="24"/>
    </w:rPr>
  </w:style>
  <w:style w:type="paragraph" w:customStyle="1" w:styleId="207">
    <w:name w:val="Char2"/>
    <w:basedOn w:val="1"/>
    <w:qFormat/>
    <w:uiPriority w:val="0"/>
    <w:pPr>
      <w:widowControl w:val="0"/>
      <w:tabs>
        <w:tab w:val="left" w:pos="4665"/>
        <w:tab w:val="left" w:pos="8970"/>
      </w:tabs>
      <w:spacing w:line="480" w:lineRule="exact"/>
      <w:ind w:firstLine="400" w:firstLineChars="200"/>
      <w:jc w:val="both"/>
    </w:pPr>
    <w:rPr>
      <w:rFonts w:ascii="Tahoma" w:hAnsi="Tahoma"/>
      <w:kern w:val="2"/>
      <w:sz w:val="24"/>
    </w:rPr>
  </w:style>
  <w:style w:type="character" w:customStyle="1" w:styleId="208">
    <w:name w:val="标题3 Char"/>
    <w:link w:val="209"/>
    <w:qFormat/>
    <w:locked/>
    <w:uiPriority w:val="0"/>
    <w:rPr>
      <w:rFonts w:ascii="宋体" w:hAnsi="宋体" w:eastAsia="宋体" w:cs="宋体"/>
      <w:b/>
      <w:bCs/>
      <w:color w:val="000000"/>
      <w:kern w:val="28"/>
      <w:sz w:val="28"/>
      <w:szCs w:val="26"/>
      <w:u w:color="000000"/>
      <w:lang w:val="en-GB"/>
    </w:rPr>
  </w:style>
  <w:style w:type="paragraph" w:customStyle="1" w:styleId="209">
    <w:name w:val="标题3"/>
    <w:basedOn w:val="148"/>
    <w:link w:val="208"/>
    <w:qFormat/>
    <w:uiPriority w:val="0"/>
    <w:pPr>
      <w:spacing w:before="120" w:after="120"/>
      <w:ind w:firstLine="562"/>
    </w:pPr>
    <w:rPr>
      <w:rFonts w:ascii="宋体" w:hAnsi="宋体" w:eastAsia="宋体" w:cs="宋体"/>
      <w:b/>
      <w:bCs/>
      <w:szCs w:val="26"/>
    </w:rPr>
  </w:style>
  <w:style w:type="paragraph" w:customStyle="1" w:styleId="210">
    <w:name w:val="附录章标题"/>
    <w:next w:val="1"/>
    <w:qFormat/>
    <w:uiPriority w:val="0"/>
    <w:pPr>
      <w:wordWrap w:val="0"/>
      <w:overflowPunct w:val="0"/>
      <w:autoSpaceDE w:val="0"/>
      <w:spacing w:beforeLines="50"/>
      <w:jc w:val="both"/>
      <w:outlineLvl w:val="1"/>
    </w:pPr>
    <w:rPr>
      <w:rFonts w:ascii="黑体" w:hAnsi="Times New Roman" w:eastAsia="黑体" w:cs="Times New Roman"/>
      <w:kern w:val="21"/>
      <w:sz w:val="21"/>
      <w:lang w:val="en-US" w:eastAsia="zh-CN" w:bidi="ar-SA"/>
    </w:rPr>
  </w:style>
  <w:style w:type="paragraph" w:customStyle="1" w:styleId="211">
    <w:name w:val="样式 小四 首行缩进:  0.85 厘米 行距: 1.5 倍行距"/>
    <w:basedOn w:val="1"/>
    <w:next w:val="1"/>
    <w:qFormat/>
    <w:uiPriority w:val="0"/>
    <w:pPr>
      <w:widowControl w:val="0"/>
      <w:adjustRightInd w:val="0"/>
      <w:spacing w:line="360" w:lineRule="auto"/>
      <w:ind w:firstLine="480"/>
      <w:jc w:val="both"/>
    </w:pPr>
    <w:rPr>
      <w:kern w:val="2"/>
      <w:sz w:val="24"/>
    </w:rPr>
  </w:style>
  <w:style w:type="paragraph" w:customStyle="1" w:styleId="212">
    <w:name w:val="070706正文样式"/>
    <w:basedOn w:val="22"/>
    <w:qFormat/>
    <w:uiPriority w:val="0"/>
    <w:pPr>
      <w:adjustRightInd w:val="0"/>
      <w:snapToGrid w:val="0"/>
      <w:spacing w:after="0" w:line="336" w:lineRule="auto"/>
      <w:ind w:left="0" w:leftChars="0" w:firstLine="480"/>
    </w:pPr>
    <w:rPr>
      <w:rFonts w:ascii="宋体" w:hAnsi="宋体"/>
      <w:sz w:val="28"/>
      <w:szCs w:val="18"/>
    </w:rPr>
  </w:style>
  <w:style w:type="character" w:customStyle="1" w:styleId="213">
    <w:name w:val="_正文格式 Char1"/>
    <w:link w:val="214"/>
    <w:qFormat/>
    <w:locked/>
    <w:uiPriority w:val="0"/>
    <w:rPr>
      <w:rFonts w:ascii="仿宋_GB2312" w:eastAsia="仿宋_GB2312"/>
      <w:sz w:val="28"/>
      <w:szCs w:val="24"/>
    </w:rPr>
  </w:style>
  <w:style w:type="paragraph" w:customStyle="1" w:styleId="214">
    <w:name w:val="_正文格式"/>
    <w:basedOn w:val="1"/>
    <w:link w:val="213"/>
    <w:qFormat/>
    <w:uiPriority w:val="0"/>
    <w:pPr>
      <w:widowControl w:val="0"/>
      <w:spacing w:line="560" w:lineRule="exact"/>
      <w:ind w:firstLine="200" w:firstLineChars="200"/>
      <w:jc w:val="both"/>
    </w:pPr>
    <w:rPr>
      <w:rFonts w:ascii="仿宋_GB2312" w:eastAsia="仿宋_GB2312" w:hAnsiTheme="minorHAnsi" w:cstheme="minorBidi"/>
      <w:kern w:val="2"/>
      <w:sz w:val="28"/>
      <w:szCs w:val="24"/>
    </w:rPr>
  </w:style>
  <w:style w:type="paragraph" w:customStyle="1" w:styleId="215">
    <w:name w:val="p0"/>
    <w:basedOn w:val="1"/>
    <w:qFormat/>
    <w:uiPriority w:val="0"/>
    <w:pPr>
      <w:spacing w:line="365" w:lineRule="atLeast"/>
      <w:ind w:left="1"/>
      <w:jc w:val="both"/>
    </w:pPr>
    <w:rPr>
      <w:szCs w:val="21"/>
    </w:rPr>
  </w:style>
  <w:style w:type="character" w:customStyle="1" w:styleId="216">
    <w:name w:val="表文字 Char1"/>
    <w:link w:val="217"/>
    <w:qFormat/>
    <w:locked/>
    <w:uiPriority w:val="0"/>
    <w:rPr>
      <w:sz w:val="24"/>
      <w:szCs w:val="24"/>
    </w:rPr>
  </w:style>
  <w:style w:type="paragraph" w:customStyle="1" w:styleId="217">
    <w:name w:val="表文字"/>
    <w:basedOn w:val="1"/>
    <w:link w:val="216"/>
    <w:qFormat/>
    <w:uiPriority w:val="0"/>
    <w:pPr>
      <w:widowControl w:val="0"/>
      <w:spacing w:line="240" w:lineRule="exact"/>
      <w:jc w:val="center"/>
    </w:pPr>
    <w:rPr>
      <w:rFonts w:asciiTheme="minorHAnsi" w:hAnsiTheme="minorHAnsi" w:eastAsiaTheme="minorEastAsia" w:cstheme="minorBidi"/>
      <w:kern w:val="2"/>
      <w:sz w:val="24"/>
      <w:szCs w:val="24"/>
    </w:rPr>
  </w:style>
  <w:style w:type="paragraph" w:customStyle="1" w:styleId="218">
    <w:name w:val="样式 标题 2 + 加粗4"/>
    <w:basedOn w:val="4"/>
    <w:qFormat/>
    <w:uiPriority w:val="0"/>
    <w:pPr>
      <w:keepNext w:val="0"/>
      <w:widowControl w:val="0"/>
      <w:spacing w:before="100" w:beforeAutospacing="1" w:after="100" w:afterAutospacing="1" w:line="360" w:lineRule="auto"/>
    </w:pPr>
    <w:rPr>
      <w:rFonts w:ascii="Times New Roman" w:hAnsi="Times New Roman" w:eastAsia="黑体"/>
      <w:b w:val="0"/>
      <w:bCs w:val="0"/>
      <w:kern w:val="44"/>
      <w:sz w:val="30"/>
      <w:szCs w:val="30"/>
    </w:rPr>
  </w:style>
  <w:style w:type="character" w:customStyle="1" w:styleId="219">
    <w:name w:val="正文格式 Char"/>
    <w:link w:val="220"/>
    <w:qFormat/>
    <w:locked/>
    <w:uiPriority w:val="0"/>
    <w:rPr>
      <w:rFonts w:ascii="仿宋_GB2312" w:eastAsia="仿宋_GB2312"/>
      <w:sz w:val="28"/>
      <w:szCs w:val="24"/>
    </w:rPr>
  </w:style>
  <w:style w:type="paragraph" w:customStyle="1" w:styleId="220">
    <w:name w:val="正文格式"/>
    <w:basedOn w:val="1"/>
    <w:link w:val="219"/>
    <w:qFormat/>
    <w:uiPriority w:val="0"/>
    <w:pPr>
      <w:widowControl w:val="0"/>
      <w:spacing w:line="480" w:lineRule="exact"/>
      <w:ind w:firstLine="560" w:firstLineChars="200"/>
      <w:jc w:val="both"/>
    </w:pPr>
    <w:rPr>
      <w:rFonts w:ascii="仿宋_GB2312" w:eastAsia="仿宋_GB2312" w:hAnsiTheme="minorHAnsi" w:cstheme="minorBidi"/>
      <w:kern w:val="2"/>
      <w:sz w:val="28"/>
      <w:szCs w:val="24"/>
    </w:rPr>
  </w:style>
  <w:style w:type="paragraph" w:customStyle="1" w:styleId="221">
    <w:name w:val="06正文_土地复垦"/>
    <w:qFormat/>
    <w:uiPriority w:val="0"/>
    <w:pPr>
      <w:spacing w:line="360" w:lineRule="auto"/>
      <w:ind w:firstLine="200" w:firstLineChars="200"/>
    </w:pPr>
    <w:rPr>
      <w:rFonts w:ascii="Times New Roman" w:hAnsi="Times New Roman" w:eastAsia="仿宋_GB2312" w:cs="宋体"/>
      <w:kern w:val="2"/>
      <w:sz w:val="24"/>
      <w:lang w:val="en-US" w:eastAsia="zh-CN" w:bidi="ar-SA"/>
    </w:rPr>
  </w:style>
  <w:style w:type="paragraph" w:customStyle="1" w:styleId="222">
    <w:name w:val="珠水正文"/>
    <w:basedOn w:val="1"/>
    <w:qFormat/>
    <w:uiPriority w:val="0"/>
    <w:pPr>
      <w:widowControl w:val="0"/>
      <w:spacing w:line="500" w:lineRule="exact"/>
      <w:ind w:firstLine="560" w:firstLineChars="200"/>
      <w:jc w:val="both"/>
    </w:pPr>
    <w:rPr>
      <w:kern w:val="28"/>
      <w:sz w:val="28"/>
      <w:szCs w:val="28"/>
    </w:rPr>
  </w:style>
  <w:style w:type="paragraph" w:customStyle="1" w:styleId="223">
    <w:name w:val="字紧0.4"/>
    <w:basedOn w:val="212"/>
    <w:qFormat/>
    <w:uiPriority w:val="0"/>
    <w:pPr>
      <w:adjustRightInd/>
      <w:snapToGrid/>
      <w:spacing w:line="360" w:lineRule="auto"/>
      <w:ind w:firstLine="528"/>
    </w:pPr>
    <w:rPr>
      <w:b/>
      <w:spacing w:val="-8"/>
      <w:sz w:val="24"/>
      <w:szCs w:val="24"/>
    </w:rPr>
  </w:style>
  <w:style w:type="character" w:customStyle="1" w:styleId="224">
    <w:name w:val="my正文 Char"/>
    <w:link w:val="225"/>
    <w:qFormat/>
    <w:locked/>
    <w:uiPriority w:val="0"/>
    <w:rPr>
      <w:sz w:val="24"/>
      <w:szCs w:val="24"/>
    </w:rPr>
  </w:style>
  <w:style w:type="paragraph" w:customStyle="1" w:styleId="225">
    <w:name w:val="my正文"/>
    <w:basedOn w:val="1"/>
    <w:link w:val="224"/>
    <w:qFormat/>
    <w:uiPriority w:val="0"/>
    <w:pPr>
      <w:widowControl w:val="0"/>
      <w:spacing w:line="500" w:lineRule="exact"/>
      <w:ind w:firstLine="200" w:firstLineChars="200"/>
      <w:jc w:val="both"/>
    </w:pPr>
    <w:rPr>
      <w:rFonts w:asciiTheme="minorHAnsi" w:hAnsiTheme="minorHAnsi" w:eastAsiaTheme="minorEastAsia" w:cstheme="minorBidi"/>
      <w:kern w:val="2"/>
      <w:sz w:val="24"/>
      <w:szCs w:val="24"/>
    </w:rPr>
  </w:style>
  <w:style w:type="paragraph" w:customStyle="1" w:styleId="226">
    <w:name w:val="2"/>
    <w:basedOn w:val="1"/>
    <w:next w:val="1"/>
    <w:qFormat/>
    <w:uiPriority w:val="0"/>
    <w:pPr>
      <w:widowControl w:val="0"/>
      <w:spacing w:line="360" w:lineRule="auto"/>
      <w:ind w:firstLine="200" w:firstLineChars="200"/>
      <w:jc w:val="both"/>
    </w:pPr>
    <w:rPr>
      <w:kern w:val="2"/>
      <w:sz w:val="24"/>
      <w:szCs w:val="24"/>
    </w:rPr>
  </w:style>
  <w:style w:type="paragraph" w:customStyle="1" w:styleId="227">
    <w:name w:val="样式 标题 2 + 首行缩进:  0 字符"/>
    <w:basedOn w:val="4"/>
    <w:qFormat/>
    <w:uiPriority w:val="0"/>
    <w:pPr>
      <w:spacing w:before="120" w:after="120" w:line="360" w:lineRule="auto"/>
      <w:jc w:val="both"/>
    </w:pPr>
    <w:rPr>
      <w:rFonts w:ascii="Times New Roman" w:hAnsi="Times New Roman"/>
      <w:bCs w:val="0"/>
      <w:color w:val="000000"/>
      <w:kern w:val="2"/>
      <w:sz w:val="30"/>
      <w:szCs w:val="30"/>
    </w:rPr>
  </w:style>
  <w:style w:type="character" w:customStyle="1" w:styleId="228">
    <w:name w:val="正文3 Char"/>
    <w:link w:val="229"/>
    <w:qFormat/>
    <w:locked/>
    <w:uiPriority w:val="0"/>
    <w:rPr>
      <w:rFonts w:ascii="宋体" w:hAnsi="宋体" w:eastAsia="宋体" w:cs="宋体"/>
      <w:sz w:val="24"/>
      <w:szCs w:val="24"/>
    </w:rPr>
  </w:style>
  <w:style w:type="paragraph" w:customStyle="1" w:styleId="229">
    <w:name w:val="正文3"/>
    <w:basedOn w:val="1"/>
    <w:next w:val="1"/>
    <w:link w:val="228"/>
    <w:qFormat/>
    <w:uiPriority w:val="0"/>
    <w:pPr>
      <w:widowControl w:val="0"/>
      <w:spacing w:line="500" w:lineRule="exact"/>
      <w:ind w:firstLine="200" w:firstLineChars="200"/>
      <w:jc w:val="both"/>
    </w:pPr>
    <w:rPr>
      <w:rFonts w:ascii="宋体" w:hAnsi="宋体" w:cs="宋体"/>
      <w:kern w:val="2"/>
      <w:sz w:val="24"/>
      <w:szCs w:val="24"/>
    </w:rPr>
  </w:style>
  <w:style w:type="paragraph" w:customStyle="1" w:styleId="230">
    <w:name w:val="纯文本1"/>
    <w:basedOn w:val="1"/>
    <w:qFormat/>
    <w:uiPriority w:val="0"/>
    <w:pPr>
      <w:widowControl w:val="0"/>
      <w:adjustRightInd w:val="0"/>
      <w:jc w:val="both"/>
    </w:pPr>
    <w:rPr>
      <w:rFonts w:ascii="宋体" w:hAnsi="Courier New"/>
      <w:kern w:val="2"/>
      <w:sz w:val="21"/>
    </w:rPr>
  </w:style>
  <w:style w:type="paragraph" w:customStyle="1" w:styleId="231">
    <w:name w:val="封面首行"/>
    <w:basedOn w:val="1"/>
    <w:qFormat/>
    <w:uiPriority w:val="0"/>
    <w:pPr>
      <w:widowControl w:val="0"/>
      <w:spacing w:beforeLines="700" w:line="700" w:lineRule="exact"/>
      <w:jc w:val="center"/>
    </w:pPr>
    <w:rPr>
      <w:b/>
      <w:spacing w:val="20"/>
      <w:kern w:val="2"/>
      <w:sz w:val="52"/>
      <w:szCs w:val="21"/>
    </w:rPr>
  </w:style>
  <w:style w:type="character" w:customStyle="1" w:styleId="232">
    <w:name w:val="字紧0.3 Char"/>
    <w:link w:val="233"/>
    <w:qFormat/>
    <w:locked/>
    <w:uiPriority w:val="0"/>
    <w:rPr>
      <w:rFonts w:ascii="宋体" w:hAnsi="宋体" w:eastAsia="宋体"/>
      <w:spacing w:val="-6"/>
      <w:sz w:val="28"/>
      <w:lang w:val="zh-CN"/>
    </w:rPr>
  </w:style>
  <w:style w:type="paragraph" w:customStyle="1" w:styleId="233">
    <w:name w:val="字紧0.3"/>
    <w:basedOn w:val="1"/>
    <w:link w:val="232"/>
    <w:qFormat/>
    <w:uiPriority w:val="0"/>
    <w:pPr>
      <w:widowControl w:val="0"/>
      <w:adjustRightInd w:val="0"/>
      <w:snapToGrid w:val="0"/>
      <w:spacing w:line="540" w:lineRule="exact"/>
      <w:ind w:firstLine="536" w:firstLineChars="200"/>
      <w:jc w:val="both"/>
    </w:pPr>
    <w:rPr>
      <w:rFonts w:ascii="宋体" w:hAnsi="宋体" w:cstheme="minorBidi"/>
      <w:spacing w:val="-6"/>
      <w:kern w:val="2"/>
      <w:sz w:val="28"/>
      <w:szCs w:val="22"/>
      <w:lang w:val="zh-CN"/>
    </w:rPr>
  </w:style>
  <w:style w:type="paragraph" w:customStyle="1" w:styleId="234">
    <w:name w:val="234"/>
    <w:basedOn w:val="1"/>
    <w:qFormat/>
    <w:uiPriority w:val="0"/>
    <w:pPr>
      <w:widowControl w:val="0"/>
      <w:spacing w:beforeLines="100" w:afterLines="50" w:line="480" w:lineRule="auto"/>
      <w:outlineLvl w:val="1"/>
    </w:pPr>
    <w:rPr>
      <w:rFonts w:eastAsia="黑体"/>
      <w:kern w:val="2"/>
      <w:sz w:val="30"/>
      <w:szCs w:val="28"/>
    </w:rPr>
  </w:style>
  <w:style w:type="paragraph" w:customStyle="1" w:styleId="235">
    <w:name w:val="表名"/>
    <w:basedOn w:val="1"/>
    <w:link w:val="444"/>
    <w:qFormat/>
    <w:uiPriority w:val="0"/>
    <w:pPr>
      <w:widowControl w:val="0"/>
      <w:ind w:firstLine="200" w:firstLineChars="200"/>
      <w:jc w:val="both"/>
    </w:pPr>
    <w:rPr>
      <w:color w:val="000000"/>
      <w:kern w:val="2"/>
      <w:sz w:val="21"/>
      <w:szCs w:val="28"/>
    </w:rPr>
  </w:style>
  <w:style w:type="paragraph" w:customStyle="1" w:styleId="236">
    <w:name w:val="080714正文样式"/>
    <w:basedOn w:val="1"/>
    <w:qFormat/>
    <w:uiPriority w:val="0"/>
    <w:pPr>
      <w:adjustRightInd w:val="0"/>
      <w:snapToGrid w:val="0"/>
      <w:spacing w:line="336" w:lineRule="auto"/>
      <w:ind w:firstLine="225" w:firstLineChars="225"/>
      <w:jc w:val="both"/>
    </w:pPr>
    <w:rPr>
      <w:rFonts w:ascii="宋体" w:eastAsia="仿宋_GB2312"/>
      <w:color w:val="000000"/>
      <w:sz w:val="28"/>
      <w:szCs w:val="28"/>
      <w:u w:color="000000"/>
    </w:rPr>
  </w:style>
  <w:style w:type="character" w:customStyle="1" w:styleId="237">
    <w:name w:val="表首行 Char Char Char"/>
    <w:link w:val="238"/>
    <w:qFormat/>
    <w:locked/>
    <w:uiPriority w:val="0"/>
    <w:rPr>
      <w:rFonts w:ascii="宋体" w:hAnsi="宋体" w:eastAsia="宋体"/>
      <w:szCs w:val="21"/>
      <w:lang w:val="en-GB"/>
    </w:rPr>
  </w:style>
  <w:style w:type="paragraph" w:customStyle="1" w:styleId="238">
    <w:name w:val="表首行 Char Char"/>
    <w:link w:val="237"/>
    <w:qFormat/>
    <w:uiPriority w:val="0"/>
    <w:pPr>
      <w:spacing w:line="260" w:lineRule="exact"/>
      <w:ind w:firstLine="200"/>
      <w:jc w:val="both"/>
    </w:pPr>
    <w:rPr>
      <w:rFonts w:ascii="宋体" w:hAnsi="宋体" w:eastAsia="宋体" w:cstheme="minorBidi"/>
      <w:kern w:val="2"/>
      <w:sz w:val="21"/>
      <w:szCs w:val="21"/>
      <w:lang w:val="en-GB" w:eastAsia="zh-CN" w:bidi="ar-SA"/>
    </w:rPr>
  </w:style>
  <w:style w:type="paragraph" w:customStyle="1" w:styleId="239">
    <w:name w:val="标题5"/>
    <w:basedOn w:val="214"/>
    <w:qFormat/>
    <w:uiPriority w:val="0"/>
    <w:pPr>
      <w:spacing w:line="360" w:lineRule="auto"/>
      <w:ind w:firstLine="0" w:firstLineChars="0"/>
      <w:jc w:val="left"/>
    </w:pPr>
    <w:rPr>
      <w:rFonts w:ascii="宋体" w:hAnsi="宋体" w:eastAsia="宋体"/>
      <w:bCs/>
      <w:sz w:val="24"/>
    </w:rPr>
  </w:style>
  <w:style w:type="paragraph" w:customStyle="1" w:styleId="240">
    <w:name w:val="Char Char Char Char Char Char Char"/>
    <w:basedOn w:val="1"/>
    <w:qFormat/>
    <w:uiPriority w:val="0"/>
    <w:pPr>
      <w:widowControl w:val="0"/>
      <w:jc w:val="both"/>
    </w:pPr>
    <w:rPr>
      <w:kern w:val="2"/>
      <w:sz w:val="21"/>
      <w:szCs w:val="24"/>
    </w:rPr>
  </w:style>
  <w:style w:type="character" w:customStyle="1" w:styleId="241">
    <w:name w:val="文本正文 Char Char"/>
    <w:link w:val="242"/>
    <w:qFormat/>
    <w:locked/>
    <w:uiPriority w:val="0"/>
    <w:rPr>
      <w:sz w:val="28"/>
      <w:szCs w:val="28"/>
      <w:lang w:val="zh-CN"/>
    </w:rPr>
  </w:style>
  <w:style w:type="paragraph" w:customStyle="1" w:styleId="242">
    <w:name w:val="文本正文"/>
    <w:basedOn w:val="1"/>
    <w:link w:val="241"/>
    <w:qFormat/>
    <w:uiPriority w:val="0"/>
    <w:pPr>
      <w:widowControl w:val="0"/>
      <w:autoSpaceDE w:val="0"/>
      <w:autoSpaceDN w:val="0"/>
      <w:spacing w:line="560" w:lineRule="exact"/>
      <w:ind w:firstLine="560" w:firstLineChars="200"/>
      <w:jc w:val="both"/>
    </w:pPr>
    <w:rPr>
      <w:rFonts w:asciiTheme="minorHAnsi" w:hAnsiTheme="minorHAnsi" w:eastAsiaTheme="minorEastAsia" w:cstheme="minorBidi"/>
      <w:kern w:val="2"/>
      <w:sz w:val="28"/>
      <w:szCs w:val="28"/>
      <w:lang w:val="zh-CN"/>
    </w:rPr>
  </w:style>
  <w:style w:type="paragraph" w:customStyle="1" w:styleId="243">
    <w:name w:val="列出段落2"/>
    <w:basedOn w:val="1"/>
    <w:qFormat/>
    <w:uiPriority w:val="0"/>
    <w:pPr>
      <w:widowControl w:val="0"/>
      <w:ind w:firstLine="420" w:firstLineChars="200"/>
      <w:jc w:val="both"/>
    </w:pPr>
    <w:rPr>
      <w:kern w:val="2"/>
      <w:sz w:val="21"/>
      <w:szCs w:val="21"/>
    </w:rPr>
  </w:style>
  <w:style w:type="character" w:customStyle="1" w:styleId="244">
    <w:name w:val="061209正文样式 Char Char"/>
    <w:link w:val="245"/>
    <w:qFormat/>
    <w:locked/>
    <w:uiPriority w:val="0"/>
    <w:rPr>
      <w:rFonts w:ascii="宋体" w:hAnsi="宋体" w:eastAsia="宋体"/>
      <w:sz w:val="28"/>
      <w:szCs w:val="28"/>
    </w:rPr>
  </w:style>
  <w:style w:type="paragraph" w:customStyle="1" w:styleId="245">
    <w:name w:val="061209正文样式"/>
    <w:basedOn w:val="8"/>
    <w:link w:val="244"/>
    <w:qFormat/>
    <w:uiPriority w:val="0"/>
    <w:pPr>
      <w:adjustRightInd w:val="0"/>
      <w:snapToGrid w:val="0"/>
      <w:spacing w:line="360" w:lineRule="auto"/>
      <w:ind w:firstLine="600" w:firstLineChars="204"/>
    </w:pPr>
    <w:rPr>
      <w:rFonts w:ascii="宋体" w:hAnsi="宋体" w:cstheme="minorBidi"/>
      <w:sz w:val="28"/>
      <w:szCs w:val="28"/>
    </w:rPr>
  </w:style>
  <w:style w:type="character" w:customStyle="1" w:styleId="246">
    <w:name w:val="报告——正文 Char"/>
    <w:link w:val="247"/>
    <w:qFormat/>
    <w:locked/>
    <w:uiPriority w:val="0"/>
    <w:rPr>
      <w:rFonts w:ascii="仿宋_GB2312" w:eastAsia="仿宋_GB2312"/>
      <w:bCs/>
      <w:sz w:val="24"/>
      <w:szCs w:val="24"/>
    </w:rPr>
  </w:style>
  <w:style w:type="paragraph" w:customStyle="1" w:styleId="247">
    <w:name w:val="报告——正文"/>
    <w:basedOn w:val="1"/>
    <w:link w:val="246"/>
    <w:qFormat/>
    <w:uiPriority w:val="0"/>
    <w:pPr>
      <w:widowControl w:val="0"/>
      <w:spacing w:line="360" w:lineRule="auto"/>
      <w:ind w:firstLine="200" w:firstLineChars="200"/>
      <w:jc w:val="both"/>
    </w:pPr>
    <w:rPr>
      <w:rFonts w:ascii="仿宋_GB2312" w:eastAsia="仿宋_GB2312" w:hAnsiTheme="minorHAnsi" w:cstheme="minorBidi"/>
      <w:bCs/>
      <w:kern w:val="2"/>
      <w:sz w:val="24"/>
      <w:szCs w:val="24"/>
    </w:rPr>
  </w:style>
  <w:style w:type="character" w:customStyle="1" w:styleId="248">
    <w:name w:val="表格文字 Char"/>
    <w:link w:val="249"/>
    <w:qFormat/>
    <w:locked/>
    <w:uiPriority w:val="0"/>
    <w:rPr>
      <w:bCs/>
      <w:color w:val="000000"/>
      <w:kern w:val="32"/>
      <w:szCs w:val="21"/>
      <w:lang w:val="de-DE"/>
    </w:rPr>
  </w:style>
  <w:style w:type="paragraph" w:customStyle="1" w:styleId="249">
    <w:name w:val="表格文字"/>
    <w:basedOn w:val="1"/>
    <w:next w:val="1"/>
    <w:link w:val="248"/>
    <w:qFormat/>
    <w:uiPriority w:val="0"/>
    <w:pPr>
      <w:widowControl w:val="0"/>
      <w:snapToGrid w:val="0"/>
      <w:spacing w:line="300" w:lineRule="exact"/>
      <w:jc w:val="center"/>
    </w:pPr>
    <w:rPr>
      <w:rFonts w:asciiTheme="minorHAnsi" w:hAnsiTheme="minorHAnsi" w:eastAsiaTheme="minorEastAsia" w:cstheme="minorBidi"/>
      <w:bCs/>
      <w:color w:val="000000"/>
      <w:kern w:val="32"/>
      <w:sz w:val="21"/>
      <w:szCs w:val="21"/>
      <w:lang w:val="de-DE"/>
    </w:rPr>
  </w:style>
  <w:style w:type="paragraph" w:customStyle="1" w:styleId="250">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51">
    <w:name w:val="报告书正文 Char Char Char"/>
    <w:link w:val="252"/>
    <w:qFormat/>
    <w:locked/>
    <w:uiPriority w:val="0"/>
    <w:rPr>
      <w:color w:val="000000"/>
      <w:sz w:val="24"/>
      <w:szCs w:val="24"/>
    </w:rPr>
  </w:style>
  <w:style w:type="paragraph" w:customStyle="1" w:styleId="252">
    <w:name w:val="报告书正文 Char Char"/>
    <w:basedOn w:val="1"/>
    <w:link w:val="251"/>
    <w:qFormat/>
    <w:uiPriority w:val="0"/>
    <w:pPr>
      <w:widowControl w:val="0"/>
      <w:spacing w:line="300" w:lineRule="auto"/>
      <w:ind w:firstLine="480" w:firstLineChars="200"/>
      <w:jc w:val="both"/>
    </w:pPr>
    <w:rPr>
      <w:rFonts w:asciiTheme="minorHAnsi" w:hAnsiTheme="minorHAnsi" w:eastAsiaTheme="minorEastAsia" w:cstheme="minorBidi"/>
      <w:color w:val="000000"/>
      <w:kern w:val="2"/>
      <w:sz w:val="24"/>
      <w:szCs w:val="24"/>
    </w:rPr>
  </w:style>
  <w:style w:type="paragraph" w:customStyle="1" w:styleId="253">
    <w:name w:val="LW"/>
    <w:basedOn w:val="1"/>
    <w:qFormat/>
    <w:uiPriority w:val="0"/>
    <w:pPr>
      <w:widowControl w:val="0"/>
      <w:spacing w:line="560" w:lineRule="exact"/>
      <w:ind w:firstLine="560" w:firstLineChars="200"/>
      <w:jc w:val="both"/>
    </w:pPr>
    <w:rPr>
      <w:rFonts w:hAnsi="宋体" w:cs="宋体"/>
      <w:sz w:val="28"/>
      <w:lang w:val="zh-CN"/>
    </w:rPr>
  </w:style>
  <w:style w:type="character" w:customStyle="1" w:styleId="254">
    <w:name w:val="05小项 Char Char"/>
    <w:link w:val="255"/>
    <w:qFormat/>
    <w:locked/>
    <w:uiPriority w:val="0"/>
    <w:rPr>
      <w:rFonts w:ascii="仿宋_GB2312" w:eastAsia="仿宋_GB2312" w:cs="宋体"/>
      <w:sz w:val="24"/>
      <w:szCs w:val="24"/>
    </w:rPr>
  </w:style>
  <w:style w:type="paragraph" w:customStyle="1" w:styleId="255">
    <w:name w:val="05小项"/>
    <w:link w:val="254"/>
    <w:qFormat/>
    <w:uiPriority w:val="0"/>
    <w:pPr>
      <w:spacing w:line="360" w:lineRule="auto"/>
      <w:outlineLvl w:val="4"/>
    </w:pPr>
    <w:rPr>
      <w:rFonts w:ascii="仿宋_GB2312" w:eastAsia="仿宋_GB2312" w:cs="宋体" w:hAnsiTheme="minorHAnsi"/>
      <w:kern w:val="2"/>
      <w:sz w:val="24"/>
      <w:szCs w:val="24"/>
      <w:lang w:val="en-US" w:eastAsia="zh-CN" w:bidi="ar-SA"/>
    </w:rPr>
  </w:style>
  <w:style w:type="paragraph" w:customStyle="1" w:styleId="256">
    <w:name w:val="报告正文本"/>
    <w:basedOn w:val="21"/>
    <w:next w:val="1"/>
    <w:qFormat/>
    <w:uiPriority w:val="0"/>
    <w:pPr>
      <w:spacing w:after="0" w:line="240" w:lineRule="auto"/>
      <w:ind w:firstLine="425" w:firstLineChars="0"/>
      <w:jc w:val="left"/>
    </w:pPr>
    <w:rPr>
      <w:rFonts w:ascii="仿宋_GB2312" w:eastAsia="仿宋_GB2312"/>
      <w:szCs w:val="20"/>
    </w:rPr>
  </w:style>
  <w:style w:type="paragraph" w:customStyle="1" w:styleId="257">
    <w:name w:val="正文缩进两字符"/>
    <w:basedOn w:val="1"/>
    <w:qFormat/>
    <w:uiPriority w:val="0"/>
    <w:pPr>
      <w:widowControl w:val="0"/>
      <w:spacing w:line="500" w:lineRule="exact"/>
      <w:ind w:firstLine="480" w:firstLineChars="200"/>
    </w:pPr>
    <w:rPr>
      <w:rFonts w:eastAsia="仿宋_GB2312" w:cs="宋体"/>
      <w:kern w:val="2"/>
      <w:sz w:val="24"/>
    </w:rPr>
  </w:style>
  <w:style w:type="character" w:customStyle="1" w:styleId="258">
    <w:name w:val="正文1 Char"/>
    <w:link w:val="259"/>
    <w:qFormat/>
    <w:locked/>
    <w:uiPriority w:val="0"/>
    <w:rPr>
      <w:sz w:val="24"/>
    </w:rPr>
  </w:style>
  <w:style w:type="paragraph" w:customStyle="1" w:styleId="259">
    <w:name w:val="正文1"/>
    <w:basedOn w:val="1"/>
    <w:link w:val="258"/>
    <w:qFormat/>
    <w:uiPriority w:val="0"/>
    <w:pPr>
      <w:widowControl w:val="0"/>
      <w:adjustRightInd w:val="0"/>
      <w:spacing w:line="360" w:lineRule="auto"/>
      <w:ind w:firstLine="200" w:firstLineChars="200"/>
      <w:jc w:val="both"/>
    </w:pPr>
    <w:rPr>
      <w:rFonts w:asciiTheme="minorHAnsi" w:hAnsiTheme="minorHAnsi" w:eastAsiaTheme="minorEastAsia" w:cstheme="minorBidi"/>
      <w:kern w:val="2"/>
      <w:sz w:val="24"/>
      <w:szCs w:val="22"/>
    </w:rPr>
  </w:style>
  <w:style w:type="paragraph" w:customStyle="1" w:styleId="260">
    <w:name w:val="ALT+Z"/>
    <w:basedOn w:val="1"/>
    <w:qFormat/>
    <w:uiPriority w:val="0"/>
    <w:pPr>
      <w:widowControl w:val="0"/>
      <w:spacing w:line="500" w:lineRule="exact"/>
      <w:ind w:firstLine="200" w:firstLineChars="200"/>
      <w:jc w:val="both"/>
    </w:pPr>
    <w:rPr>
      <w:kern w:val="2"/>
      <w:sz w:val="24"/>
      <w:szCs w:val="24"/>
    </w:rPr>
  </w:style>
  <w:style w:type="paragraph" w:customStyle="1" w:styleId="261">
    <w:name w:val="Char Char21"/>
    <w:basedOn w:val="1"/>
    <w:qFormat/>
    <w:uiPriority w:val="0"/>
    <w:pPr>
      <w:widowControl w:val="0"/>
      <w:jc w:val="both"/>
    </w:pPr>
    <w:rPr>
      <w:kern w:val="2"/>
      <w:sz w:val="21"/>
      <w:szCs w:val="24"/>
    </w:rPr>
  </w:style>
  <w:style w:type="paragraph" w:customStyle="1" w:styleId="262">
    <w:name w:val="正文文本 21"/>
    <w:basedOn w:val="1"/>
    <w:qFormat/>
    <w:uiPriority w:val="0"/>
    <w:pPr>
      <w:widowControl w:val="0"/>
      <w:adjustRightInd w:val="0"/>
      <w:spacing w:line="360" w:lineRule="auto"/>
      <w:ind w:firstLine="560"/>
      <w:jc w:val="both"/>
    </w:pPr>
    <w:rPr>
      <w:kern w:val="2"/>
      <w:sz w:val="28"/>
    </w:rPr>
  </w:style>
  <w:style w:type="paragraph" w:customStyle="1" w:styleId="263">
    <w:name w:val="附录一级条标题"/>
    <w:basedOn w:val="210"/>
    <w:next w:val="1"/>
    <w:qFormat/>
    <w:uiPriority w:val="0"/>
    <w:pPr>
      <w:autoSpaceDN w:val="0"/>
      <w:spacing w:beforeLines="0"/>
      <w:ind w:left="900"/>
      <w:outlineLvl w:val="2"/>
    </w:pPr>
  </w:style>
  <w:style w:type="paragraph" w:customStyle="1" w:styleId="264">
    <w:name w:val="样式 标题 3 + 黑体 加粗1"/>
    <w:basedOn w:val="5"/>
    <w:qFormat/>
    <w:uiPriority w:val="0"/>
    <w:pPr>
      <w:widowControl w:val="0"/>
    </w:pPr>
    <w:rPr>
      <w:rFonts w:ascii="黑体" w:hAnsi="黑体" w:eastAsia="黑体"/>
      <w:b w:val="0"/>
      <w:color w:val="000000"/>
      <w:kern w:val="2"/>
      <w:sz w:val="28"/>
      <w:szCs w:val="28"/>
    </w:rPr>
  </w:style>
  <w:style w:type="paragraph" w:customStyle="1" w:styleId="265">
    <w:name w:val="1.2行"/>
    <w:basedOn w:val="212"/>
    <w:qFormat/>
    <w:uiPriority w:val="0"/>
    <w:pPr>
      <w:spacing w:line="288" w:lineRule="auto"/>
      <w:ind w:firstLine="560"/>
    </w:pPr>
    <w:rPr>
      <w:b/>
      <w:bCs/>
      <w:color w:val="000000"/>
      <w:kern w:val="0"/>
      <w:szCs w:val="28"/>
    </w:rPr>
  </w:style>
  <w:style w:type="paragraph" w:customStyle="1" w:styleId="266">
    <w:name w:val="Q-正文"/>
    <w:basedOn w:val="1"/>
    <w:qFormat/>
    <w:uiPriority w:val="0"/>
    <w:pPr>
      <w:widowControl w:val="0"/>
      <w:autoSpaceDE w:val="0"/>
      <w:autoSpaceDN w:val="0"/>
      <w:spacing w:line="560" w:lineRule="exact"/>
      <w:ind w:firstLine="200" w:firstLineChars="200"/>
      <w:jc w:val="both"/>
    </w:pPr>
    <w:rPr>
      <w:kern w:val="2"/>
      <w:sz w:val="28"/>
      <w:szCs w:val="28"/>
      <w:lang w:val="zh-CN"/>
    </w:rPr>
  </w:style>
  <w:style w:type="paragraph" w:customStyle="1" w:styleId="267">
    <w:name w:val="附录标识"/>
    <w:basedOn w:val="133"/>
    <w:qFormat/>
    <w:uiPriority w:val="0"/>
    <w:pPr>
      <w:tabs>
        <w:tab w:val="left" w:pos="6405"/>
      </w:tabs>
      <w:spacing w:after="200"/>
      <w:ind w:left="4620"/>
    </w:pPr>
    <w:rPr>
      <w:sz w:val="21"/>
    </w:rPr>
  </w:style>
  <w:style w:type="paragraph" w:customStyle="1" w:styleId="268">
    <w:name w:val="自正文"/>
    <w:basedOn w:val="1"/>
    <w:qFormat/>
    <w:uiPriority w:val="0"/>
    <w:pPr>
      <w:widowControl w:val="0"/>
      <w:spacing w:line="500" w:lineRule="exact"/>
      <w:ind w:firstLine="200" w:firstLineChars="200"/>
      <w:jc w:val="both"/>
    </w:pPr>
    <w:rPr>
      <w:sz w:val="24"/>
    </w:rPr>
  </w:style>
  <w:style w:type="paragraph" w:customStyle="1" w:styleId="269">
    <w:name w:val="Char Char Char"/>
    <w:basedOn w:val="1"/>
    <w:qFormat/>
    <w:uiPriority w:val="0"/>
    <w:pPr>
      <w:widowControl w:val="0"/>
      <w:jc w:val="both"/>
    </w:pPr>
    <w:rPr>
      <w:kern w:val="2"/>
      <w:sz w:val="21"/>
      <w:szCs w:val="24"/>
    </w:rPr>
  </w:style>
  <w:style w:type="paragraph" w:customStyle="1" w:styleId="270">
    <w:name w:val="样式 标题 2"/>
    <w:basedOn w:val="4"/>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paragraph" w:customStyle="1" w:styleId="271">
    <w:name w:val="_条_土地复垦"/>
    <w:qFormat/>
    <w:uiPriority w:val="0"/>
    <w:pPr>
      <w:spacing w:beforeLines="25" w:afterLines="25"/>
      <w:outlineLvl w:val="2"/>
    </w:pPr>
    <w:rPr>
      <w:rFonts w:ascii="Times New Roman" w:hAnsi="Times New Roman" w:eastAsia="黑体" w:cs="Times New Roman"/>
      <w:kern w:val="2"/>
      <w:sz w:val="28"/>
      <w:szCs w:val="28"/>
      <w:lang w:val="en-US" w:eastAsia="zh-CN" w:bidi="ar-SA"/>
    </w:rPr>
  </w:style>
  <w:style w:type="paragraph" w:customStyle="1" w:styleId="272">
    <w:name w:val="5正文形式"/>
    <w:basedOn w:val="1"/>
    <w:qFormat/>
    <w:uiPriority w:val="0"/>
    <w:pPr>
      <w:widowControl w:val="0"/>
      <w:spacing w:line="360" w:lineRule="auto"/>
      <w:ind w:firstLine="480" w:firstLineChars="200"/>
      <w:jc w:val="both"/>
    </w:pPr>
    <w:rPr>
      <w:rFonts w:ascii="仿宋_GB2312" w:hAnsi="宋体" w:eastAsia="仿宋_GB2312"/>
      <w:kern w:val="2"/>
      <w:sz w:val="24"/>
      <w:szCs w:val="24"/>
    </w:rPr>
  </w:style>
  <w:style w:type="paragraph" w:customStyle="1" w:styleId="273">
    <w:name w:val="表内－左5"/>
    <w:qFormat/>
    <w:uiPriority w:val="0"/>
    <w:pPr>
      <w:spacing w:line="260" w:lineRule="exact"/>
      <w:jc w:val="center"/>
    </w:pPr>
    <w:rPr>
      <w:rFonts w:ascii="Times New Roman" w:hAnsi="Times New Roman" w:eastAsia="宋体" w:cs="Times New Roman"/>
      <w:color w:val="0000FF"/>
      <w:kern w:val="2"/>
      <w:sz w:val="21"/>
      <w:szCs w:val="21"/>
      <w:lang w:val="en-GB" w:eastAsia="zh-CN" w:bidi="ar-SA"/>
    </w:rPr>
  </w:style>
  <w:style w:type="paragraph" w:customStyle="1" w:styleId="274">
    <w:name w:val="样式 标题 3 + 段前: 0.5 行"/>
    <w:basedOn w:val="5"/>
    <w:qFormat/>
    <w:uiPriority w:val="0"/>
    <w:pPr>
      <w:keepNext w:val="0"/>
      <w:keepLines w:val="0"/>
      <w:widowControl w:val="0"/>
      <w:tabs>
        <w:tab w:val="left" w:pos="1740"/>
      </w:tabs>
      <w:autoSpaceDE w:val="0"/>
      <w:autoSpaceDN w:val="0"/>
      <w:adjustRightInd w:val="0"/>
      <w:snapToGrid w:val="0"/>
      <w:spacing w:before="0" w:beforeLines="100" w:after="0" w:line="360" w:lineRule="auto"/>
    </w:pPr>
    <w:rPr>
      <w:rFonts w:eastAsia="黑体" w:cs="宋体"/>
      <w:b w:val="0"/>
      <w:bCs w:val="0"/>
      <w:sz w:val="30"/>
      <w:szCs w:val="30"/>
    </w:rPr>
  </w:style>
  <w:style w:type="paragraph" w:customStyle="1" w:styleId="275">
    <w:name w:val="图表标题"/>
    <w:basedOn w:val="1"/>
    <w:qFormat/>
    <w:uiPriority w:val="0"/>
    <w:pPr>
      <w:widowControl w:val="0"/>
      <w:spacing w:line="360" w:lineRule="auto"/>
      <w:jc w:val="both"/>
    </w:pPr>
    <w:rPr>
      <w:rFonts w:ascii="Arial Unicode MS" w:hAnsi="Arial Unicode MS" w:eastAsia="黑体"/>
      <w:kern w:val="2"/>
      <w:sz w:val="21"/>
      <w:szCs w:val="21"/>
    </w:rPr>
  </w:style>
  <w:style w:type="paragraph" w:customStyle="1" w:styleId="276">
    <w:name w:val="0正文"/>
    <w:basedOn w:val="22"/>
    <w:qFormat/>
    <w:uiPriority w:val="0"/>
    <w:pPr>
      <w:spacing w:after="0" w:line="300" w:lineRule="auto"/>
      <w:ind w:left="0" w:leftChars="0" w:firstLine="480"/>
    </w:pPr>
    <w:rPr>
      <w:rFonts w:cs="宋体"/>
      <w:kern w:val="0"/>
      <w:szCs w:val="20"/>
    </w:rPr>
  </w:style>
  <w:style w:type="paragraph" w:customStyle="1" w:styleId="277">
    <w:name w:val="二级标题"/>
    <w:qFormat/>
    <w:uiPriority w:val="0"/>
    <w:rPr>
      <w:rFonts w:ascii="Times New Roman" w:hAnsi="Times New Roman" w:eastAsia="黑体" w:cs="Times New Roman"/>
      <w:kern w:val="2"/>
      <w:sz w:val="30"/>
      <w:szCs w:val="32"/>
      <w:lang w:val="en-US" w:eastAsia="zh-CN" w:bidi="ar-SA"/>
    </w:rPr>
  </w:style>
  <w:style w:type="paragraph" w:customStyle="1" w:styleId="278">
    <w:name w:val="报告——表内容"/>
    <w:basedOn w:val="1"/>
    <w:qFormat/>
    <w:uiPriority w:val="0"/>
    <w:pPr>
      <w:jc w:val="center"/>
    </w:pPr>
    <w:rPr>
      <w:rFonts w:eastAsia="仿宋_GB2312"/>
      <w:sz w:val="21"/>
      <w:szCs w:val="21"/>
    </w:rPr>
  </w:style>
  <w:style w:type="character" w:customStyle="1" w:styleId="279">
    <w:name w:val="样式 首行缩进:  2 字符 Char"/>
    <w:link w:val="280"/>
    <w:qFormat/>
    <w:locked/>
    <w:uiPriority w:val="0"/>
    <w:rPr>
      <w:rFonts w:ascii="仿宋_GB2312" w:eastAsia="仿宋_GB2312" w:cs="宋体"/>
      <w:sz w:val="28"/>
    </w:rPr>
  </w:style>
  <w:style w:type="paragraph" w:customStyle="1" w:styleId="280">
    <w:name w:val="样式 首行缩进:  2 字符"/>
    <w:basedOn w:val="1"/>
    <w:link w:val="279"/>
    <w:qFormat/>
    <w:uiPriority w:val="0"/>
    <w:pPr>
      <w:widowControl w:val="0"/>
      <w:spacing w:line="300" w:lineRule="auto"/>
      <w:ind w:firstLine="200" w:firstLineChars="200"/>
      <w:jc w:val="both"/>
    </w:pPr>
    <w:rPr>
      <w:rFonts w:ascii="仿宋_GB2312" w:eastAsia="仿宋_GB2312" w:cs="宋体" w:hAnsiTheme="minorHAnsi"/>
      <w:kern w:val="2"/>
      <w:sz w:val="28"/>
      <w:szCs w:val="22"/>
    </w:rPr>
  </w:style>
  <w:style w:type="character" w:customStyle="1" w:styleId="281">
    <w:name w:val="图表题注 Char"/>
    <w:link w:val="282"/>
    <w:qFormat/>
    <w:locked/>
    <w:uiPriority w:val="0"/>
    <w:rPr>
      <w:rFonts w:ascii="黑体" w:hAnsi="黑体" w:eastAsia="黑体"/>
      <w:szCs w:val="21"/>
    </w:rPr>
  </w:style>
  <w:style w:type="paragraph" w:customStyle="1" w:styleId="282">
    <w:name w:val="图表题注"/>
    <w:basedOn w:val="16"/>
    <w:link w:val="281"/>
    <w:qFormat/>
    <w:uiPriority w:val="0"/>
    <w:pPr>
      <w:spacing w:beforeLines="50" w:line="360" w:lineRule="auto"/>
      <w:ind w:right="420"/>
      <w:jc w:val="center"/>
    </w:pPr>
    <w:rPr>
      <w:rFonts w:ascii="黑体" w:hAnsi="黑体" w:cstheme="minorBidi"/>
      <w:szCs w:val="21"/>
    </w:rPr>
  </w:style>
  <w:style w:type="paragraph" w:customStyle="1" w:styleId="283">
    <w:name w:val="实施日期"/>
    <w:basedOn w:val="1"/>
    <w:qFormat/>
    <w:uiPriority w:val="0"/>
    <w:pPr>
      <w:framePr w:w="4000" w:h="473" w:vSpace="180" w:wrap="around" w:vAnchor="margin" w:hAnchor="margin" w:xAlign="right" w:y="13511" w:anchorLock="1"/>
      <w:jc w:val="right"/>
    </w:pPr>
    <w:rPr>
      <w:rFonts w:eastAsia="黑体"/>
      <w:sz w:val="28"/>
    </w:rPr>
  </w:style>
  <w:style w:type="character" w:customStyle="1" w:styleId="284">
    <w:name w:val="图名A Char"/>
    <w:link w:val="285"/>
    <w:qFormat/>
    <w:locked/>
    <w:uiPriority w:val="0"/>
    <w:rPr>
      <w:rFonts w:cs="Plotter"/>
      <w:b/>
    </w:rPr>
  </w:style>
  <w:style w:type="paragraph" w:customStyle="1" w:styleId="285">
    <w:name w:val="图名A"/>
    <w:basedOn w:val="1"/>
    <w:link w:val="284"/>
    <w:qFormat/>
    <w:uiPriority w:val="0"/>
    <w:pPr>
      <w:tabs>
        <w:tab w:val="left" w:pos="0"/>
      </w:tabs>
      <w:adjustRightInd w:val="0"/>
      <w:snapToGrid w:val="0"/>
      <w:spacing w:beforeLines="20" w:afterLines="80"/>
      <w:ind w:firstLine="200" w:firstLineChars="200"/>
      <w:jc w:val="center"/>
    </w:pPr>
    <w:rPr>
      <w:rFonts w:cs="Plotter" w:asciiTheme="minorHAnsi" w:hAnsiTheme="minorHAnsi" w:eastAsiaTheme="minorEastAsia"/>
      <w:b/>
      <w:kern w:val="2"/>
      <w:sz w:val="21"/>
      <w:szCs w:val="22"/>
    </w:rPr>
  </w:style>
  <w:style w:type="character" w:customStyle="1" w:styleId="286">
    <w:name w:val="样式 题注 + 五号 Char"/>
    <w:link w:val="287"/>
    <w:qFormat/>
    <w:locked/>
    <w:uiPriority w:val="0"/>
    <w:rPr>
      <w:rFonts w:ascii="Arial" w:hAnsi="Arial" w:eastAsia="黑体" w:cs="Arial"/>
    </w:rPr>
  </w:style>
  <w:style w:type="paragraph" w:customStyle="1" w:styleId="287">
    <w:name w:val="样式 题注 + 五号"/>
    <w:basedOn w:val="16"/>
    <w:link w:val="286"/>
    <w:qFormat/>
    <w:uiPriority w:val="0"/>
  </w:style>
  <w:style w:type="character" w:customStyle="1" w:styleId="288">
    <w:name w:val="_正文_土地复垦 Char"/>
    <w:link w:val="289"/>
    <w:qFormat/>
    <w:locked/>
    <w:uiPriority w:val="0"/>
    <w:rPr>
      <w:rFonts w:ascii="仿宋" w:hAnsi="仿宋" w:eastAsia="仿宋"/>
      <w:sz w:val="24"/>
      <w:szCs w:val="24"/>
    </w:rPr>
  </w:style>
  <w:style w:type="paragraph" w:customStyle="1" w:styleId="289">
    <w:name w:val="_正文_土地复垦"/>
    <w:link w:val="288"/>
    <w:qFormat/>
    <w:uiPriority w:val="0"/>
    <w:pPr>
      <w:spacing w:line="360" w:lineRule="auto"/>
      <w:ind w:firstLine="200" w:firstLineChars="200"/>
    </w:pPr>
    <w:rPr>
      <w:rFonts w:ascii="仿宋" w:hAnsi="仿宋" w:eastAsia="仿宋" w:cstheme="minorBidi"/>
      <w:kern w:val="2"/>
      <w:sz w:val="24"/>
      <w:szCs w:val="24"/>
      <w:lang w:val="en-US" w:eastAsia="zh-CN" w:bidi="ar-SA"/>
    </w:rPr>
  </w:style>
  <w:style w:type="character" w:customStyle="1" w:styleId="290">
    <w:name w:val="表号 Char2"/>
    <w:link w:val="291"/>
    <w:qFormat/>
    <w:locked/>
    <w:uiPriority w:val="0"/>
    <w:rPr>
      <w:rFonts w:ascii="宋体" w:hAnsi="宋体" w:eastAsia="宋体"/>
      <w:sz w:val="24"/>
      <w:szCs w:val="24"/>
    </w:rPr>
  </w:style>
  <w:style w:type="paragraph" w:customStyle="1" w:styleId="291">
    <w:name w:val="表号"/>
    <w:link w:val="290"/>
    <w:qFormat/>
    <w:uiPriority w:val="0"/>
    <w:pPr>
      <w:adjustRightInd w:val="0"/>
      <w:snapToGrid w:val="0"/>
      <w:spacing w:line="240" w:lineRule="atLeast"/>
      <w:jc w:val="both"/>
      <w:outlineLvl w:val="4"/>
    </w:pPr>
    <w:rPr>
      <w:rFonts w:ascii="宋体" w:hAnsi="宋体" w:eastAsia="宋体" w:cstheme="minorBidi"/>
      <w:kern w:val="2"/>
      <w:sz w:val="24"/>
      <w:szCs w:val="24"/>
      <w:lang w:val="en-US" w:eastAsia="zh-CN" w:bidi="ar-SA"/>
    </w:rPr>
  </w:style>
  <w:style w:type="character" w:customStyle="1" w:styleId="292">
    <w:name w:val="正文内容 Char Char"/>
    <w:link w:val="293"/>
    <w:qFormat/>
    <w:locked/>
    <w:uiPriority w:val="0"/>
    <w:rPr>
      <w:rFonts w:ascii="宋体" w:hAnsi="宋体" w:eastAsia="宋体" w:cs="宋体"/>
      <w:bCs/>
      <w:sz w:val="24"/>
      <w:szCs w:val="26"/>
    </w:rPr>
  </w:style>
  <w:style w:type="paragraph" w:customStyle="1" w:styleId="293">
    <w:name w:val="正文内容"/>
    <w:basedOn w:val="1"/>
    <w:link w:val="292"/>
    <w:qFormat/>
    <w:uiPriority w:val="0"/>
    <w:pPr>
      <w:widowControl w:val="0"/>
      <w:spacing w:line="480" w:lineRule="exact"/>
      <w:ind w:firstLine="200" w:firstLineChars="200"/>
      <w:jc w:val="both"/>
    </w:pPr>
    <w:rPr>
      <w:rFonts w:ascii="宋体" w:hAnsi="宋体" w:cs="宋体"/>
      <w:bCs/>
      <w:kern w:val="2"/>
      <w:sz w:val="24"/>
      <w:szCs w:val="26"/>
    </w:rPr>
  </w:style>
  <w:style w:type="paragraph" w:customStyle="1" w:styleId="294">
    <w:name w:val="Char Char Char2 Char"/>
    <w:basedOn w:val="1"/>
    <w:qFormat/>
    <w:uiPriority w:val="0"/>
    <w:pPr>
      <w:widowControl w:val="0"/>
      <w:spacing w:line="360" w:lineRule="auto"/>
      <w:ind w:firstLine="200" w:firstLineChars="200"/>
      <w:jc w:val="both"/>
    </w:pPr>
    <w:rPr>
      <w:rFonts w:ascii="宋体" w:hAnsi="宋体" w:cs="宋体"/>
      <w:kern w:val="2"/>
      <w:sz w:val="24"/>
      <w:szCs w:val="24"/>
    </w:rPr>
  </w:style>
  <w:style w:type="paragraph" w:customStyle="1" w:styleId="295">
    <w:name w:val="样式 标题 2 + 加粗3"/>
    <w:basedOn w:val="4"/>
    <w:qFormat/>
    <w:uiPriority w:val="0"/>
    <w:pPr>
      <w:keepNext w:val="0"/>
      <w:widowControl w:val="0"/>
      <w:spacing w:before="100" w:beforeAutospacing="1" w:after="100" w:afterAutospacing="1" w:line="412" w:lineRule="auto"/>
    </w:pPr>
    <w:rPr>
      <w:rFonts w:ascii="Times New Roman" w:hAnsi="Times New Roman" w:eastAsia="黑体"/>
      <w:b w:val="0"/>
      <w:bCs w:val="0"/>
      <w:kern w:val="44"/>
      <w:sz w:val="30"/>
      <w:szCs w:val="30"/>
    </w:rPr>
  </w:style>
  <w:style w:type="character" w:customStyle="1" w:styleId="296">
    <w:name w:val="段 Char Char"/>
    <w:link w:val="297"/>
    <w:qFormat/>
    <w:locked/>
    <w:uiPriority w:val="0"/>
    <w:rPr>
      <w:rFonts w:ascii="宋体" w:hAnsi="宋体" w:eastAsia="宋体"/>
    </w:rPr>
  </w:style>
  <w:style w:type="paragraph" w:customStyle="1" w:styleId="297">
    <w:name w:val="段"/>
    <w:link w:val="296"/>
    <w:qFormat/>
    <w:uiPriority w:val="0"/>
    <w:pPr>
      <w:autoSpaceDE w:val="0"/>
      <w:autoSpaceDN w:val="0"/>
      <w:ind w:firstLine="200" w:firstLineChars="200"/>
      <w:jc w:val="both"/>
    </w:pPr>
    <w:rPr>
      <w:rFonts w:ascii="宋体" w:hAnsi="宋体" w:eastAsia="宋体" w:cstheme="minorBidi"/>
      <w:kern w:val="2"/>
      <w:sz w:val="21"/>
      <w:szCs w:val="22"/>
      <w:lang w:val="en-US" w:eastAsia="zh-CN" w:bidi="ar-SA"/>
    </w:rPr>
  </w:style>
  <w:style w:type="paragraph" w:customStyle="1" w:styleId="298">
    <w:name w:val="Char Char Char Char Char Char Char1"/>
    <w:basedOn w:val="1"/>
    <w:qFormat/>
    <w:uiPriority w:val="0"/>
    <w:pPr>
      <w:widowControl w:val="0"/>
      <w:jc w:val="both"/>
    </w:pPr>
    <w:rPr>
      <w:kern w:val="2"/>
      <w:sz w:val="21"/>
      <w:szCs w:val="24"/>
    </w:rPr>
  </w:style>
  <w:style w:type="character" w:customStyle="1" w:styleId="299">
    <w:name w:val="标正文1 Char Char"/>
    <w:link w:val="300"/>
    <w:qFormat/>
    <w:locked/>
    <w:uiPriority w:val="0"/>
    <w:rPr>
      <w:rFonts w:ascii="宋体" w:hAnsi="宋体" w:eastAsia="宋体"/>
      <w:sz w:val="26"/>
      <w:szCs w:val="24"/>
    </w:rPr>
  </w:style>
  <w:style w:type="paragraph" w:customStyle="1" w:styleId="300">
    <w:name w:val="标正文1 Char"/>
    <w:basedOn w:val="1"/>
    <w:link w:val="299"/>
    <w:qFormat/>
    <w:uiPriority w:val="0"/>
    <w:pPr>
      <w:widowControl w:val="0"/>
      <w:spacing w:line="520" w:lineRule="exact"/>
      <w:ind w:right="105" w:rightChars="50" w:firstLine="520" w:firstLineChars="200"/>
      <w:jc w:val="both"/>
    </w:pPr>
    <w:rPr>
      <w:rFonts w:ascii="宋体" w:hAnsi="宋体" w:cstheme="minorBidi"/>
      <w:kern w:val="2"/>
      <w:sz w:val="26"/>
      <w:szCs w:val="24"/>
    </w:rPr>
  </w:style>
  <w:style w:type="paragraph" w:customStyle="1" w:styleId="301">
    <w:name w:val="样式 正文 + 首行缩进:  2 字符1"/>
    <w:basedOn w:val="1"/>
    <w:qFormat/>
    <w:uiPriority w:val="0"/>
    <w:pPr>
      <w:widowControl w:val="0"/>
      <w:spacing w:line="360" w:lineRule="auto"/>
      <w:ind w:firstLine="560" w:firstLineChars="200"/>
      <w:jc w:val="both"/>
    </w:pPr>
    <w:rPr>
      <w:rFonts w:ascii="宋体" w:hAnsi="宋体" w:cs="宋体"/>
      <w:color w:val="FF0000"/>
      <w:kern w:val="2"/>
      <w:sz w:val="28"/>
      <w:szCs w:val="28"/>
    </w:rPr>
  </w:style>
  <w:style w:type="character" w:customStyle="1" w:styleId="302">
    <w:name w:val="hb3 Char"/>
    <w:link w:val="303"/>
    <w:qFormat/>
    <w:locked/>
    <w:uiPriority w:val="0"/>
    <w:rPr>
      <w:rFonts w:ascii="宋体" w:hAnsi="宋体" w:eastAsia="宋体"/>
      <w:b/>
      <w:sz w:val="24"/>
      <w:szCs w:val="24"/>
    </w:rPr>
  </w:style>
  <w:style w:type="paragraph" w:customStyle="1" w:styleId="303">
    <w:name w:val="hb3"/>
    <w:basedOn w:val="5"/>
    <w:link w:val="302"/>
    <w:qFormat/>
    <w:uiPriority w:val="0"/>
    <w:pPr>
      <w:widowControl w:val="0"/>
      <w:adjustRightInd w:val="0"/>
      <w:spacing w:before="120" w:after="120" w:line="500" w:lineRule="exact"/>
    </w:pPr>
    <w:rPr>
      <w:rFonts w:ascii="宋体" w:hAnsi="宋体" w:cstheme="minorBidi"/>
      <w:bCs w:val="0"/>
      <w:kern w:val="2"/>
      <w:sz w:val="24"/>
      <w:szCs w:val="24"/>
    </w:rPr>
  </w:style>
  <w:style w:type="paragraph" w:customStyle="1" w:styleId="304">
    <w:name w:val="列项●（二级）"/>
    <w:qFormat/>
    <w:uiPriority w:val="0"/>
    <w:pPr>
      <w:tabs>
        <w:tab w:val="left" w:pos="420"/>
        <w:tab w:val="left" w:pos="840"/>
      </w:tabs>
      <w:ind w:left="600" w:leftChars="400" w:hanging="200" w:hangingChars="200"/>
      <w:jc w:val="both"/>
    </w:pPr>
    <w:rPr>
      <w:rFonts w:ascii="宋体" w:hAnsi="Times New Roman" w:eastAsia="宋体" w:cs="Times New Roman"/>
      <w:sz w:val="21"/>
      <w:lang w:val="en-US" w:eastAsia="zh-CN" w:bidi="ar-SA"/>
    </w:rPr>
  </w:style>
  <w:style w:type="character" w:customStyle="1" w:styleId="305">
    <w:name w:val="样式 标题 3 Char Char"/>
    <w:link w:val="306"/>
    <w:qFormat/>
    <w:locked/>
    <w:uiPriority w:val="0"/>
    <w:rPr>
      <w:rFonts w:ascii="黑体" w:hAnsi="黑体" w:eastAsia="黑体"/>
      <w:bCs/>
      <w:color w:val="000000"/>
      <w:sz w:val="28"/>
      <w:szCs w:val="28"/>
    </w:rPr>
  </w:style>
  <w:style w:type="paragraph" w:customStyle="1" w:styleId="306">
    <w:name w:val="样式 标题 3"/>
    <w:basedOn w:val="5"/>
    <w:link w:val="305"/>
    <w:qFormat/>
    <w:uiPriority w:val="0"/>
    <w:pPr>
      <w:keepNext w:val="0"/>
      <w:keepLines w:val="0"/>
      <w:widowControl w:val="0"/>
      <w:spacing w:before="0" w:after="0" w:line="360" w:lineRule="auto"/>
    </w:pPr>
    <w:rPr>
      <w:rFonts w:ascii="黑体" w:hAnsi="黑体" w:eastAsia="黑体" w:cstheme="minorBidi"/>
      <w:b w:val="0"/>
      <w:color w:val="000000"/>
      <w:kern w:val="2"/>
      <w:sz w:val="28"/>
      <w:szCs w:val="28"/>
    </w:rPr>
  </w:style>
  <w:style w:type="paragraph" w:customStyle="1" w:styleId="307">
    <w:name w:val="11111"/>
    <w:basedOn w:val="1"/>
    <w:qFormat/>
    <w:uiPriority w:val="0"/>
    <w:pPr>
      <w:widowControl w:val="0"/>
      <w:ind w:firstLine="480" w:firstLineChars="200"/>
      <w:jc w:val="both"/>
    </w:pPr>
    <w:rPr>
      <w:rFonts w:ascii="宋体"/>
      <w:kern w:val="2"/>
      <w:sz w:val="24"/>
      <w:szCs w:val="24"/>
    </w:rPr>
  </w:style>
  <w:style w:type="paragraph" w:customStyle="1" w:styleId="308">
    <w:name w:val="样式 标题 3 + 黑体 加粗4"/>
    <w:basedOn w:val="5"/>
    <w:qFormat/>
    <w:uiPriority w:val="0"/>
    <w:pPr>
      <w:widowControl w:val="0"/>
    </w:pPr>
    <w:rPr>
      <w:rFonts w:ascii="黑体" w:hAnsi="黑体" w:eastAsia="黑体"/>
      <w:b w:val="0"/>
      <w:color w:val="000000"/>
      <w:kern w:val="2"/>
      <w:sz w:val="28"/>
      <w:szCs w:val="28"/>
    </w:rPr>
  </w:style>
  <w:style w:type="character" w:customStyle="1" w:styleId="309">
    <w:name w:val="采用正文格式 Char"/>
    <w:link w:val="310"/>
    <w:qFormat/>
    <w:locked/>
    <w:uiPriority w:val="0"/>
    <w:rPr>
      <w:rFonts w:ascii="宋体" w:hAnsi="宋体" w:eastAsia="宋体" w:cs="宋体"/>
      <w:sz w:val="24"/>
    </w:rPr>
  </w:style>
  <w:style w:type="paragraph" w:customStyle="1" w:styleId="310">
    <w:name w:val="采用正文格式"/>
    <w:basedOn w:val="1"/>
    <w:link w:val="309"/>
    <w:qFormat/>
    <w:uiPriority w:val="0"/>
    <w:pPr>
      <w:widowControl w:val="0"/>
      <w:spacing w:line="500" w:lineRule="exact"/>
      <w:ind w:firstLine="200" w:firstLineChars="200"/>
      <w:jc w:val="both"/>
    </w:pPr>
    <w:rPr>
      <w:rFonts w:ascii="宋体" w:hAnsi="宋体" w:cs="宋体"/>
      <w:kern w:val="2"/>
      <w:sz w:val="24"/>
      <w:szCs w:val="22"/>
    </w:rPr>
  </w:style>
  <w:style w:type="character" w:customStyle="1" w:styleId="311">
    <w:name w:val="章标题 Char"/>
    <w:link w:val="312"/>
    <w:qFormat/>
    <w:locked/>
    <w:uiPriority w:val="0"/>
    <w:rPr>
      <w:rFonts w:ascii="黑体" w:hAnsi="黑体" w:eastAsia="黑体"/>
    </w:rPr>
  </w:style>
  <w:style w:type="paragraph" w:customStyle="1" w:styleId="312">
    <w:name w:val="章标题"/>
    <w:next w:val="1"/>
    <w:link w:val="311"/>
    <w:qFormat/>
    <w:uiPriority w:val="0"/>
    <w:pPr>
      <w:spacing w:beforeLines="50"/>
      <w:jc w:val="both"/>
      <w:outlineLvl w:val="1"/>
    </w:pPr>
    <w:rPr>
      <w:rFonts w:ascii="黑体" w:hAnsi="黑体" w:eastAsia="黑体" w:cstheme="minorBidi"/>
      <w:kern w:val="2"/>
      <w:sz w:val="21"/>
      <w:szCs w:val="22"/>
      <w:lang w:val="en-US" w:eastAsia="zh-CN" w:bidi="ar-SA"/>
    </w:rPr>
  </w:style>
  <w:style w:type="paragraph" w:customStyle="1" w:styleId="313">
    <w:name w:val="样式 正文文字"/>
    <w:basedOn w:val="8"/>
    <w:qFormat/>
    <w:uiPriority w:val="0"/>
    <w:pPr>
      <w:ind w:firstLine="397"/>
    </w:pPr>
    <w:rPr>
      <w:rFonts w:ascii="宋体" w:hAnsi="宋体"/>
      <w:szCs w:val="20"/>
    </w:rPr>
  </w:style>
  <w:style w:type="character" w:customStyle="1" w:styleId="314">
    <w:name w:val="表格 Char"/>
    <w:link w:val="315"/>
    <w:qFormat/>
    <w:locked/>
    <w:uiPriority w:val="0"/>
    <w:rPr>
      <w:sz w:val="24"/>
      <w:szCs w:val="24"/>
    </w:rPr>
  </w:style>
  <w:style w:type="paragraph" w:customStyle="1" w:styleId="315">
    <w:name w:val="表格"/>
    <w:basedOn w:val="1"/>
    <w:link w:val="314"/>
    <w:qFormat/>
    <w:uiPriority w:val="0"/>
    <w:pPr>
      <w:widowControl w:val="0"/>
      <w:adjustRightInd w:val="0"/>
      <w:snapToGrid w:val="0"/>
      <w:ind w:left="-50" w:leftChars="-50" w:right="-50" w:rightChars="-50"/>
      <w:jc w:val="center"/>
    </w:pPr>
    <w:rPr>
      <w:rFonts w:asciiTheme="minorHAnsi" w:hAnsiTheme="minorHAnsi" w:eastAsiaTheme="minorEastAsia" w:cstheme="minorBidi"/>
      <w:kern w:val="2"/>
      <w:sz w:val="24"/>
      <w:szCs w:val="24"/>
    </w:rPr>
  </w:style>
  <w:style w:type="paragraph" w:customStyle="1" w:styleId="316">
    <w:name w:val="图表名称"/>
    <w:basedOn w:val="1"/>
    <w:qFormat/>
    <w:uiPriority w:val="0"/>
    <w:pPr>
      <w:widowControl w:val="0"/>
      <w:ind w:firstLine="567"/>
      <w:jc w:val="both"/>
    </w:pPr>
    <w:rPr>
      <w:rFonts w:ascii="黑体" w:eastAsia="黑体"/>
      <w:kern w:val="2"/>
      <w:sz w:val="24"/>
      <w:szCs w:val="24"/>
    </w:rPr>
  </w:style>
  <w:style w:type="paragraph" w:customStyle="1" w:styleId="317">
    <w:name w:val="表格内容++"/>
    <w:basedOn w:val="1"/>
    <w:qFormat/>
    <w:uiPriority w:val="0"/>
    <w:pPr>
      <w:widowControl w:val="0"/>
      <w:ind w:left="-57" w:right="-57"/>
      <w:jc w:val="center"/>
    </w:pPr>
    <w:rPr>
      <w:rFonts w:cs="宋体"/>
      <w:kern w:val="2"/>
      <w:sz w:val="21"/>
    </w:rPr>
  </w:style>
  <w:style w:type="paragraph" w:customStyle="1" w:styleId="318">
    <w:name w:val="样式1"/>
    <w:basedOn w:val="4"/>
    <w:qFormat/>
    <w:uiPriority w:val="0"/>
    <w:pPr>
      <w:keepNext w:val="0"/>
      <w:widowControl w:val="0"/>
      <w:spacing w:before="100" w:beforeAutospacing="1" w:after="100" w:afterAutospacing="1" w:line="360" w:lineRule="auto"/>
    </w:pPr>
    <w:rPr>
      <w:rFonts w:ascii="Times New Roman" w:hAnsi="黑体" w:eastAsia="黑体"/>
      <w:kern w:val="44"/>
      <w:sz w:val="30"/>
      <w:szCs w:val="30"/>
    </w:rPr>
  </w:style>
  <w:style w:type="paragraph" w:customStyle="1" w:styleId="319">
    <w:name w:val="可研-正文"/>
    <w:basedOn w:val="1"/>
    <w:qFormat/>
    <w:uiPriority w:val="0"/>
    <w:pPr>
      <w:widowControl w:val="0"/>
      <w:spacing w:line="360" w:lineRule="auto"/>
      <w:ind w:firstLine="200" w:firstLineChars="200"/>
      <w:jc w:val="both"/>
    </w:pPr>
    <w:rPr>
      <w:rFonts w:eastAsia="仿宋_GB2312"/>
      <w:kern w:val="2"/>
      <w:sz w:val="24"/>
      <w:szCs w:val="21"/>
    </w:rPr>
  </w:style>
  <w:style w:type="paragraph" w:customStyle="1" w:styleId="320">
    <w:name w:val="xl45"/>
    <w:basedOn w:val="1"/>
    <w:qFormat/>
    <w:uiPriority w:val="0"/>
    <w:pPr>
      <w:pBdr>
        <w:left w:val="single" w:color="auto" w:sz="8" w:space="0"/>
        <w:bottom w:val="single" w:color="auto" w:sz="4" w:space="0"/>
        <w:right w:val="single" w:color="auto" w:sz="4" w:space="0"/>
      </w:pBdr>
      <w:spacing w:before="100" w:after="100"/>
      <w:jc w:val="center"/>
    </w:pPr>
    <w:rPr>
      <w:rFonts w:ascii="宋体" w:hAnsi="宋体"/>
      <w:sz w:val="18"/>
      <w:szCs w:val="18"/>
    </w:rPr>
  </w:style>
  <w:style w:type="character" w:customStyle="1" w:styleId="321">
    <w:name w:val="样式 正文 + 首行缩进:  2 字符 Char"/>
    <w:link w:val="322"/>
    <w:qFormat/>
    <w:locked/>
    <w:uiPriority w:val="0"/>
    <w:rPr>
      <w:rFonts w:ascii="仿宋_GB2312" w:eastAsia="仿宋_GB2312" w:cs="宋体"/>
      <w:bCs/>
      <w:color w:val="FF0000"/>
      <w:sz w:val="28"/>
    </w:rPr>
  </w:style>
  <w:style w:type="paragraph" w:customStyle="1" w:styleId="322">
    <w:name w:val="样式 正文 + 首行缩进:  2 字符"/>
    <w:basedOn w:val="113"/>
    <w:link w:val="321"/>
    <w:qFormat/>
    <w:uiPriority w:val="0"/>
    <w:pPr>
      <w:spacing w:line="360" w:lineRule="auto"/>
      <w:ind w:firstLine="560"/>
    </w:pPr>
    <w:rPr>
      <w:bCs/>
      <w:color w:val="FF0000"/>
    </w:rPr>
  </w:style>
  <w:style w:type="paragraph" w:customStyle="1" w:styleId="323">
    <w:name w:val="样式 左侧:  0 厘米 首行缩进:  0.85 厘米"/>
    <w:basedOn w:val="1"/>
    <w:qFormat/>
    <w:uiPriority w:val="0"/>
    <w:pPr>
      <w:widowControl w:val="0"/>
      <w:adjustRightInd w:val="0"/>
      <w:ind w:firstLine="480"/>
      <w:jc w:val="both"/>
    </w:pPr>
    <w:rPr>
      <w:rFonts w:cs="宋体"/>
      <w:kern w:val="2"/>
      <w:sz w:val="28"/>
    </w:rPr>
  </w:style>
  <w:style w:type="paragraph" w:customStyle="1" w:styleId="324">
    <w:name w:val="正文（区划）"/>
    <w:basedOn w:val="1"/>
    <w:qFormat/>
    <w:uiPriority w:val="0"/>
    <w:pPr>
      <w:widowControl w:val="0"/>
      <w:spacing w:line="360" w:lineRule="auto"/>
      <w:ind w:firstLine="200" w:firstLineChars="200"/>
      <w:jc w:val="both"/>
    </w:pPr>
    <w:rPr>
      <w:iCs/>
      <w:color w:val="000000"/>
      <w:kern w:val="2"/>
      <w:sz w:val="24"/>
      <w:szCs w:val="24"/>
    </w:rPr>
  </w:style>
  <w:style w:type="paragraph" w:customStyle="1" w:styleId="325">
    <w:name w:val="1.3行距"/>
    <w:basedOn w:val="1"/>
    <w:qFormat/>
    <w:uiPriority w:val="0"/>
    <w:pPr>
      <w:widowControl w:val="0"/>
      <w:adjustRightInd w:val="0"/>
      <w:snapToGrid w:val="0"/>
      <w:spacing w:line="360" w:lineRule="auto"/>
      <w:ind w:firstLine="520" w:firstLineChars="200"/>
      <w:jc w:val="both"/>
    </w:pPr>
    <w:rPr>
      <w:rFonts w:ascii="宋体" w:hAnsi="宋体" w:cs="方正楷体简体"/>
      <w:bCs/>
      <w:sz w:val="28"/>
      <w:szCs w:val="28"/>
      <w:lang w:val="zh-CN"/>
    </w:rPr>
  </w:style>
  <w:style w:type="character" w:customStyle="1" w:styleId="326">
    <w:name w:val="报告——表头 Char"/>
    <w:link w:val="327"/>
    <w:qFormat/>
    <w:locked/>
    <w:uiPriority w:val="0"/>
    <w:rPr>
      <w:rFonts w:ascii="仿宋_GB2312" w:eastAsia="仿宋_GB2312"/>
    </w:rPr>
  </w:style>
  <w:style w:type="paragraph" w:customStyle="1" w:styleId="327">
    <w:name w:val="报告——表头"/>
    <w:basedOn w:val="1"/>
    <w:link w:val="326"/>
    <w:qFormat/>
    <w:uiPriority w:val="0"/>
    <w:pPr>
      <w:widowControl w:val="0"/>
      <w:jc w:val="both"/>
    </w:pPr>
    <w:rPr>
      <w:rFonts w:ascii="仿宋_GB2312" w:eastAsia="仿宋_GB2312" w:hAnsiTheme="minorHAnsi" w:cstheme="minorBidi"/>
      <w:kern w:val="2"/>
      <w:sz w:val="21"/>
      <w:szCs w:val="22"/>
    </w:rPr>
  </w:style>
  <w:style w:type="paragraph" w:customStyle="1" w:styleId="328">
    <w:name w:val="样式 标题 3 + 黑体 加粗"/>
    <w:basedOn w:val="5"/>
    <w:qFormat/>
    <w:uiPriority w:val="0"/>
    <w:pPr>
      <w:widowControl w:val="0"/>
    </w:pPr>
    <w:rPr>
      <w:rFonts w:ascii="黑体" w:hAnsi="黑体" w:eastAsia="黑体"/>
      <w:b w:val="0"/>
      <w:color w:val="000000"/>
      <w:kern w:val="2"/>
      <w:sz w:val="28"/>
      <w:szCs w:val="28"/>
    </w:rPr>
  </w:style>
  <w:style w:type="character" w:customStyle="1" w:styleId="329">
    <w:name w:val="样式 标题 1 + Char"/>
    <w:link w:val="330"/>
    <w:qFormat/>
    <w:locked/>
    <w:uiPriority w:val="0"/>
    <w:rPr>
      <w:rFonts w:ascii="黑体" w:hAnsi="黑体" w:eastAsia="黑体"/>
      <w:kern w:val="44"/>
      <w:sz w:val="32"/>
      <w:szCs w:val="28"/>
    </w:rPr>
  </w:style>
  <w:style w:type="paragraph" w:customStyle="1" w:styleId="330">
    <w:name w:val="样式 标题 1 +"/>
    <w:basedOn w:val="2"/>
    <w:link w:val="329"/>
    <w:qFormat/>
    <w:uiPriority w:val="0"/>
    <w:pPr>
      <w:spacing w:line="540" w:lineRule="auto"/>
    </w:pPr>
    <w:rPr>
      <w:rFonts w:ascii="黑体" w:hAnsi="黑体" w:cstheme="minorBidi"/>
      <w:bCs w:val="0"/>
    </w:rPr>
  </w:style>
  <w:style w:type="paragraph" w:customStyle="1" w:styleId="331">
    <w:name w:val="样式 标题 3 + 黑体 加粗2"/>
    <w:basedOn w:val="5"/>
    <w:qFormat/>
    <w:uiPriority w:val="0"/>
    <w:pPr>
      <w:widowControl w:val="0"/>
      <w:spacing w:line="360" w:lineRule="auto"/>
    </w:pPr>
    <w:rPr>
      <w:rFonts w:hAnsi="黑体" w:eastAsia="黑体"/>
      <w:b w:val="0"/>
      <w:color w:val="000000"/>
      <w:kern w:val="2"/>
      <w:sz w:val="28"/>
      <w:szCs w:val="28"/>
    </w:rPr>
  </w:style>
  <w:style w:type="paragraph" w:customStyle="1" w:styleId="332">
    <w:name w:val="1.3行"/>
    <w:basedOn w:val="212"/>
    <w:qFormat/>
    <w:uiPriority w:val="0"/>
    <w:pPr>
      <w:adjustRightInd/>
      <w:snapToGrid/>
      <w:spacing w:before="120" w:line="360" w:lineRule="auto"/>
      <w:ind w:firstLine="560"/>
    </w:pPr>
    <w:rPr>
      <w:bCs/>
      <w:color w:val="000000"/>
      <w:szCs w:val="28"/>
    </w:rPr>
  </w:style>
  <w:style w:type="character" w:customStyle="1" w:styleId="333">
    <w:name w:val="样式 _正文格式 + (西文) 宋体 Char"/>
    <w:link w:val="334"/>
    <w:qFormat/>
    <w:locked/>
    <w:uiPriority w:val="0"/>
    <w:rPr>
      <w:sz w:val="24"/>
      <w:szCs w:val="24"/>
    </w:rPr>
  </w:style>
  <w:style w:type="paragraph" w:customStyle="1" w:styleId="334">
    <w:name w:val="样式 _正文格式 + (西文) 宋体"/>
    <w:basedOn w:val="214"/>
    <w:link w:val="333"/>
    <w:qFormat/>
    <w:uiPriority w:val="0"/>
    <w:pPr>
      <w:spacing w:line="360" w:lineRule="auto"/>
      <w:ind w:firstLine="480"/>
    </w:pPr>
    <w:rPr>
      <w:rFonts w:asciiTheme="minorHAnsi" w:eastAsiaTheme="minorEastAsia"/>
      <w:sz w:val="24"/>
    </w:rPr>
  </w:style>
  <w:style w:type="character" w:customStyle="1" w:styleId="335">
    <w:name w:val="font71"/>
    <w:qFormat/>
    <w:uiPriority w:val="0"/>
    <w:rPr>
      <w:rFonts w:hint="default" w:ascii="Times New Roman" w:hAnsi="Times New Roman" w:cs="Times New Roman"/>
      <w:color w:val="000000"/>
      <w:sz w:val="21"/>
      <w:szCs w:val="21"/>
      <w:u w:val="none"/>
    </w:rPr>
  </w:style>
  <w:style w:type="character" w:customStyle="1" w:styleId="336">
    <w:name w:val="样式 (中文) 黑体 小三"/>
    <w:qFormat/>
    <w:uiPriority w:val="0"/>
    <w:rPr>
      <w:rFonts w:hint="eastAsia" w:ascii="宋体" w:hAnsi="宋体" w:eastAsia="黑体" w:cs="宋体"/>
      <w:bCs/>
      <w:kern w:val="44"/>
      <w:sz w:val="30"/>
      <w:szCs w:val="26"/>
      <w:lang w:val="en-US" w:eastAsia="zh-CN" w:bidi="ar-SA"/>
    </w:rPr>
  </w:style>
  <w:style w:type="character" w:customStyle="1" w:styleId="337">
    <w:name w:val="font51"/>
    <w:qFormat/>
    <w:uiPriority w:val="0"/>
    <w:rPr>
      <w:rFonts w:hint="default" w:ascii="Times New Roman" w:hAnsi="Times New Roman" w:cs="Times New Roman"/>
      <w:color w:val="000000"/>
      <w:sz w:val="21"/>
      <w:szCs w:val="21"/>
      <w:u w:val="none"/>
      <w:vertAlign w:val="superscript"/>
    </w:rPr>
  </w:style>
  <w:style w:type="character" w:customStyle="1" w:styleId="338">
    <w:name w:val="普通文字 Char Char1"/>
    <w:qFormat/>
    <w:uiPriority w:val="0"/>
    <w:rPr>
      <w:rFonts w:hint="eastAsia" w:ascii="宋体" w:hAnsi="Courier New" w:eastAsia="宋体" w:cs="Courier New"/>
      <w:kern w:val="2"/>
      <w:sz w:val="28"/>
      <w:szCs w:val="21"/>
      <w:lang w:val="en-US" w:eastAsia="zh-CN" w:bidi="ar-SA"/>
    </w:rPr>
  </w:style>
  <w:style w:type="character" w:customStyle="1" w:styleId="339">
    <w:name w:val="表头 Char1"/>
    <w:basedOn w:val="55"/>
    <w:qFormat/>
    <w:uiPriority w:val="0"/>
    <w:rPr>
      <w:rFonts w:hint="eastAsia" w:ascii="宋体" w:hAnsi="宋体" w:eastAsia="宋体"/>
      <w:kern w:val="2"/>
      <w:sz w:val="24"/>
      <w:szCs w:val="24"/>
      <w:lang w:val="en-US" w:eastAsia="zh-CN" w:bidi="ar-SA"/>
    </w:rPr>
  </w:style>
  <w:style w:type="character" w:customStyle="1" w:styleId="340">
    <w:name w:val="正文+ Char Char"/>
    <w:qFormat/>
    <w:uiPriority w:val="0"/>
    <w:rPr>
      <w:rFonts w:hint="eastAsia" w:ascii="仿宋_GB2312" w:eastAsia="仿宋_GB2312" w:cs="宋体"/>
      <w:kern w:val="2"/>
      <w:sz w:val="24"/>
    </w:rPr>
  </w:style>
  <w:style w:type="character" w:customStyle="1" w:styleId="341">
    <w:name w:val="txt141"/>
    <w:qFormat/>
    <w:uiPriority w:val="0"/>
    <w:rPr>
      <w:sz w:val="21"/>
      <w:szCs w:val="21"/>
      <w:u w:val="none"/>
    </w:rPr>
  </w:style>
  <w:style w:type="character" w:customStyle="1" w:styleId="342">
    <w:name w:val="_正文格式 Char"/>
    <w:qFormat/>
    <w:uiPriority w:val="0"/>
    <w:rPr>
      <w:rFonts w:hint="eastAsia" w:ascii="仿宋_GB2312" w:eastAsia="仿宋_GB2312"/>
      <w:kern w:val="2"/>
      <w:sz w:val="28"/>
      <w:szCs w:val="24"/>
      <w:lang w:val="en-US" w:eastAsia="zh-CN" w:bidi="ar-SA"/>
    </w:rPr>
  </w:style>
  <w:style w:type="character" w:customStyle="1" w:styleId="343">
    <w:name w:val="font91"/>
    <w:qFormat/>
    <w:uiPriority w:val="0"/>
    <w:rPr>
      <w:rFonts w:hint="default" w:ascii="Times New Roman" w:hAnsi="Times New Roman" w:cs="Times New Roman"/>
      <w:color w:val="000000"/>
      <w:sz w:val="21"/>
      <w:szCs w:val="21"/>
      <w:u w:val="none"/>
      <w:vertAlign w:val="superscript"/>
    </w:rPr>
  </w:style>
  <w:style w:type="character" w:customStyle="1" w:styleId="344">
    <w:name w:val="正文文本缩进 Char Char"/>
    <w:qFormat/>
    <w:uiPriority w:val="0"/>
    <w:rPr>
      <w:rFonts w:hint="eastAsia" w:ascii="宋体" w:hAnsi="宋体" w:eastAsia="宋体"/>
      <w:kern w:val="2"/>
      <w:sz w:val="32"/>
      <w:szCs w:val="21"/>
      <w:lang w:val="en-US" w:eastAsia="zh-CN" w:bidi="ar-SA"/>
    </w:rPr>
  </w:style>
  <w:style w:type="character" w:customStyle="1" w:styleId="345">
    <w:name w:val="456 Char Char"/>
    <w:qFormat/>
    <w:uiPriority w:val="0"/>
    <w:rPr>
      <w:rFonts w:hint="eastAsia" w:ascii="黑体" w:hAnsi="黑体" w:eastAsia="黑体"/>
      <w:bCs/>
      <w:kern w:val="2"/>
      <w:sz w:val="28"/>
      <w:szCs w:val="28"/>
      <w:lang w:val="en-US" w:eastAsia="zh-CN" w:bidi="ar-SA"/>
    </w:rPr>
  </w:style>
  <w:style w:type="character" w:customStyle="1" w:styleId="346">
    <w:name w:val="条标题1.1.1 Char1"/>
    <w:qFormat/>
    <w:uiPriority w:val="0"/>
    <w:rPr>
      <w:rFonts w:hint="eastAsia" w:ascii="宋体" w:hAnsi="宋体" w:eastAsia="宋体"/>
      <w:b/>
      <w:bCs/>
      <w:kern w:val="2"/>
      <w:sz w:val="32"/>
      <w:szCs w:val="32"/>
      <w:lang w:val="en-US" w:eastAsia="zh-CN" w:bidi="ar-SA"/>
    </w:rPr>
  </w:style>
  <w:style w:type="character" w:customStyle="1" w:styleId="347">
    <w:name w:val="font61"/>
    <w:qFormat/>
    <w:uiPriority w:val="0"/>
    <w:rPr>
      <w:rFonts w:hint="eastAsia" w:ascii="仿宋_GB2312" w:eastAsia="仿宋_GB2312"/>
      <w:color w:val="000000"/>
      <w:sz w:val="21"/>
      <w:szCs w:val="21"/>
      <w:u w:val="none"/>
    </w:rPr>
  </w:style>
  <w:style w:type="character" w:customStyle="1" w:styleId="348">
    <w:name w:val="表格文字 Char Char"/>
    <w:qFormat/>
    <w:uiPriority w:val="0"/>
    <w:rPr>
      <w:rFonts w:hint="eastAsia" w:ascii="仿宋_GB2312" w:eastAsia="仿宋_GB2312"/>
      <w:bCs/>
      <w:color w:val="000000"/>
      <w:szCs w:val="21"/>
    </w:rPr>
  </w:style>
  <w:style w:type="character" w:customStyle="1" w:styleId="349">
    <w:name w:val="Char Char5"/>
    <w:qFormat/>
    <w:uiPriority w:val="0"/>
    <w:rPr>
      <w:rFonts w:hint="eastAsia" w:ascii="宋体" w:hAnsi="宋体" w:eastAsia="宋体"/>
      <w:b/>
      <w:bCs/>
      <w:kern w:val="2"/>
      <w:sz w:val="32"/>
      <w:szCs w:val="32"/>
      <w:lang w:val="en-US" w:eastAsia="zh-CN" w:bidi="ar-SA"/>
    </w:rPr>
  </w:style>
  <w:style w:type="character" w:customStyle="1" w:styleId="350">
    <w:name w:val="font101"/>
    <w:qFormat/>
    <w:uiPriority w:val="0"/>
    <w:rPr>
      <w:rFonts w:hint="default" w:ascii="Times New Roman" w:hAnsi="Times New Roman" w:cs="Times New Roman"/>
      <w:color w:val="000000"/>
      <w:sz w:val="21"/>
      <w:szCs w:val="21"/>
      <w:u w:val="none"/>
      <w:vertAlign w:val="superscript"/>
    </w:rPr>
  </w:style>
  <w:style w:type="character" w:customStyle="1" w:styleId="351">
    <w:name w:val="普通文字 Char Char Char1"/>
    <w:qFormat/>
    <w:uiPriority w:val="99"/>
    <w:rPr>
      <w:rFonts w:hint="eastAsia" w:ascii="宋体" w:hAnsi="Courier New" w:eastAsia="宋体" w:cs="宋体"/>
      <w:bCs/>
      <w:kern w:val="2"/>
      <w:sz w:val="21"/>
      <w:szCs w:val="26"/>
      <w:lang w:val="en-US" w:eastAsia="zh-CN" w:bidi="ar-SA"/>
    </w:rPr>
  </w:style>
  <w:style w:type="character" w:customStyle="1" w:styleId="352">
    <w:name w:val="样式 四号"/>
    <w:basedOn w:val="55"/>
    <w:qFormat/>
    <w:uiPriority w:val="0"/>
  </w:style>
  <w:style w:type="character" w:customStyle="1" w:styleId="353">
    <w:name w:val="Char Char11"/>
    <w:qFormat/>
    <w:uiPriority w:val="0"/>
    <w:rPr>
      <w:rFonts w:hint="eastAsia" w:ascii="宋体" w:hAnsi="Courier New" w:eastAsia="宋体" w:cs="Courier New"/>
      <w:sz w:val="28"/>
      <w:szCs w:val="21"/>
      <w:lang w:eastAsia="en-US" w:bidi="en-US"/>
    </w:rPr>
  </w:style>
  <w:style w:type="character" w:customStyle="1" w:styleId="354">
    <w:name w:val="font01"/>
    <w:qFormat/>
    <w:uiPriority w:val="0"/>
    <w:rPr>
      <w:rFonts w:hint="default" w:ascii="Times New Roman" w:hAnsi="Times New Roman" w:cs="Times New Roman"/>
      <w:color w:val="000000"/>
      <w:sz w:val="21"/>
      <w:szCs w:val="21"/>
      <w:u w:val="none"/>
      <w:vertAlign w:val="superscript"/>
    </w:rPr>
  </w:style>
  <w:style w:type="character" w:customStyle="1" w:styleId="355">
    <w:name w:val="font81"/>
    <w:qFormat/>
    <w:uiPriority w:val="0"/>
    <w:rPr>
      <w:rFonts w:hint="eastAsia" w:ascii="仿宋_GB2312" w:eastAsia="仿宋_GB2312"/>
      <w:color w:val="000000"/>
      <w:sz w:val="21"/>
      <w:szCs w:val="21"/>
      <w:u w:val="none"/>
    </w:rPr>
  </w:style>
  <w:style w:type="character" w:customStyle="1" w:styleId="356">
    <w:name w:val="标题 2 Char1"/>
    <w:qFormat/>
    <w:uiPriority w:val="0"/>
    <w:rPr>
      <w:rFonts w:hint="eastAsia" w:ascii="黑体" w:hAnsi="黑体" w:eastAsia="黑体"/>
      <w:kern w:val="44"/>
      <w:sz w:val="30"/>
      <w:szCs w:val="30"/>
      <w:lang w:val="en-US" w:eastAsia="zh-CN" w:bidi="ar-SA"/>
    </w:rPr>
  </w:style>
  <w:style w:type="character" w:customStyle="1" w:styleId="357">
    <w:name w:val="apple-converted-space"/>
    <w:basedOn w:val="55"/>
    <w:qFormat/>
    <w:uiPriority w:val="0"/>
  </w:style>
  <w:style w:type="character" w:customStyle="1" w:styleId="358">
    <w:name w:val="一级标题"/>
    <w:qFormat/>
    <w:uiPriority w:val="0"/>
    <w:rPr>
      <w:bCs/>
    </w:rPr>
  </w:style>
  <w:style w:type="character" w:customStyle="1" w:styleId="359">
    <w:name w:val="font41"/>
    <w:qFormat/>
    <w:uiPriority w:val="0"/>
    <w:rPr>
      <w:rFonts w:hint="default" w:ascii="Times New Roman" w:hAnsi="Times New Roman" w:cs="Times New Roman"/>
      <w:color w:val="000000"/>
      <w:sz w:val="21"/>
      <w:szCs w:val="21"/>
      <w:u w:val="none"/>
      <w:vertAlign w:val="superscript"/>
    </w:rPr>
  </w:style>
  <w:style w:type="paragraph" w:customStyle="1" w:styleId="360">
    <w:name w:val="二级条标题"/>
    <w:basedOn w:val="1"/>
    <w:link w:val="361"/>
    <w:qFormat/>
    <w:uiPriority w:val="0"/>
  </w:style>
  <w:style w:type="character" w:customStyle="1" w:styleId="361">
    <w:name w:val="二级条标题 Char"/>
    <w:link w:val="360"/>
    <w:qFormat/>
    <w:locked/>
    <w:uiPriority w:val="0"/>
    <w:rPr>
      <w:rFonts w:ascii="Times New Roman" w:hAnsi="Times New Roman" w:eastAsia="宋体" w:cs="Times New Roman"/>
      <w:kern w:val="0"/>
      <w:sz w:val="20"/>
      <w:szCs w:val="20"/>
    </w:rPr>
  </w:style>
  <w:style w:type="character" w:customStyle="1" w:styleId="362">
    <w:name w:val="font21"/>
    <w:qFormat/>
    <w:uiPriority w:val="0"/>
    <w:rPr>
      <w:rFonts w:hint="default" w:ascii="Times New Roman" w:hAnsi="Times New Roman" w:cs="Times New Roman"/>
      <w:color w:val="000000"/>
      <w:sz w:val="21"/>
      <w:szCs w:val="21"/>
      <w:u w:val="none"/>
    </w:rPr>
  </w:style>
  <w:style w:type="character" w:customStyle="1" w:styleId="363">
    <w:name w:val="表文字 Char"/>
    <w:qFormat/>
    <w:uiPriority w:val="0"/>
    <w:rPr>
      <w:rFonts w:hint="eastAsia" w:ascii="宋体" w:hAnsi="宋体" w:eastAsia="宋体"/>
      <w:kern w:val="2"/>
      <w:sz w:val="21"/>
      <w:szCs w:val="24"/>
      <w:lang w:val="en-US" w:eastAsia="zh-CN" w:bidi="ar-SA"/>
    </w:rPr>
  </w:style>
  <w:style w:type="character" w:customStyle="1" w:styleId="364">
    <w:name w:val="apple-style-span"/>
    <w:basedOn w:val="55"/>
    <w:qFormat/>
    <w:uiPriority w:val="0"/>
  </w:style>
  <w:style w:type="character" w:customStyle="1" w:styleId="365">
    <w:name w:val="文本正文 Char"/>
    <w:qFormat/>
    <w:uiPriority w:val="0"/>
    <w:rPr>
      <w:rFonts w:hint="eastAsia" w:ascii="宋体" w:hAnsi="宋体" w:eastAsia="宋体"/>
      <w:color w:val="000000"/>
      <w:kern w:val="28"/>
      <w:sz w:val="28"/>
      <w:szCs w:val="28"/>
      <w:u w:color="000000"/>
      <w:lang w:val="en-GB" w:eastAsia="zh-CN" w:bidi="ar-SA"/>
    </w:rPr>
  </w:style>
  <w:style w:type="character" w:customStyle="1" w:styleId="366">
    <w:name w:val="字紧0.4 Char"/>
    <w:qFormat/>
    <w:uiPriority w:val="0"/>
    <w:rPr>
      <w:rFonts w:hint="eastAsia" w:ascii="宋体" w:hAnsi="宋体" w:eastAsia="宋体" w:cs="宋体"/>
      <w:bCs/>
      <w:snapToGrid w:val="0"/>
      <w:color w:val="000000"/>
      <w:spacing w:val="-8"/>
      <w:kern w:val="2"/>
      <w:sz w:val="28"/>
      <w:szCs w:val="28"/>
      <w:lang w:val="en-US" w:eastAsia="zh-CN" w:bidi="ar-SA"/>
    </w:rPr>
  </w:style>
  <w:style w:type="character" w:customStyle="1" w:styleId="367">
    <w:name w:val="16"/>
    <w:qFormat/>
    <w:uiPriority w:val="0"/>
    <w:rPr>
      <w:rFonts w:hint="default" w:ascii="Arial" w:hAnsi="Arial" w:eastAsia="黑体" w:cs="Arial"/>
      <w:kern w:val="2"/>
      <w:sz w:val="21"/>
      <w:szCs w:val="21"/>
    </w:rPr>
  </w:style>
  <w:style w:type="character" w:customStyle="1" w:styleId="368">
    <w:name w:val="a121"/>
    <w:qFormat/>
    <w:uiPriority w:val="0"/>
    <w:rPr>
      <w:sz w:val="18"/>
      <w:szCs w:val="18"/>
      <w:u w:val="none"/>
    </w:rPr>
  </w:style>
  <w:style w:type="character" w:customStyle="1" w:styleId="369">
    <w:name w:val="正文28磅 Char1"/>
    <w:qFormat/>
    <w:uiPriority w:val="0"/>
    <w:rPr>
      <w:rFonts w:hint="eastAsia" w:ascii="宋体" w:hAnsi="宋体" w:eastAsia="宋体" w:cs="宋体"/>
      <w:bCs/>
      <w:kern w:val="28"/>
      <w:sz w:val="28"/>
      <w:szCs w:val="26"/>
      <w:u w:color="000000"/>
      <w:lang w:val="en-GB" w:eastAsia="zh-CN" w:bidi="ar-SA"/>
    </w:rPr>
  </w:style>
  <w:style w:type="character" w:customStyle="1" w:styleId="370">
    <w:name w:val="字紧0.5"/>
    <w:qFormat/>
    <w:uiPriority w:val="0"/>
    <w:rPr>
      <w:rFonts w:hint="eastAsia" w:ascii="宋体" w:hAnsi="宋体" w:eastAsia="宋体"/>
      <w:snapToGrid w:val="0"/>
      <w:spacing w:val="-10"/>
      <w:sz w:val="28"/>
      <w:szCs w:val="28"/>
      <w:lang w:val="en-US" w:eastAsia="zh-CN" w:bidi="ar-SA"/>
    </w:rPr>
  </w:style>
  <w:style w:type="character" w:customStyle="1" w:styleId="371">
    <w:name w:val="表头 Char Char"/>
    <w:qFormat/>
    <w:uiPriority w:val="0"/>
    <w:rPr>
      <w:rFonts w:hint="eastAsia" w:ascii="仿宋_GB2312" w:eastAsia="仿宋_GB2312"/>
      <w:b/>
      <w:sz w:val="24"/>
      <w:szCs w:val="24"/>
      <w:lang w:val="en-US" w:eastAsia="zh-CN" w:bidi="ar-SA"/>
    </w:rPr>
  </w:style>
  <w:style w:type="character" w:customStyle="1" w:styleId="372">
    <w:name w:val="font31"/>
    <w:qFormat/>
    <w:uiPriority w:val="0"/>
    <w:rPr>
      <w:rFonts w:hint="eastAsia" w:ascii="仿宋_GB2312" w:eastAsia="仿宋_GB2312"/>
      <w:color w:val="000000"/>
      <w:sz w:val="21"/>
      <w:szCs w:val="21"/>
      <w:u w:val="none"/>
    </w:rPr>
  </w:style>
  <w:style w:type="character" w:customStyle="1" w:styleId="373">
    <w:name w:val="Char Char3"/>
    <w:qFormat/>
    <w:locked/>
    <w:uiPriority w:val="0"/>
    <w:rPr>
      <w:rFonts w:hint="eastAsia" w:ascii="宋体" w:hAnsi="宋体" w:eastAsia="宋体" w:cs="宋体"/>
      <w:bCs/>
      <w:kern w:val="2"/>
      <w:sz w:val="18"/>
      <w:szCs w:val="18"/>
      <w:lang w:val="en-US" w:eastAsia="zh-CN" w:bidi="ar-SA"/>
    </w:rPr>
  </w:style>
  <w:style w:type="character" w:customStyle="1" w:styleId="374">
    <w:name w:val="题注 Char"/>
    <w:qFormat/>
    <w:uiPriority w:val="0"/>
    <w:rPr>
      <w:rFonts w:hint="default" w:ascii="Arial" w:hAnsi="Arial" w:eastAsia="黑体" w:cs="Arial"/>
      <w:kern w:val="2"/>
      <w:lang w:val="en-US" w:eastAsia="zh-CN" w:bidi="ar-SA"/>
    </w:rPr>
  </w:style>
  <w:style w:type="character" w:customStyle="1" w:styleId="375">
    <w:name w:val="font111"/>
    <w:qFormat/>
    <w:uiPriority w:val="0"/>
    <w:rPr>
      <w:rFonts w:hint="default" w:ascii="Times New Roman" w:hAnsi="Times New Roman" w:cs="Times New Roman"/>
      <w:color w:val="000000"/>
      <w:sz w:val="21"/>
      <w:szCs w:val="21"/>
      <w:u w:val="none"/>
    </w:rPr>
  </w:style>
  <w:style w:type="character" w:customStyle="1" w:styleId="376">
    <w:name w:val="正文缩进 Char"/>
    <w:qFormat/>
    <w:uiPriority w:val="0"/>
    <w:rPr>
      <w:rFonts w:hint="eastAsia" w:ascii="宋体" w:hAnsi="宋体" w:eastAsia="宋体"/>
      <w:kern w:val="2"/>
      <w:sz w:val="21"/>
      <w:szCs w:val="24"/>
      <w:lang w:val="en-US" w:eastAsia="zh-CN" w:bidi="ar-SA"/>
    </w:rPr>
  </w:style>
  <w:style w:type="character" w:customStyle="1" w:styleId="377">
    <w:name w:val="font11"/>
    <w:qFormat/>
    <w:uiPriority w:val="0"/>
    <w:rPr>
      <w:rFonts w:hint="eastAsia" w:ascii="宋体" w:hAnsi="宋体" w:eastAsia="宋体"/>
      <w:color w:val="000000"/>
      <w:sz w:val="21"/>
      <w:szCs w:val="21"/>
      <w:u w:val="none"/>
    </w:rPr>
  </w:style>
  <w:style w:type="character" w:customStyle="1" w:styleId="378">
    <w:name w:val="标题 Char1"/>
    <w:basedOn w:val="55"/>
    <w:qFormat/>
    <w:uiPriority w:val="10"/>
    <w:rPr>
      <w:rFonts w:hint="default" w:asciiTheme="majorHAnsi" w:hAnsiTheme="majorHAnsi" w:cstheme="majorBidi"/>
      <w:b/>
      <w:bCs/>
      <w:sz w:val="32"/>
      <w:szCs w:val="32"/>
    </w:rPr>
  </w:style>
  <w:style w:type="paragraph" w:customStyle="1" w:styleId="379">
    <w:name w:val="三级条标题"/>
    <w:basedOn w:val="360"/>
    <w:next w:val="1"/>
    <w:qFormat/>
    <w:uiPriority w:val="0"/>
    <w:pPr>
      <w:ind w:left="720"/>
      <w:outlineLvl w:val="4"/>
    </w:pPr>
    <w:rPr>
      <w:rFonts w:eastAsia="黑体"/>
      <w:sz w:val="21"/>
    </w:rPr>
  </w:style>
  <w:style w:type="paragraph" w:customStyle="1" w:styleId="380">
    <w:name w:val="四级条标题"/>
    <w:basedOn w:val="379"/>
    <w:next w:val="1"/>
    <w:qFormat/>
    <w:uiPriority w:val="0"/>
    <w:pPr>
      <w:outlineLvl w:val="5"/>
    </w:pPr>
  </w:style>
  <w:style w:type="paragraph" w:customStyle="1" w:styleId="381">
    <w:name w:val="五级条标题"/>
    <w:basedOn w:val="380"/>
    <w:next w:val="1"/>
    <w:qFormat/>
    <w:uiPriority w:val="0"/>
    <w:pPr>
      <w:outlineLvl w:val="6"/>
    </w:pPr>
  </w:style>
  <w:style w:type="paragraph" w:customStyle="1" w:styleId="382">
    <w:name w:val="样式2"/>
    <w:basedOn w:val="141"/>
    <w:qFormat/>
    <w:uiPriority w:val="0"/>
    <w:rPr>
      <w:bCs w:val="0"/>
    </w:rPr>
  </w:style>
  <w:style w:type="paragraph" w:customStyle="1" w:styleId="383">
    <w:name w:val="样式 样式2 + Times New Roman"/>
    <w:basedOn w:val="382"/>
    <w:qFormat/>
    <w:uiPriority w:val="0"/>
    <w:pPr>
      <w:keepNext/>
      <w:keepLines/>
      <w:spacing w:before="120" w:after="120"/>
      <w:jc w:val="both"/>
      <w:outlineLvl w:val="1"/>
    </w:pPr>
    <w:rPr>
      <w:rFonts w:hAnsi="Times New Roman" w:eastAsia="宋体"/>
      <w:b w:val="0"/>
      <w:bCs/>
      <w:color w:val="auto"/>
      <w:kern w:val="0"/>
    </w:rPr>
  </w:style>
  <w:style w:type="paragraph" w:customStyle="1" w:styleId="384">
    <w:name w:val="样式 表名 + 首行缩进:  2.5 字符"/>
    <w:basedOn w:val="235"/>
    <w:qFormat/>
    <w:uiPriority w:val="0"/>
    <w:pPr>
      <w:ind w:left="3600" w:firstLine="525" w:firstLineChars="250"/>
    </w:pPr>
    <w:rPr>
      <w:rFonts w:eastAsia="黑体" w:cs="宋体"/>
      <w:szCs w:val="20"/>
    </w:rPr>
  </w:style>
  <w:style w:type="character" w:customStyle="1" w:styleId="385">
    <w:name w:val="注释标题 字符"/>
    <w:basedOn w:val="55"/>
    <w:link w:val="3"/>
    <w:qFormat/>
    <w:uiPriority w:val="0"/>
    <w:rPr>
      <w:rFonts w:ascii="Times New Roman" w:hAnsi="Times New Roman" w:eastAsia="宋体" w:cs="Times New Roman"/>
      <w:kern w:val="2"/>
      <w:sz w:val="21"/>
      <w:szCs w:val="24"/>
    </w:rPr>
  </w:style>
  <w:style w:type="paragraph" w:customStyle="1" w:styleId="386">
    <w:name w:val="标题 A"/>
    <w:basedOn w:val="1"/>
    <w:qFormat/>
    <w:uiPriority w:val="99"/>
    <w:pPr>
      <w:adjustRightInd w:val="0"/>
      <w:snapToGrid w:val="0"/>
      <w:spacing w:line="360" w:lineRule="auto"/>
    </w:pPr>
    <w:rPr>
      <w:sz w:val="24"/>
      <w:szCs w:val="24"/>
    </w:rPr>
  </w:style>
  <w:style w:type="paragraph" w:customStyle="1" w:styleId="387">
    <w:name w:val="样式 (中文) 仿宋_GB2312 四号 首行缩进:  1 厘米 行距: 固定值 25 磅"/>
    <w:basedOn w:val="1"/>
    <w:qFormat/>
    <w:uiPriority w:val="0"/>
    <w:pPr>
      <w:ind w:firstLine="200" w:firstLineChars="200"/>
    </w:pPr>
    <w:rPr>
      <w:rFonts w:eastAsia="仿宋_GB2312" w:cs="宋体"/>
      <w:sz w:val="28"/>
    </w:rPr>
  </w:style>
  <w:style w:type="character" w:customStyle="1" w:styleId="388">
    <w:name w:val="副标题 字符"/>
    <w:basedOn w:val="55"/>
    <w:link w:val="38"/>
    <w:qFormat/>
    <w:uiPriority w:val="0"/>
    <w:rPr>
      <w:rFonts w:ascii="Cambria" w:hAnsi="Cambria"/>
      <w:b/>
      <w:bCs/>
      <w:kern w:val="28"/>
      <w:sz w:val="32"/>
      <w:szCs w:val="32"/>
      <w:lang w:val="zh-CN"/>
    </w:rPr>
  </w:style>
  <w:style w:type="character" w:customStyle="1" w:styleId="389">
    <w:name w:val="HTML 预设格式 字符"/>
    <w:basedOn w:val="55"/>
    <w:link w:val="45"/>
    <w:qFormat/>
    <w:uiPriority w:val="0"/>
    <w:rPr>
      <w:rFonts w:ascii="黑体" w:hAnsi="Courier New" w:eastAsia="黑体" w:cs="Courier New"/>
    </w:rPr>
  </w:style>
  <w:style w:type="character" w:customStyle="1" w:styleId="390">
    <w:name w:val="批注主题 字符"/>
    <w:basedOn w:val="84"/>
    <w:link w:val="50"/>
    <w:qFormat/>
    <w:uiPriority w:val="0"/>
    <w:rPr>
      <w:rFonts w:ascii="Calibri" w:hAnsi="Calibri" w:eastAsia="宋体" w:cs="Times New Roman"/>
      <w:b/>
      <w:bCs/>
      <w:kern w:val="2"/>
      <w:sz w:val="21"/>
      <w:szCs w:val="22"/>
    </w:rPr>
  </w:style>
  <w:style w:type="table" w:customStyle="1" w:styleId="391">
    <w:name w:val="网格型13"/>
    <w:basedOn w:val="53"/>
    <w:unhideWhenUsed/>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92">
    <w:name w:val="表格 字符"/>
    <w:basedOn w:val="55"/>
    <w:qFormat/>
    <w:uiPriority w:val="0"/>
    <w:rPr>
      <w:sz w:val="21"/>
      <w:szCs w:val="21"/>
    </w:rPr>
  </w:style>
  <w:style w:type="character" w:customStyle="1" w:styleId="393">
    <w:name w:val="标题 1 Char"/>
    <w:qFormat/>
    <w:uiPriority w:val="0"/>
    <w:rPr>
      <w:rFonts w:ascii="宋体" w:hAnsi="宋体" w:eastAsia="仿宋_GB2312"/>
      <w:b/>
      <w:kern w:val="2"/>
      <w:sz w:val="32"/>
      <w:lang w:val="en-US" w:eastAsia="zh-CN" w:bidi="ar-SA"/>
    </w:rPr>
  </w:style>
  <w:style w:type="paragraph" w:customStyle="1" w:styleId="394">
    <w:name w:val="样式66"/>
    <w:basedOn w:val="1"/>
    <w:qFormat/>
    <w:uiPriority w:val="0"/>
    <w:pPr>
      <w:widowControl w:val="0"/>
      <w:ind w:firstLine="560" w:firstLineChars="200"/>
      <w:jc w:val="both"/>
    </w:pPr>
    <w:rPr>
      <w:kern w:val="2"/>
      <w:sz w:val="28"/>
    </w:rPr>
  </w:style>
  <w:style w:type="character" w:customStyle="1" w:styleId="395">
    <w:name w:val="标题 1 Char2"/>
    <w:qFormat/>
    <w:uiPriority w:val="0"/>
    <w:rPr>
      <w:rFonts w:eastAsia="宋体"/>
      <w:b/>
      <w:spacing w:val="6"/>
      <w:kern w:val="44"/>
      <w:sz w:val="32"/>
      <w:szCs w:val="32"/>
      <w:u w:color="000000"/>
      <w:lang w:val="en-US" w:eastAsia="zh-CN" w:bidi="ar-SA"/>
    </w:rPr>
  </w:style>
  <w:style w:type="character" w:customStyle="1" w:styleId="396">
    <w:name w:val="纯文本 Char1"/>
    <w:qFormat/>
    <w:uiPriority w:val="0"/>
    <w:rPr>
      <w:rFonts w:ascii="宋体" w:hAnsi="Cambria Math"/>
      <w:kern w:val="2"/>
      <w:sz w:val="21"/>
      <w:lang w:val="zh-CN"/>
    </w:rPr>
  </w:style>
  <w:style w:type="character" w:customStyle="1" w:styleId="397">
    <w:name w:val="列表 字符"/>
    <w:link w:val="39"/>
    <w:qFormat/>
    <w:uiPriority w:val="0"/>
    <w:rPr>
      <w:kern w:val="2"/>
      <w:sz w:val="21"/>
      <w:szCs w:val="24"/>
      <w:lang w:val="zh-CN"/>
    </w:rPr>
  </w:style>
  <w:style w:type="character" w:customStyle="1" w:styleId="398">
    <w:name w:val="正文文本首行缩进 2 字符"/>
    <w:basedOn w:val="89"/>
    <w:link w:val="52"/>
    <w:qFormat/>
    <w:uiPriority w:val="0"/>
    <w:rPr>
      <w:rFonts w:ascii="Times New Roman" w:hAnsi="Times New Roman" w:eastAsia="宋体" w:cs="Times New Roman"/>
      <w:kern w:val="2"/>
      <w:sz w:val="24"/>
      <w:szCs w:val="24"/>
    </w:rPr>
  </w:style>
  <w:style w:type="character" w:customStyle="1" w:styleId="399">
    <w:name w:val="li-正文 Char1"/>
    <w:link w:val="400"/>
    <w:qFormat/>
    <w:uiPriority w:val="0"/>
    <w:rPr>
      <w:rFonts w:cs="宋体"/>
      <w:kern w:val="2"/>
      <w:sz w:val="24"/>
    </w:rPr>
  </w:style>
  <w:style w:type="paragraph" w:customStyle="1" w:styleId="400">
    <w:name w:val="li-正文"/>
    <w:basedOn w:val="1"/>
    <w:link w:val="399"/>
    <w:qFormat/>
    <w:uiPriority w:val="0"/>
    <w:pPr>
      <w:widowControl w:val="0"/>
      <w:spacing w:line="360" w:lineRule="auto"/>
      <w:ind w:firstLine="480" w:firstLineChars="200"/>
      <w:jc w:val="both"/>
    </w:pPr>
    <w:rPr>
      <w:rFonts w:cs="宋体"/>
      <w:kern w:val="2"/>
      <w:sz w:val="24"/>
    </w:rPr>
  </w:style>
  <w:style w:type="character" w:customStyle="1" w:styleId="401">
    <w:name w:val="样式 正文 Char Char"/>
    <w:link w:val="402"/>
    <w:qFormat/>
    <w:uiPriority w:val="0"/>
    <w:rPr>
      <w:rFonts w:ascii="方正楷体简体" w:hAnsi="方正楷体简体" w:eastAsia="方正楷体简体" w:cs="宋体"/>
      <w:kern w:val="2"/>
      <w:sz w:val="24"/>
    </w:rPr>
  </w:style>
  <w:style w:type="paragraph" w:customStyle="1" w:styleId="402">
    <w:name w:val="样式 正文"/>
    <w:basedOn w:val="1"/>
    <w:link w:val="401"/>
    <w:qFormat/>
    <w:uiPriority w:val="0"/>
    <w:pPr>
      <w:ind w:firstLine="480" w:firstLineChars="200"/>
    </w:pPr>
    <w:rPr>
      <w:rFonts w:ascii="方正楷体简体" w:hAnsi="方正楷体简体" w:eastAsia="方正楷体简体" w:cs="宋体"/>
      <w:kern w:val="2"/>
      <w:sz w:val="24"/>
    </w:rPr>
  </w:style>
  <w:style w:type="character" w:customStyle="1" w:styleId="403">
    <w:name w:val="报告正文 Char"/>
    <w:link w:val="404"/>
    <w:qFormat/>
    <w:uiPriority w:val="0"/>
    <w:rPr>
      <w:rFonts w:ascii="宋体"/>
      <w:kern w:val="2"/>
      <w:sz w:val="28"/>
    </w:rPr>
  </w:style>
  <w:style w:type="paragraph" w:customStyle="1" w:styleId="404">
    <w:name w:val="报告正文"/>
    <w:basedOn w:val="1"/>
    <w:link w:val="403"/>
    <w:qFormat/>
    <w:uiPriority w:val="0"/>
    <w:pPr>
      <w:widowControl w:val="0"/>
      <w:adjustRightInd w:val="0"/>
      <w:snapToGrid w:val="0"/>
      <w:spacing w:line="300" w:lineRule="auto"/>
      <w:jc w:val="both"/>
    </w:pPr>
    <w:rPr>
      <w:rFonts w:ascii="宋体"/>
      <w:kern w:val="2"/>
      <w:sz w:val="28"/>
    </w:rPr>
  </w:style>
  <w:style w:type="character" w:customStyle="1" w:styleId="405">
    <w:name w:val="文 Char"/>
    <w:link w:val="406"/>
    <w:qFormat/>
    <w:uiPriority w:val="0"/>
    <w:rPr>
      <w:rFonts w:ascii="宋体" w:hAnsi="宋体"/>
      <w:color w:val="000000"/>
      <w:kern w:val="2"/>
      <w:sz w:val="24"/>
      <w:szCs w:val="24"/>
    </w:rPr>
  </w:style>
  <w:style w:type="paragraph" w:customStyle="1" w:styleId="406">
    <w:name w:val="文"/>
    <w:basedOn w:val="1"/>
    <w:link w:val="405"/>
    <w:qFormat/>
    <w:uiPriority w:val="0"/>
    <w:pPr>
      <w:widowControl w:val="0"/>
      <w:spacing w:line="480" w:lineRule="exact"/>
      <w:ind w:firstLine="480" w:firstLineChars="200"/>
      <w:jc w:val="both"/>
    </w:pPr>
    <w:rPr>
      <w:rFonts w:ascii="宋体" w:hAnsi="宋体"/>
      <w:color w:val="000000"/>
      <w:kern w:val="2"/>
      <w:sz w:val="24"/>
      <w:szCs w:val="24"/>
    </w:rPr>
  </w:style>
  <w:style w:type="character" w:customStyle="1" w:styleId="407">
    <w:name w:val="table_title Char Char"/>
    <w:link w:val="408"/>
    <w:qFormat/>
    <w:uiPriority w:val="0"/>
    <w:rPr>
      <w:b/>
      <w:kern w:val="2"/>
      <w:sz w:val="18"/>
    </w:rPr>
  </w:style>
  <w:style w:type="paragraph" w:customStyle="1" w:styleId="408">
    <w:name w:val="table_title"/>
    <w:basedOn w:val="1"/>
    <w:next w:val="1"/>
    <w:link w:val="407"/>
    <w:qFormat/>
    <w:uiPriority w:val="0"/>
    <w:pPr>
      <w:spacing w:beforeLines="50" w:line="360" w:lineRule="auto"/>
      <w:jc w:val="center"/>
    </w:pPr>
    <w:rPr>
      <w:b/>
      <w:kern w:val="2"/>
      <w:sz w:val="18"/>
    </w:rPr>
  </w:style>
  <w:style w:type="character" w:customStyle="1" w:styleId="409">
    <w:name w:val="储量正文 Char Char"/>
    <w:link w:val="410"/>
    <w:qFormat/>
    <w:uiPriority w:val="0"/>
    <w:rPr>
      <w:rFonts w:ascii="宋体" w:hAnsi="宋体"/>
      <w:kern w:val="2"/>
      <w:sz w:val="24"/>
      <w:szCs w:val="24"/>
    </w:rPr>
  </w:style>
  <w:style w:type="paragraph" w:customStyle="1" w:styleId="410">
    <w:name w:val="储量正文"/>
    <w:basedOn w:val="1"/>
    <w:link w:val="409"/>
    <w:qFormat/>
    <w:uiPriority w:val="0"/>
    <w:pPr>
      <w:snapToGrid w:val="0"/>
      <w:spacing w:line="360" w:lineRule="auto"/>
      <w:ind w:firstLine="480" w:firstLineChars="200"/>
    </w:pPr>
    <w:rPr>
      <w:rFonts w:ascii="宋体" w:hAnsi="宋体"/>
      <w:kern w:val="2"/>
      <w:sz w:val="24"/>
      <w:szCs w:val="24"/>
    </w:rPr>
  </w:style>
  <w:style w:type="character" w:customStyle="1" w:styleId="411">
    <w:name w:val="正文文本 (33)_"/>
    <w:link w:val="412"/>
    <w:qFormat/>
    <w:uiPriority w:val="0"/>
    <w:rPr>
      <w:rFonts w:ascii="宋体" w:hAnsi="宋体"/>
      <w:b/>
      <w:bCs/>
      <w:shd w:val="clear" w:color="auto" w:fill="FFFFFF"/>
    </w:rPr>
  </w:style>
  <w:style w:type="paragraph" w:customStyle="1" w:styleId="412">
    <w:name w:val="正文文本 (33)"/>
    <w:basedOn w:val="1"/>
    <w:link w:val="411"/>
    <w:qFormat/>
    <w:uiPriority w:val="0"/>
    <w:pPr>
      <w:shd w:val="clear" w:color="auto" w:fill="FFFFFF"/>
      <w:spacing w:line="240" w:lineRule="atLeast"/>
    </w:pPr>
    <w:rPr>
      <w:rFonts w:ascii="宋体" w:hAnsi="宋体"/>
      <w:b/>
      <w:bCs/>
    </w:rPr>
  </w:style>
  <w:style w:type="character" w:customStyle="1" w:styleId="413">
    <w:name w:val="正文文本 (29)_"/>
    <w:link w:val="414"/>
    <w:qFormat/>
    <w:uiPriority w:val="0"/>
    <w:rPr>
      <w:rFonts w:ascii="宋体"/>
      <w:w w:val="150"/>
      <w:sz w:val="9"/>
      <w:szCs w:val="9"/>
      <w:shd w:val="clear" w:color="auto" w:fill="FFFFFF"/>
    </w:rPr>
  </w:style>
  <w:style w:type="paragraph" w:customStyle="1" w:styleId="414">
    <w:name w:val="正文文本 (29)1"/>
    <w:basedOn w:val="1"/>
    <w:link w:val="413"/>
    <w:qFormat/>
    <w:uiPriority w:val="0"/>
    <w:pPr>
      <w:shd w:val="clear" w:color="auto" w:fill="FFFFFF"/>
      <w:spacing w:before="240" w:line="240" w:lineRule="atLeast"/>
    </w:pPr>
    <w:rPr>
      <w:rFonts w:ascii="宋体"/>
      <w:w w:val="150"/>
      <w:sz w:val="9"/>
      <w:szCs w:val="9"/>
    </w:rPr>
  </w:style>
  <w:style w:type="character" w:customStyle="1" w:styleId="415">
    <w:name w:val="正文文本 (3)_"/>
    <w:link w:val="416"/>
    <w:qFormat/>
    <w:uiPriority w:val="0"/>
    <w:rPr>
      <w:rFonts w:ascii="宋体"/>
      <w:shd w:val="clear" w:color="auto" w:fill="FFFFFF"/>
    </w:rPr>
  </w:style>
  <w:style w:type="paragraph" w:customStyle="1" w:styleId="416">
    <w:name w:val="正文文本 (3)1"/>
    <w:basedOn w:val="1"/>
    <w:link w:val="415"/>
    <w:qFormat/>
    <w:uiPriority w:val="0"/>
    <w:pPr>
      <w:shd w:val="clear" w:color="auto" w:fill="FFFFFF"/>
      <w:spacing w:line="472" w:lineRule="exact"/>
      <w:ind w:hanging="420"/>
      <w:jc w:val="distribute"/>
    </w:pPr>
    <w:rPr>
      <w:rFonts w:ascii="宋体"/>
    </w:rPr>
  </w:style>
  <w:style w:type="character" w:customStyle="1" w:styleId="417">
    <w:name w:val="无间隔 字符"/>
    <w:link w:val="418"/>
    <w:qFormat/>
    <w:uiPriority w:val="0"/>
    <w:rPr>
      <w:kern w:val="2"/>
      <w:sz w:val="21"/>
      <w:szCs w:val="21"/>
    </w:rPr>
  </w:style>
  <w:style w:type="paragraph" w:styleId="418">
    <w:name w:val="No Spacing"/>
    <w:basedOn w:val="1"/>
    <w:link w:val="417"/>
    <w:qFormat/>
    <w:uiPriority w:val="0"/>
    <w:pPr>
      <w:widowControl w:val="0"/>
      <w:jc w:val="both"/>
    </w:pPr>
    <w:rPr>
      <w:kern w:val="2"/>
      <w:sz w:val="21"/>
      <w:szCs w:val="21"/>
    </w:rPr>
  </w:style>
  <w:style w:type="character" w:customStyle="1" w:styleId="419">
    <w:name w:val="明显引用 Char"/>
    <w:qFormat/>
    <w:uiPriority w:val="0"/>
    <w:rPr>
      <w:b/>
      <w:bCs/>
      <w:i/>
      <w:iCs/>
      <w:color w:val="4F81BD"/>
    </w:rPr>
  </w:style>
  <w:style w:type="paragraph" w:styleId="420">
    <w:name w:val="Intense Quote"/>
    <w:basedOn w:val="1"/>
    <w:next w:val="1"/>
    <w:link w:val="421"/>
    <w:qFormat/>
    <w:uiPriority w:val="0"/>
    <w:pPr>
      <w:widowControl w:val="0"/>
      <w:pBdr>
        <w:bottom w:val="single" w:color="4F81BD" w:sz="4" w:space="4"/>
      </w:pBdr>
      <w:spacing w:before="200" w:after="280"/>
      <w:ind w:left="936" w:right="936"/>
      <w:jc w:val="both"/>
    </w:pPr>
    <w:rPr>
      <w:b/>
      <w:bCs/>
      <w:i/>
      <w:iCs/>
      <w:color w:val="4F81BD"/>
    </w:rPr>
  </w:style>
  <w:style w:type="character" w:customStyle="1" w:styleId="421">
    <w:name w:val="明显引用 字符"/>
    <w:basedOn w:val="55"/>
    <w:link w:val="420"/>
    <w:qFormat/>
    <w:uiPriority w:val="0"/>
    <w:rPr>
      <w:b/>
      <w:bCs/>
      <w:i/>
      <w:iCs/>
      <w:color w:val="4F81BD"/>
    </w:rPr>
  </w:style>
  <w:style w:type="character" w:customStyle="1" w:styleId="422">
    <w:name w:val="引用 Char"/>
    <w:qFormat/>
    <w:uiPriority w:val="0"/>
    <w:rPr>
      <w:i/>
      <w:iCs/>
      <w:color w:val="000000"/>
    </w:rPr>
  </w:style>
  <w:style w:type="paragraph" w:styleId="423">
    <w:name w:val="Quote"/>
    <w:basedOn w:val="1"/>
    <w:next w:val="1"/>
    <w:link w:val="424"/>
    <w:qFormat/>
    <w:uiPriority w:val="0"/>
    <w:pPr>
      <w:widowControl w:val="0"/>
      <w:jc w:val="both"/>
    </w:pPr>
    <w:rPr>
      <w:i/>
      <w:iCs/>
      <w:color w:val="000000"/>
    </w:rPr>
  </w:style>
  <w:style w:type="character" w:customStyle="1" w:styleId="424">
    <w:name w:val="引用 字符"/>
    <w:basedOn w:val="55"/>
    <w:link w:val="423"/>
    <w:qFormat/>
    <w:uiPriority w:val="0"/>
    <w:rPr>
      <w:i/>
      <w:iCs/>
      <w:color w:val="000000"/>
    </w:rPr>
  </w:style>
  <w:style w:type="character" w:customStyle="1" w:styleId="425">
    <w:name w:val="正文文本 (22)_"/>
    <w:link w:val="426"/>
    <w:qFormat/>
    <w:uiPriority w:val="0"/>
    <w:rPr>
      <w:rFonts w:ascii="宋体"/>
      <w:sz w:val="27"/>
      <w:szCs w:val="27"/>
      <w:shd w:val="clear" w:color="auto" w:fill="FFFFFF"/>
    </w:rPr>
  </w:style>
  <w:style w:type="paragraph" w:customStyle="1" w:styleId="426">
    <w:name w:val="正文文本 (22)"/>
    <w:basedOn w:val="1"/>
    <w:link w:val="425"/>
    <w:qFormat/>
    <w:uiPriority w:val="0"/>
    <w:pPr>
      <w:shd w:val="clear" w:color="auto" w:fill="FFFFFF"/>
      <w:spacing w:after="60" w:line="240" w:lineRule="atLeast"/>
      <w:jc w:val="right"/>
    </w:pPr>
    <w:rPr>
      <w:rFonts w:ascii="宋体"/>
      <w:sz w:val="27"/>
      <w:szCs w:val="27"/>
    </w:rPr>
  </w:style>
  <w:style w:type="paragraph" w:customStyle="1" w:styleId="427">
    <w:name w:val="表内容"/>
    <w:basedOn w:val="1"/>
    <w:link w:val="428"/>
    <w:qFormat/>
    <w:uiPriority w:val="0"/>
    <w:pPr>
      <w:widowControl w:val="0"/>
      <w:spacing w:line="280" w:lineRule="exact"/>
      <w:jc w:val="center"/>
    </w:pPr>
    <w:rPr>
      <w:color w:val="000000"/>
      <w:kern w:val="2"/>
      <w:sz w:val="18"/>
      <w:szCs w:val="18"/>
    </w:rPr>
  </w:style>
  <w:style w:type="character" w:customStyle="1" w:styleId="428">
    <w:name w:val="表内容 Char"/>
    <w:link w:val="427"/>
    <w:qFormat/>
    <w:uiPriority w:val="0"/>
    <w:rPr>
      <w:color w:val="000000"/>
      <w:kern w:val="2"/>
      <w:sz w:val="18"/>
      <w:szCs w:val="18"/>
    </w:rPr>
  </w:style>
  <w:style w:type="paragraph" w:customStyle="1" w:styleId="429">
    <w:name w:val="表名、图名"/>
    <w:basedOn w:val="1"/>
    <w:link w:val="430"/>
    <w:qFormat/>
    <w:uiPriority w:val="0"/>
    <w:pPr>
      <w:widowControl w:val="0"/>
      <w:spacing w:beforeLines="20" w:afterLines="20"/>
      <w:jc w:val="center"/>
    </w:pPr>
    <w:rPr>
      <w:rFonts w:ascii="Arial" w:hAnsi="Arial" w:eastAsia="黑体"/>
      <w:kern w:val="2"/>
      <w:sz w:val="21"/>
    </w:rPr>
  </w:style>
  <w:style w:type="character" w:customStyle="1" w:styleId="430">
    <w:name w:val="表名、图名 Char"/>
    <w:link w:val="429"/>
    <w:qFormat/>
    <w:uiPriority w:val="0"/>
    <w:rPr>
      <w:rFonts w:ascii="Arial" w:hAnsi="Arial" w:eastAsia="黑体"/>
      <w:kern w:val="2"/>
      <w:sz w:val="21"/>
    </w:rPr>
  </w:style>
  <w:style w:type="paragraph" w:customStyle="1" w:styleId="431">
    <w:name w:val="0方案正文"/>
    <w:basedOn w:val="1"/>
    <w:link w:val="432"/>
    <w:qFormat/>
    <w:uiPriority w:val="0"/>
    <w:pPr>
      <w:widowControl w:val="0"/>
      <w:spacing w:line="440" w:lineRule="exact"/>
      <w:ind w:firstLine="480" w:firstLineChars="200"/>
      <w:jc w:val="both"/>
    </w:pPr>
    <w:rPr>
      <w:sz w:val="24"/>
    </w:rPr>
  </w:style>
  <w:style w:type="character" w:customStyle="1" w:styleId="432">
    <w:name w:val="0方案正文 Char"/>
    <w:link w:val="431"/>
    <w:qFormat/>
    <w:locked/>
    <w:uiPriority w:val="0"/>
    <w:rPr>
      <w:sz w:val="24"/>
    </w:rPr>
  </w:style>
  <w:style w:type="paragraph" w:customStyle="1" w:styleId="433">
    <w:name w:val="图、表名"/>
    <w:basedOn w:val="1"/>
    <w:link w:val="434"/>
    <w:qFormat/>
    <w:uiPriority w:val="0"/>
    <w:pPr>
      <w:widowControl w:val="0"/>
      <w:jc w:val="center"/>
    </w:pPr>
    <w:rPr>
      <w:rFonts w:ascii="Arial" w:hAnsi="Arial" w:eastAsia="黑体"/>
      <w:kern w:val="2"/>
      <w:sz w:val="21"/>
      <w:szCs w:val="21"/>
    </w:rPr>
  </w:style>
  <w:style w:type="character" w:customStyle="1" w:styleId="434">
    <w:name w:val="图、表名 Char"/>
    <w:link w:val="433"/>
    <w:qFormat/>
    <w:uiPriority w:val="0"/>
    <w:rPr>
      <w:rFonts w:ascii="Arial" w:hAnsi="Arial" w:eastAsia="黑体"/>
      <w:kern w:val="2"/>
      <w:sz w:val="21"/>
      <w:szCs w:val="21"/>
    </w:rPr>
  </w:style>
  <w:style w:type="paragraph" w:customStyle="1" w:styleId="435">
    <w:name w:val="表"/>
    <w:basedOn w:val="1"/>
    <w:link w:val="436"/>
    <w:qFormat/>
    <w:uiPriority w:val="0"/>
    <w:pPr>
      <w:widowControl w:val="0"/>
      <w:spacing w:line="320" w:lineRule="atLeast"/>
      <w:jc w:val="center"/>
    </w:pPr>
    <w:rPr>
      <w:kern w:val="2"/>
      <w:sz w:val="21"/>
    </w:rPr>
  </w:style>
  <w:style w:type="character" w:customStyle="1" w:styleId="436">
    <w:name w:val="表 Char"/>
    <w:link w:val="435"/>
    <w:qFormat/>
    <w:uiPriority w:val="0"/>
    <w:rPr>
      <w:kern w:val="2"/>
      <w:sz w:val="21"/>
    </w:rPr>
  </w:style>
  <w:style w:type="paragraph" w:customStyle="1" w:styleId="437">
    <w:name w:val="表格内容"/>
    <w:basedOn w:val="1"/>
    <w:link w:val="438"/>
    <w:qFormat/>
    <w:uiPriority w:val="0"/>
    <w:pPr>
      <w:widowControl w:val="0"/>
      <w:adjustRightInd w:val="0"/>
      <w:snapToGrid w:val="0"/>
      <w:spacing w:line="280" w:lineRule="exact"/>
      <w:ind w:left="-31" w:leftChars="-15" w:right="-31" w:rightChars="-15"/>
      <w:jc w:val="center"/>
    </w:pPr>
    <w:rPr>
      <w:color w:val="000000"/>
      <w:kern w:val="2"/>
      <w:sz w:val="18"/>
      <w:szCs w:val="18"/>
      <w:lang w:val="zh-CN"/>
    </w:rPr>
  </w:style>
  <w:style w:type="character" w:customStyle="1" w:styleId="438">
    <w:name w:val="表格内容 Char"/>
    <w:link w:val="437"/>
    <w:qFormat/>
    <w:uiPriority w:val="0"/>
    <w:rPr>
      <w:color w:val="000000"/>
      <w:kern w:val="2"/>
      <w:sz w:val="18"/>
      <w:szCs w:val="18"/>
      <w:lang w:val="zh-CN"/>
    </w:rPr>
  </w:style>
  <w:style w:type="paragraph" w:customStyle="1" w:styleId="439">
    <w:name w:val="正文(首行缩进)"/>
    <w:basedOn w:val="1"/>
    <w:link w:val="440"/>
    <w:qFormat/>
    <w:uiPriority w:val="0"/>
    <w:pPr>
      <w:widowControl w:val="0"/>
      <w:spacing w:line="360" w:lineRule="auto"/>
      <w:ind w:firstLine="540" w:firstLineChars="225"/>
      <w:jc w:val="both"/>
    </w:pPr>
    <w:rPr>
      <w:snapToGrid w:val="0"/>
      <w:color w:val="000000"/>
      <w:sz w:val="24"/>
      <w:szCs w:val="24"/>
    </w:rPr>
  </w:style>
  <w:style w:type="character" w:customStyle="1" w:styleId="440">
    <w:name w:val="正文(首行缩进) Char1"/>
    <w:link w:val="439"/>
    <w:qFormat/>
    <w:uiPriority w:val="0"/>
    <w:rPr>
      <w:snapToGrid w:val="0"/>
      <w:color w:val="000000"/>
      <w:sz w:val="24"/>
      <w:szCs w:val="24"/>
    </w:rPr>
  </w:style>
  <w:style w:type="paragraph" w:customStyle="1" w:styleId="441">
    <w:name w:val="表、图名"/>
    <w:basedOn w:val="1"/>
    <w:link w:val="442"/>
    <w:qFormat/>
    <w:uiPriority w:val="0"/>
    <w:pPr>
      <w:widowControl w:val="0"/>
      <w:adjustRightInd w:val="0"/>
      <w:snapToGrid w:val="0"/>
      <w:spacing w:line="500" w:lineRule="exact"/>
      <w:ind w:firstLine="5" w:firstLineChars="2"/>
      <w:jc w:val="center"/>
    </w:pPr>
    <w:rPr>
      <w:b/>
      <w:kern w:val="2"/>
      <w:sz w:val="24"/>
      <w:szCs w:val="24"/>
      <w:lang w:val="zh-CN"/>
    </w:rPr>
  </w:style>
  <w:style w:type="character" w:customStyle="1" w:styleId="442">
    <w:name w:val="表、图名 Char1"/>
    <w:link w:val="441"/>
    <w:qFormat/>
    <w:uiPriority w:val="0"/>
    <w:rPr>
      <w:b/>
      <w:kern w:val="2"/>
      <w:sz w:val="24"/>
      <w:szCs w:val="24"/>
      <w:lang w:val="zh-CN"/>
    </w:rPr>
  </w:style>
  <w:style w:type="paragraph" w:customStyle="1" w:styleId="443">
    <w:name w:val="样式 普通文字 + (符号) 宋体 小四"/>
    <w:basedOn w:val="27"/>
    <w:qFormat/>
    <w:uiPriority w:val="0"/>
    <w:pPr>
      <w:spacing w:line="240" w:lineRule="auto"/>
      <w:ind w:left="0"/>
    </w:pPr>
    <w:rPr>
      <w:rFonts w:cs="Times New Roman"/>
      <w:sz w:val="24"/>
      <w:szCs w:val="20"/>
      <w:lang w:val="zh-CN"/>
    </w:rPr>
  </w:style>
  <w:style w:type="character" w:customStyle="1" w:styleId="444">
    <w:name w:val="表名 Char Char"/>
    <w:link w:val="235"/>
    <w:qFormat/>
    <w:uiPriority w:val="0"/>
    <w:rPr>
      <w:color w:val="000000"/>
      <w:kern w:val="2"/>
      <w:sz w:val="21"/>
      <w:szCs w:val="28"/>
    </w:rPr>
  </w:style>
  <w:style w:type="paragraph" w:customStyle="1" w:styleId="445">
    <w:name w:val="表内容       .."/>
    <w:basedOn w:val="1"/>
    <w:link w:val="446"/>
    <w:qFormat/>
    <w:uiPriority w:val="0"/>
    <w:pPr>
      <w:widowControl w:val="0"/>
      <w:adjustRightInd w:val="0"/>
      <w:spacing w:line="240" w:lineRule="exact"/>
      <w:jc w:val="center"/>
      <w:textAlignment w:val="baseline"/>
    </w:pPr>
    <w:rPr>
      <w:kern w:val="2"/>
      <w:sz w:val="18"/>
      <w:szCs w:val="18"/>
      <w:lang w:val="zh-CN"/>
    </w:rPr>
  </w:style>
  <w:style w:type="character" w:customStyle="1" w:styleId="446">
    <w:name w:val="表内容       .. Char"/>
    <w:link w:val="445"/>
    <w:qFormat/>
    <w:uiPriority w:val="0"/>
    <w:rPr>
      <w:kern w:val="2"/>
      <w:sz w:val="18"/>
      <w:szCs w:val="18"/>
      <w:lang w:val="zh-CN"/>
    </w:rPr>
  </w:style>
  <w:style w:type="paragraph" w:customStyle="1" w:styleId="447">
    <w:name w:val="表名                .."/>
    <w:basedOn w:val="1"/>
    <w:link w:val="448"/>
    <w:qFormat/>
    <w:uiPriority w:val="0"/>
    <w:pPr>
      <w:widowControl w:val="0"/>
      <w:spacing w:line="360" w:lineRule="auto"/>
      <w:ind w:firstLine="480" w:firstLineChars="200"/>
      <w:textAlignment w:val="baseline"/>
    </w:pPr>
    <w:rPr>
      <w:rFonts w:ascii="宋体" w:hAnsi="宋体"/>
      <w:sz w:val="24"/>
      <w:szCs w:val="24"/>
      <w:lang w:val="zh-CN"/>
    </w:rPr>
  </w:style>
  <w:style w:type="character" w:customStyle="1" w:styleId="448">
    <w:name w:val="表名                .. Char"/>
    <w:link w:val="447"/>
    <w:qFormat/>
    <w:uiPriority w:val="0"/>
    <w:rPr>
      <w:rFonts w:ascii="宋体" w:hAnsi="宋体"/>
      <w:sz w:val="24"/>
      <w:szCs w:val="24"/>
      <w:lang w:val="zh-CN"/>
    </w:rPr>
  </w:style>
  <w:style w:type="paragraph" w:customStyle="1" w:styleId="449">
    <w:name w:val="表、图名 + 黑色"/>
    <w:basedOn w:val="441"/>
    <w:link w:val="450"/>
    <w:qFormat/>
    <w:uiPriority w:val="0"/>
    <w:pPr>
      <w:adjustRightInd/>
      <w:snapToGrid/>
      <w:spacing w:line="300" w:lineRule="auto"/>
      <w:ind w:firstLine="0" w:firstLineChars="0"/>
    </w:pPr>
    <w:rPr>
      <w:rFonts w:ascii="Arial" w:hAnsi="Arial" w:eastAsia="黑体"/>
      <w:b w:val="0"/>
      <w:color w:val="000000"/>
      <w:sz w:val="21"/>
      <w:szCs w:val="21"/>
    </w:rPr>
  </w:style>
  <w:style w:type="character" w:customStyle="1" w:styleId="450">
    <w:name w:val="表、图名 + 黑色 Char Char"/>
    <w:link w:val="449"/>
    <w:qFormat/>
    <w:uiPriority w:val="0"/>
    <w:rPr>
      <w:rFonts w:ascii="Arial" w:hAnsi="Arial" w:eastAsia="黑体"/>
      <w:color w:val="000000"/>
      <w:kern w:val="2"/>
      <w:sz w:val="21"/>
      <w:szCs w:val="21"/>
      <w:lang w:val="zh-CN"/>
    </w:rPr>
  </w:style>
  <w:style w:type="paragraph" w:customStyle="1" w:styleId="451">
    <w:name w:val="正文 首行缩进:  2 字符 SL CON"/>
    <w:basedOn w:val="1"/>
    <w:link w:val="452"/>
    <w:qFormat/>
    <w:uiPriority w:val="0"/>
    <w:pPr>
      <w:tabs>
        <w:tab w:val="left" w:pos="377"/>
      </w:tabs>
      <w:spacing w:line="360" w:lineRule="auto"/>
      <w:ind w:firstLine="200" w:firstLineChars="200"/>
      <w:jc w:val="both"/>
    </w:pPr>
    <w:rPr>
      <w:rFonts w:ascii="宋体"/>
      <w:sz w:val="28"/>
      <w:szCs w:val="24"/>
      <w:lang w:val="zh-CN"/>
    </w:rPr>
  </w:style>
  <w:style w:type="character" w:customStyle="1" w:styleId="452">
    <w:name w:val="正文 首行缩进:  2 字符 SL CON Char"/>
    <w:link w:val="451"/>
    <w:qFormat/>
    <w:uiPriority w:val="0"/>
    <w:rPr>
      <w:rFonts w:ascii="宋体"/>
      <w:sz w:val="28"/>
      <w:szCs w:val="24"/>
      <w:lang w:val="zh-CN"/>
    </w:rPr>
  </w:style>
  <w:style w:type="paragraph" w:customStyle="1" w:styleId="453">
    <w:name w:val="snp正文"/>
    <w:basedOn w:val="1"/>
    <w:link w:val="454"/>
    <w:qFormat/>
    <w:uiPriority w:val="0"/>
    <w:pPr>
      <w:widowControl w:val="0"/>
      <w:ind w:firstLine="200" w:firstLineChars="200"/>
      <w:jc w:val="both"/>
    </w:pPr>
    <w:rPr>
      <w:rFonts w:ascii="宋体" w:hAnsi="宋体"/>
      <w:bCs/>
      <w:iCs/>
      <w:kern w:val="2"/>
      <w:sz w:val="21"/>
      <w:szCs w:val="21"/>
      <w:lang w:val="zh-CN"/>
    </w:rPr>
  </w:style>
  <w:style w:type="character" w:customStyle="1" w:styleId="454">
    <w:name w:val="snp正文 Char"/>
    <w:link w:val="453"/>
    <w:qFormat/>
    <w:uiPriority w:val="0"/>
    <w:rPr>
      <w:rFonts w:ascii="宋体" w:hAnsi="宋体"/>
      <w:bCs/>
      <w:iCs/>
      <w:kern w:val="2"/>
      <w:sz w:val="21"/>
      <w:szCs w:val="21"/>
      <w:lang w:val="zh-CN"/>
    </w:rPr>
  </w:style>
  <w:style w:type="character" w:customStyle="1" w:styleId="455">
    <w:name w:val="rong正 Char Char"/>
    <w:link w:val="456"/>
    <w:qFormat/>
    <w:uiPriority w:val="0"/>
    <w:rPr>
      <w:rFonts w:ascii="宋体" w:hAnsi="宋体"/>
      <w:sz w:val="24"/>
      <w:szCs w:val="24"/>
    </w:rPr>
  </w:style>
  <w:style w:type="paragraph" w:customStyle="1" w:styleId="456">
    <w:name w:val="rong正"/>
    <w:basedOn w:val="1"/>
    <w:link w:val="455"/>
    <w:qFormat/>
    <w:uiPriority w:val="0"/>
    <w:pPr>
      <w:widowControl w:val="0"/>
      <w:adjustRightInd w:val="0"/>
      <w:snapToGrid w:val="0"/>
      <w:spacing w:line="300" w:lineRule="auto"/>
      <w:ind w:firstLine="200" w:firstLineChars="200"/>
      <w:jc w:val="both"/>
    </w:pPr>
    <w:rPr>
      <w:rFonts w:ascii="宋体" w:hAnsi="宋体"/>
      <w:sz w:val="24"/>
      <w:szCs w:val="24"/>
    </w:rPr>
  </w:style>
  <w:style w:type="character" w:customStyle="1" w:styleId="457">
    <w:name w:val="hdy Char Char"/>
    <w:link w:val="458"/>
    <w:qFormat/>
    <w:uiPriority w:val="0"/>
    <w:rPr>
      <w:bCs/>
      <w:color w:val="0000FF"/>
      <w:kern w:val="2"/>
      <w:sz w:val="24"/>
      <w:szCs w:val="24"/>
    </w:rPr>
  </w:style>
  <w:style w:type="paragraph" w:customStyle="1" w:styleId="458">
    <w:name w:val="hdy"/>
    <w:basedOn w:val="1"/>
    <w:link w:val="457"/>
    <w:qFormat/>
    <w:uiPriority w:val="0"/>
    <w:pPr>
      <w:widowControl w:val="0"/>
      <w:adjustRightInd w:val="0"/>
      <w:snapToGrid w:val="0"/>
      <w:spacing w:line="500" w:lineRule="exact"/>
      <w:ind w:firstLine="200" w:firstLineChars="200"/>
      <w:jc w:val="both"/>
    </w:pPr>
    <w:rPr>
      <w:bCs/>
      <w:color w:val="0000FF"/>
      <w:kern w:val="2"/>
      <w:sz w:val="24"/>
      <w:szCs w:val="24"/>
    </w:rPr>
  </w:style>
  <w:style w:type="paragraph" w:customStyle="1" w:styleId="459">
    <w:name w:val="TOC 标题1"/>
    <w:basedOn w:val="2"/>
    <w:next w:val="1"/>
    <w:semiHidden/>
    <w:unhideWhenUsed/>
    <w:qFormat/>
    <w:uiPriority w:val="39"/>
    <w:pPr>
      <w:widowControl/>
      <w:spacing w:before="480" w:beforeLines="0" w:after="0" w:afterAutospacing="0" w:line="276" w:lineRule="auto"/>
      <w:jc w:val="left"/>
      <w:outlineLvl w:val="9"/>
    </w:pPr>
    <w:rPr>
      <w:rFonts w:asciiTheme="majorHAnsi" w:hAnsiTheme="majorHAnsi" w:eastAsiaTheme="majorEastAsia" w:cstheme="majorBidi"/>
      <w:b/>
      <w:color w:val="376092" w:themeColor="accent1" w:themeShade="BF"/>
      <w:kern w:val="0"/>
      <w:sz w:val="28"/>
    </w:rPr>
  </w:style>
  <w:style w:type="paragraph" w:customStyle="1" w:styleId="460">
    <w:name w:val="图表名"/>
    <w:basedOn w:val="1"/>
    <w:qFormat/>
    <w:uiPriority w:val="99"/>
    <w:pPr>
      <w:widowControl w:val="0"/>
      <w:spacing w:line="360" w:lineRule="auto"/>
      <w:ind w:firstLine="200" w:firstLineChars="200"/>
      <w:jc w:val="center"/>
    </w:pPr>
    <w:rPr>
      <w:b/>
      <w:kern w:val="2"/>
      <w:sz w:val="21"/>
    </w:rPr>
  </w:style>
  <w:style w:type="paragraph" w:customStyle="1" w:styleId="461">
    <w:name w:val="报告插图"/>
    <w:basedOn w:val="1"/>
    <w:next w:val="1"/>
    <w:qFormat/>
    <w:uiPriority w:val="0"/>
    <w:pPr>
      <w:widowControl w:val="0"/>
      <w:jc w:val="center"/>
    </w:pPr>
    <w:rPr>
      <w:b/>
      <w:kern w:val="2"/>
      <w:sz w:val="21"/>
      <w:szCs w:val="21"/>
    </w:rPr>
  </w:style>
  <w:style w:type="character" w:customStyle="1" w:styleId="462">
    <w:name w:val="批注框文本 字符1"/>
    <w:basedOn w:val="55"/>
    <w:qFormat/>
    <w:uiPriority w:val="0"/>
    <w:rPr>
      <w:rFonts w:ascii="Times New Roman" w:hAnsi="Times New Roman" w:eastAsia="宋体" w:cs="Times New Roman"/>
      <w:sz w:val="18"/>
      <w:szCs w:val="18"/>
    </w:rPr>
  </w:style>
  <w:style w:type="paragraph" w:customStyle="1" w:styleId="463">
    <w:name w:val="图"/>
    <w:basedOn w:val="1"/>
    <w:qFormat/>
    <w:uiPriority w:val="99"/>
    <w:pPr>
      <w:widowControl w:val="0"/>
      <w:autoSpaceDE w:val="0"/>
      <w:autoSpaceDN w:val="0"/>
      <w:adjustRightInd w:val="0"/>
      <w:spacing w:line="360" w:lineRule="auto"/>
      <w:ind w:firstLine="200" w:firstLineChars="200"/>
      <w:jc w:val="center"/>
    </w:pPr>
    <w:rPr>
      <w:rFonts w:ascii="宋体"/>
      <w:color w:val="000000"/>
      <w:spacing w:val="6"/>
      <w:sz w:val="24"/>
    </w:rPr>
  </w:style>
  <w:style w:type="paragraph" w:customStyle="1" w:styleId="46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65">
    <w:name w:val="报告正文小四 Char"/>
    <w:link w:val="466"/>
    <w:qFormat/>
    <w:locked/>
    <w:uiPriority w:val="0"/>
    <w:rPr>
      <w:kern w:val="2"/>
      <w:sz w:val="24"/>
    </w:rPr>
  </w:style>
  <w:style w:type="paragraph" w:customStyle="1" w:styleId="466">
    <w:name w:val="报告正文小四"/>
    <w:basedOn w:val="1"/>
    <w:link w:val="465"/>
    <w:qFormat/>
    <w:uiPriority w:val="0"/>
    <w:pPr>
      <w:widowControl w:val="0"/>
      <w:adjustRightInd w:val="0"/>
      <w:snapToGrid w:val="0"/>
      <w:spacing w:before="120" w:line="420" w:lineRule="atLeast"/>
      <w:ind w:firstLine="510"/>
      <w:jc w:val="both"/>
    </w:pPr>
    <w:rPr>
      <w:kern w:val="2"/>
      <w:sz w:val="24"/>
    </w:rPr>
  </w:style>
  <w:style w:type="paragraph" w:customStyle="1" w:styleId="467">
    <w:name w:val="Char3"/>
    <w:basedOn w:val="1"/>
    <w:link w:val="521"/>
    <w:qFormat/>
    <w:uiPriority w:val="0"/>
    <w:pPr>
      <w:widowControl w:val="0"/>
      <w:jc w:val="both"/>
    </w:pPr>
    <w:rPr>
      <w:rFonts w:ascii="Calibri" w:hAnsi="Calibri"/>
      <w:kern w:val="2"/>
      <w:sz w:val="21"/>
      <w:szCs w:val="22"/>
    </w:rPr>
  </w:style>
  <w:style w:type="paragraph" w:customStyle="1" w:styleId="468">
    <w:name w:val="xx正文"/>
    <w:basedOn w:val="1"/>
    <w:qFormat/>
    <w:uiPriority w:val="0"/>
    <w:pPr>
      <w:widowControl w:val="0"/>
      <w:spacing w:line="360" w:lineRule="auto"/>
      <w:ind w:firstLine="200" w:firstLineChars="200"/>
      <w:jc w:val="both"/>
    </w:pPr>
    <w:rPr>
      <w:rFonts w:ascii="Romana BT" w:hAnsi="Romana BT" w:eastAsia="等线" w:cs="Romana BT"/>
      <w:kern w:val="2"/>
      <w:sz w:val="24"/>
      <w:szCs w:val="28"/>
    </w:rPr>
  </w:style>
  <w:style w:type="paragraph" w:customStyle="1" w:styleId="469">
    <w:name w:val="Char12"/>
    <w:basedOn w:val="1"/>
    <w:qFormat/>
    <w:uiPriority w:val="0"/>
    <w:pPr>
      <w:widowControl w:val="0"/>
      <w:adjustRightInd w:val="0"/>
      <w:snapToGrid w:val="0"/>
      <w:jc w:val="both"/>
    </w:pPr>
    <w:rPr>
      <w:rFonts w:ascii="Calibri" w:hAnsi="Calibri"/>
      <w:kern w:val="2"/>
      <w:sz w:val="21"/>
      <w:szCs w:val="24"/>
    </w:rPr>
  </w:style>
  <w:style w:type="character" w:customStyle="1" w:styleId="470">
    <w:name w:val="正文缩进 字符1"/>
    <w:qFormat/>
    <w:uiPriority w:val="0"/>
    <w:rPr>
      <w:rFonts w:eastAsia="宋体" w:cs="宋体"/>
      <w:kern w:val="2"/>
      <w:sz w:val="24"/>
      <w:szCs w:val="24"/>
      <w:lang w:val="en-US" w:eastAsia="zh-CN" w:bidi="ar-SA"/>
    </w:rPr>
  </w:style>
  <w:style w:type="paragraph" w:customStyle="1" w:styleId="471">
    <w:name w:val="文本  正文"/>
    <w:basedOn w:val="1"/>
    <w:qFormat/>
    <w:uiPriority w:val="0"/>
    <w:pPr>
      <w:widowControl w:val="0"/>
      <w:adjustRightInd w:val="0"/>
      <w:snapToGrid w:val="0"/>
      <w:spacing w:line="520" w:lineRule="exact"/>
      <w:ind w:firstLine="480" w:firstLineChars="200"/>
      <w:jc w:val="both"/>
    </w:pPr>
    <w:rPr>
      <w:rFonts w:ascii="仿宋_GB2312" w:eastAsia="仿宋_GB2312" w:cs="宋体"/>
      <w:kern w:val="2"/>
      <w:sz w:val="24"/>
    </w:rPr>
  </w:style>
  <w:style w:type="character" w:customStyle="1" w:styleId="472">
    <w:name w:val="Char Char32"/>
    <w:link w:val="473"/>
    <w:qFormat/>
    <w:uiPriority w:val="0"/>
    <w:rPr>
      <w:kern w:val="2"/>
      <w:sz w:val="21"/>
      <w:szCs w:val="24"/>
    </w:rPr>
  </w:style>
  <w:style w:type="paragraph" w:customStyle="1" w:styleId="473">
    <w:name w:val="Char4"/>
    <w:basedOn w:val="1"/>
    <w:link w:val="472"/>
    <w:qFormat/>
    <w:uiPriority w:val="0"/>
    <w:pPr>
      <w:widowControl w:val="0"/>
      <w:adjustRightInd w:val="0"/>
      <w:snapToGrid w:val="0"/>
      <w:jc w:val="both"/>
    </w:pPr>
    <w:rPr>
      <w:kern w:val="2"/>
      <w:sz w:val="21"/>
      <w:szCs w:val="24"/>
    </w:rPr>
  </w:style>
  <w:style w:type="character" w:customStyle="1" w:styleId="474">
    <w:name w:val="别动 Char"/>
    <w:link w:val="160"/>
    <w:qFormat/>
    <w:uiPriority w:val="0"/>
    <w:rPr>
      <w:sz w:val="21"/>
    </w:rPr>
  </w:style>
  <w:style w:type="paragraph" w:customStyle="1" w:styleId="475">
    <w:name w:val="婊子444"/>
    <w:basedOn w:val="1"/>
    <w:qFormat/>
    <w:uiPriority w:val="0"/>
    <w:pPr>
      <w:widowControl w:val="0"/>
      <w:adjustRightInd w:val="0"/>
      <w:snapToGrid w:val="0"/>
      <w:jc w:val="center"/>
    </w:pPr>
    <w:rPr>
      <w:color w:val="000000"/>
      <w:sz w:val="21"/>
      <w:szCs w:val="24"/>
    </w:rPr>
  </w:style>
  <w:style w:type="paragraph" w:customStyle="1" w:styleId="476">
    <w:name w:val="表头图名"/>
    <w:qFormat/>
    <w:uiPriority w:val="0"/>
    <w:pPr>
      <w:widowControl w:val="0"/>
      <w:spacing w:afterLines="25" w:line="360" w:lineRule="auto"/>
      <w:jc w:val="center"/>
    </w:pPr>
    <w:rPr>
      <w:rFonts w:ascii="宋体" w:hAnsi="宋体" w:eastAsia="宋体" w:cs="宋体"/>
      <w:b/>
      <w:kern w:val="2"/>
      <w:sz w:val="24"/>
      <w:szCs w:val="24"/>
      <w:lang w:val="en-US" w:eastAsia="zh-CN" w:bidi="ar-SA"/>
    </w:rPr>
  </w:style>
  <w:style w:type="paragraph" w:customStyle="1" w:styleId="477">
    <w:name w:val="图表字"/>
    <w:basedOn w:val="1"/>
    <w:qFormat/>
    <w:uiPriority w:val="0"/>
    <w:pPr>
      <w:widowControl w:val="0"/>
      <w:adjustRightInd w:val="0"/>
      <w:snapToGrid w:val="0"/>
      <w:spacing w:line="360" w:lineRule="exact"/>
      <w:jc w:val="center"/>
    </w:pPr>
    <w:rPr>
      <w:rFonts w:ascii="宋体" w:hAnsi="宋体" w:cs="宋体"/>
      <w:kern w:val="2"/>
      <w:sz w:val="21"/>
      <w:szCs w:val="24"/>
    </w:rPr>
  </w:style>
  <w:style w:type="paragraph" w:customStyle="1" w:styleId="478">
    <w:name w:val="我草"/>
    <w:basedOn w:val="159"/>
    <w:qFormat/>
    <w:uiPriority w:val="0"/>
    <w:pPr>
      <w:tabs>
        <w:tab w:val="clear" w:pos="540"/>
        <w:tab w:val="clear" w:pos="1080"/>
        <w:tab w:val="clear" w:pos="1260"/>
        <w:tab w:val="clear" w:pos="1440"/>
      </w:tabs>
      <w:adjustRightInd w:val="0"/>
      <w:spacing w:line="340" w:lineRule="exact"/>
    </w:pPr>
    <w:rPr>
      <w:rFonts w:hint="eastAsia" w:ascii="Times New Roman" w:hAnsi="Times New Roman" w:eastAsia="宋体" w:cs="Times New Roman"/>
      <w:b/>
      <w:bCs w:val="0"/>
      <w:szCs w:val="20"/>
    </w:rPr>
  </w:style>
  <w:style w:type="paragraph" w:customStyle="1" w:styleId="479">
    <w:name w:val="表文"/>
    <w:next w:val="1"/>
    <w:qFormat/>
    <w:uiPriority w:val="0"/>
    <w:rPr>
      <w:rFonts w:ascii="仿宋" w:hAnsi="Times New Roman" w:eastAsia="仿宋" w:cs="Times New Roman"/>
      <w:kern w:val="2"/>
      <w:sz w:val="21"/>
      <w:szCs w:val="24"/>
      <w:lang w:val="en-US" w:eastAsia="zh-CN" w:bidi="ar-SA"/>
    </w:rPr>
  </w:style>
  <w:style w:type="character" w:customStyle="1" w:styleId="480">
    <w:name w:val="电子邮件签名 字符"/>
    <w:basedOn w:val="55"/>
    <w:link w:val="14"/>
    <w:qFormat/>
    <w:uiPriority w:val="0"/>
    <w:rPr>
      <w:kern w:val="2"/>
      <w:sz w:val="21"/>
      <w:szCs w:val="24"/>
    </w:rPr>
  </w:style>
  <w:style w:type="character" w:customStyle="1" w:styleId="481">
    <w:name w:val="HTML 地址 字符"/>
    <w:basedOn w:val="55"/>
    <w:link w:val="23"/>
    <w:qFormat/>
    <w:uiPriority w:val="0"/>
    <w:rPr>
      <w:i/>
      <w:iCs/>
      <w:kern w:val="2"/>
      <w:sz w:val="21"/>
      <w:szCs w:val="24"/>
    </w:rPr>
  </w:style>
  <w:style w:type="character" w:customStyle="1" w:styleId="482">
    <w:name w:val="Char Char211"/>
    <w:qFormat/>
    <w:locked/>
    <w:uiPriority w:val="0"/>
    <w:rPr>
      <w:b/>
      <w:kern w:val="44"/>
      <w:sz w:val="44"/>
    </w:rPr>
  </w:style>
  <w:style w:type="character" w:customStyle="1" w:styleId="483">
    <w:name w:val="03表格内容 字符"/>
    <w:basedOn w:val="55"/>
    <w:link w:val="484"/>
    <w:qFormat/>
    <w:uiPriority w:val="0"/>
    <w:rPr>
      <w:color w:val="000000"/>
      <w:sz w:val="24"/>
      <w:szCs w:val="24"/>
    </w:rPr>
  </w:style>
  <w:style w:type="paragraph" w:customStyle="1" w:styleId="484">
    <w:name w:val="03表格内容"/>
    <w:basedOn w:val="1"/>
    <w:link w:val="483"/>
    <w:qFormat/>
    <w:uiPriority w:val="0"/>
    <w:pPr>
      <w:widowControl w:val="0"/>
      <w:adjustRightInd w:val="0"/>
      <w:snapToGrid w:val="0"/>
      <w:jc w:val="center"/>
    </w:pPr>
    <w:rPr>
      <w:color w:val="000000"/>
      <w:sz w:val="24"/>
      <w:szCs w:val="24"/>
    </w:rPr>
  </w:style>
  <w:style w:type="character" w:customStyle="1" w:styleId="485">
    <w:name w:val="标题 3 Char"/>
    <w:qFormat/>
    <w:uiPriority w:val="0"/>
    <w:rPr>
      <w:b/>
      <w:bCs/>
      <w:kern w:val="2"/>
      <w:sz w:val="28"/>
      <w:szCs w:val="32"/>
    </w:rPr>
  </w:style>
  <w:style w:type="character" w:customStyle="1" w:styleId="486">
    <w:name w:val="我的正文 Char"/>
    <w:basedOn w:val="55"/>
    <w:link w:val="487"/>
    <w:qFormat/>
    <w:uiPriority w:val="0"/>
    <w:rPr>
      <w:rFonts w:ascii="Calibri" w:hAnsi="Calibri"/>
      <w:color w:val="000000"/>
      <w:kern w:val="2"/>
      <w:sz w:val="24"/>
      <w:szCs w:val="24"/>
    </w:rPr>
  </w:style>
  <w:style w:type="paragraph" w:customStyle="1" w:styleId="487">
    <w:name w:val="我的正文"/>
    <w:basedOn w:val="1"/>
    <w:link w:val="486"/>
    <w:qFormat/>
    <w:uiPriority w:val="0"/>
    <w:pPr>
      <w:widowControl w:val="0"/>
      <w:adjustRightInd w:val="0"/>
      <w:snapToGrid w:val="0"/>
      <w:spacing w:line="480" w:lineRule="auto"/>
      <w:ind w:firstLine="480" w:firstLineChars="200"/>
      <w:jc w:val="both"/>
    </w:pPr>
    <w:rPr>
      <w:rFonts w:ascii="Calibri" w:hAnsi="Calibri"/>
      <w:color w:val="000000"/>
      <w:kern w:val="2"/>
      <w:sz w:val="24"/>
      <w:szCs w:val="24"/>
    </w:rPr>
  </w:style>
  <w:style w:type="character" w:customStyle="1" w:styleId="488">
    <w:name w:val="上标"/>
    <w:qFormat/>
    <w:uiPriority w:val="0"/>
    <w:rPr>
      <w:sz w:val="24"/>
      <w:vertAlign w:val="superscript"/>
    </w:rPr>
  </w:style>
  <w:style w:type="character" w:customStyle="1" w:styleId="489">
    <w:name w:val="图、表标题 Char"/>
    <w:link w:val="490"/>
    <w:qFormat/>
    <w:uiPriority w:val="0"/>
    <w:rPr>
      <w:rFonts w:ascii="黑体" w:hAnsi="黑体" w:eastAsia="黑体"/>
      <w:bCs/>
      <w:snapToGrid w:val="0"/>
      <w:kern w:val="2"/>
      <w:sz w:val="21"/>
      <w:szCs w:val="21"/>
    </w:rPr>
  </w:style>
  <w:style w:type="paragraph" w:customStyle="1" w:styleId="490">
    <w:name w:val="图、表标题"/>
    <w:next w:val="1"/>
    <w:link w:val="489"/>
    <w:qFormat/>
    <w:uiPriority w:val="0"/>
    <w:pPr>
      <w:spacing w:line="360" w:lineRule="auto"/>
      <w:jc w:val="center"/>
    </w:pPr>
    <w:rPr>
      <w:rFonts w:ascii="黑体" w:hAnsi="黑体" w:eastAsia="黑体" w:cs="Times New Roman"/>
      <w:bCs/>
      <w:snapToGrid w:val="0"/>
      <w:kern w:val="2"/>
      <w:sz w:val="21"/>
      <w:szCs w:val="21"/>
      <w:lang w:val="en-US" w:eastAsia="zh-CN" w:bidi="ar-SA"/>
    </w:rPr>
  </w:style>
  <w:style w:type="character" w:customStyle="1" w:styleId="491">
    <w:name w:val="表标题 Char Char"/>
    <w:semiHidden/>
    <w:qFormat/>
    <w:locked/>
    <w:uiPriority w:val="0"/>
    <w:rPr>
      <w:rFonts w:ascii="黑体" w:eastAsia="黑体"/>
      <w:sz w:val="24"/>
    </w:rPr>
  </w:style>
  <w:style w:type="character" w:customStyle="1" w:styleId="492">
    <w:name w:val="4号仿宋左空1格行距1倍 Char"/>
    <w:qFormat/>
    <w:uiPriority w:val="0"/>
    <w:rPr>
      <w:rFonts w:ascii="Arial" w:hAnsi="Arial" w:eastAsia="黑体"/>
      <w:bCs/>
      <w:kern w:val="2"/>
      <w:sz w:val="28"/>
      <w:szCs w:val="28"/>
    </w:rPr>
  </w:style>
  <w:style w:type="character" w:customStyle="1" w:styleId="493">
    <w:name w:val="1正文 Char"/>
    <w:link w:val="494"/>
    <w:qFormat/>
    <w:uiPriority w:val="0"/>
    <w:rPr>
      <w:sz w:val="24"/>
      <w:lang w:val="zh-CN" w:eastAsia="en-US" w:bidi="en-US"/>
    </w:rPr>
  </w:style>
  <w:style w:type="paragraph" w:customStyle="1" w:styleId="494">
    <w:name w:val="1正文"/>
    <w:basedOn w:val="1"/>
    <w:link w:val="493"/>
    <w:qFormat/>
    <w:uiPriority w:val="0"/>
    <w:pPr>
      <w:widowControl w:val="0"/>
      <w:adjustRightInd w:val="0"/>
      <w:snapToGrid w:val="0"/>
      <w:spacing w:line="360" w:lineRule="auto"/>
      <w:ind w:firstLine="200" w:firstLineChars="200"/>
      <w:jc w:val="both"/>
    </w:pPr>
    <w:rPr>
      <w:sz w:val="24"/>
      <w:lang w:val="zh-CN" w:eastAsia="en-US" w:bidi="en-US"/>
    </w:rPr>
  </w:style>
  <w:style w:type="character" w:customStyle="1" w:styleId="495">
    <w:name w:val="1标题 Char"/>
    <w:link w:val="496"/>
    <w:qFormat/>
    <w:uiPriority w:val="0"/>
    <w:rPr>
      <w:rFonts w:ascii="宋体" w:hAnsi="宋体"/>
      <w:kern w:val="2"/>
      <w:sz w:val="28"/>
    </w:rPr>
  </w:style>
  <w:style w:type="paragraph" w:customStyle="1" w:styleId="496">
    <w:name w:val="1标题"/>
    <w:basedOn w:val="1"/>
    <w:link w:val="495"/>
    <w:qFormat/>
    <w:uiPriority w:val="0"/>
    <w:pPr>
      <w:widowControl w:val="0"/>
      <w:adjustRightInd w:val="0"/>
      <w:snapToGrid w:val="0"/>
      <w:ind w:firstLine="560" w:firstLineChars="200"/>
      <w:jc w:val="both"/>
    </w:pPr>
    <w:rPr>
      <w:rFonts w:ascii="宋体" w:hAnsi="宋体"/>
      <w:kern w:val="2"/>
      <w:sz w:val="28"/>
    </w:rPr>
  </w:style>
  <w:style w:type="character" w:customStyle="1" w:styleId="497">
    <w:name w:val="A-z正文 Char"/>
    <w:link w:val="498"/>
    <w:qFormat/>
    <w:uiPriority w:val="0"/>
    <w:rPr>
      <w:kern w:val="2"/>
      <w:sz w:val="24"/>
    </w:rPr>
  </w:style>
  <w:style w:type="paragraph" w:customStyle="1" w:styleId="498">
    <w:name w:val="A-z正文"/>
    <w:basedOn w:val="1"/>
    <w:link w:val="497"/>
    <w:qFormat/>
    <w:uiPriority w:val="0"/>
    <w:pPr>
      <w:widowControl w:val="0"/>
      <w:adjustRightInd w:val="0"/>
      <w:snapToGrid w:val="0"/>
      <w:spacing w:line="360" w:lineRule="auto"/>
      <w:ind w:firstLine="200" w:firstLineChars="200"/>
      <w:jc w:val="both"/>
    </w:pPr>
    <w:rPr>
      <w:kern w:val="2"/>
      <w:sz w:val="24"/>
    </w:rPr>
  </w:style>
  <w:style w:type="character" w:customStyle="1" w:styleId="499">
    <w:name w:val="图、表名称 Char"/>
    <w:link w:val="500"/>
    <w:qFormat/>
    <w:uiPriority w:val="0"/>
    <w:rPr>
      <w:rFonts w:ascii="黑体" w:hAnsi="黑体" w:eastAsia="黑体"/>
      <w:bCs/>
      <w:kern w:val="2"/>
      <w:sz w:val="21"/>
      <w:szCs w:val="24"/>
    </w:rPr>
  </w:style>
  <w:style w:type="paragraph" w:customStyle="1" w:styleId="500">
    <w:name w:val="图、表名称"/>
    <w:basedOn w:val="501"/>
    <w:link w:val="499"/>
    <w:qFormat/>
    <w:uiPriority w:val="0"/>
    <w:pPr>
      <w:ind w:firstLine="0" w:firstLineChars="0"/>
      <w:jc w:val="center"/>
    </w:pPr>
    <w:rPr>
      <w:rFonts w:ascii="黑体" w:hAnsi="黑体" w:eastAsia="黑体"/>
      <w:sz w:val="21"/>
    </w:rPr>
  </w:style>
  <w:style w:type="paragraph" w:customStyle="1" w:styleId="501">
    <w:name w:val="正式本文"/>
    <w:basedOn w:val="2"/>
    <w:link w:val="502"/>
    <w:qFormat/>
    <w:uiPriority w:val="0"/>
    <w:pPr>
      <w:keepNext w:val="0"/>
      <w:keepLines w:val="0"/>
      <w:adjustRightInd w:val="0"/>
      <w:snapToGrid w:val="0"/>
      <w:spacing w:beforeLines="0" w:after="0" w:afterAutospacing="0" w:line="360" w:lineRule="auto"/>
      <w:ind w:firstLine="480" w:firstLineChars="200"/>
      <w:jc w:val="left"/>
      <w:outlineLvl w:val="9"/>
    </w:pPr>
    <w:rPr>
      <w:rFonts w:ascii="宋体" w:hAnsi="宋体" w:eastAsia="宋体"/>
      <w:kern w:val="2"/>
      <w:sz w:val="24"/>
      <w:szCs w:val="24"/>
    </w:rPr>
  </w:style>
  <w:style w:type="character" w:customStyle="1" w:styleId="502">
    <w:name w:val="正式本文 Char"/>
    <w:link w:val="501"/>
    <w:qFormat/>
    <w:uiPriority w:val="0"/>
    <w:rPr>
      <w:rFonts w:ascii="宋体" w:hAnsi="宋体"/>
      <w:bCs/>
      <w:kern w:val="2"/>
      <w:sz w:val="24"/>
      <w:szCs w:val="24"/>
    </w:rPr>
  </w:style>
  <w:style w:type="character" w:customStyle="1" w:styleId="503">
    <w:name w:val="正文缩进 Char Char"/>
    <w:qFormat/>
    <w:uiPriority w:val="0"/>
    <w:rPr>
      <w:rFonts w:eastAsia="仿宋_GB2312"/>
      <w:kern w:val="2"/>
      <w:sz w:val="28"/>
      <w:lang w:val="en-US" w:eastAsia="zh-CN" w:bidi="ar-SA"/>
    </w:rPr>
  </w:style>
  <w:style w:type="character" w:customStyle="1" w:styleId="504">
    <w:name w:val="小2号宋体居中行距2倍 Char"/>
    <w:qFormat/>
    <w:uiPriority w:val="0"/>
    <w:rPr>
      <w:rFonts w:eastAsia="宋体"/>
      <w:b/>
      <w:bCs/>
      <w:kern w:val="44"/>
      <w:sz w:val="44"/>
      <w:szCs w:val="44"/>
      <w:lang w:val="en-US" w:eastAsia="zh-CN" w:bidi="ar-SA"/>
    </w:rPr>
  </w:style>
  <w:style w:type="character" w:customStyle="1" w:styleId="505">
    <w:name w:val="02表格标题 字符"/>
    <w:basedOn w:val="55"/>
    <w:link w:val="506"/>
    <w:qFormat/>
    <w:uiPriority w:val="0"/>
    <w:rPr>
      <w:rFonts w:eastAsia="黑体"/>
      <w:color w:val="000000"/>
      <w:sz w:val="24"/>
      <w:szCs w:val="24"/>
    </w:rPr>
  </w:style>
  <w:style w:type="paragraph" w:customStyle="1" w:styleId="506">
    <w:name w:val="02表格标题"/>
    <w:basedOn w:val="1"/>
    <w:link w:val="505"/>
    <w:qFormat/>
    <w:uiPriority w:val="0"/>
    <w:pPr>
      <w:widowControl w:val="0"/>
      <w:adjustRightInd w:val="0"/>
      <w:snapToGrid w:val="0"/>
      <w:jc w:val="center"/>
    </w:pPr>
    <w:rPr>
      <w:rFonts w:eastAsia="黑体"/>
      <w:color w:val="000000"/>
      <w:sz w:val="24"/>
      <w:szCs w:val="24"/>
    </w:rPr>
  </w:style>
  <w:style w:type="character" w:customStyle="1" w:styleId="507">
    <w:name w:val="无间隔 Char"/>
    <w:link w:val="508"/>
    <w:qFormat/>
    <w:uiPriority w:val="0"/>
    <w:rPr>
      <w:kern w:val="2"/>
      <w:sz w:val="21"/>
      <w:szCs w:val="21"/>
    </w:rPr>
  </w:style>
  <w:style w:type="paragraph" w:customStyle="1" w:styleId="508">
    <w:name w:val="无间隔1"/>
    <w:link w:val="507"/>
    <w:qFormat/>
    <w:uiPriority w:val="0"/>
    <w:rPr>
      <w:rFonts w:ascii="Times New Roman" w:hAnsi="Times New Roman" w:eastAsia="宋体" w:cs="Times New Roman"/>
      <w:kern w:val="2"/>
      <w:sz w:val="21"/>
      <w:szCs w:val="21"/>
      <w:lang w:val="en-US" w:eastAsia="zh-CN" w:bidi="ar-SA"/>
    </w:rPr>
  </w:style>
  <w:style w:type="character" w:customStyle="1" w:styleId="509">
    <w:name w:val="表格内容 Char Char"/>
    <w:qFormat/>
    <w:uiPriority w:val="0"/>
    <w:rPr>
      <w:rFonts w:ascii="宋体"/>
      <w:kern w:val="2"/>
      <w:sz w:val="21"/>
      <w:szCs w:val="21"/>
    </w:rPr>
  </w:style>
  <w:style w:type="character" w:customStyle="1" w:styleId="510">
    <w:name w:val="纯文本 Char1 Char"/>
    <w:qFormat/>
    <w:uiPriority w:val="0"/>
    <w:rPr>
      <w:rFonts w:ascii="宋体" w:hAnsi="Courier New"/>
      <w:kern w:val="2"/>
      <w:sz w:val="28"/>
    </w:rPr>
  </w:style>
  <w:style w:type="character" w:customStyle="1" w:styleId="511">
    <w:name w:val="zz Char"/>
    <w:link w:val="512"/>
    <w:qFormat/>
    <w:uiPriority w:val="0"/>
    <w:rPr>
      <w:sz w:val="24"/>
    </w:rPr>
  </w:style>
  <w:style w:type="paragraph" w:customStyle="1" w:styleId="512">
    <w:name w:val="zz"/>
    <w:basedOn w:val="1"/>
    <w:link w:val="511"/>
    <w:qFormat/>
    <w:uiPriority w:val="0"/>
    <w:pPr>
      <w:widowControl w:val="0"/>
      <w:adjustRightInd w:val="0"/>
      <w:snapToGrid w:val="0"/>
      <w:spacing w:line="360" w:lineRule="auto"/>
      <w:ind w:firstLine="420" w:firstLineChars="200"/>
    </w:pPr>
    <w:rPr>
      <w:sz w:val="24"/>
    </w:rPr>
  </w:style>
  <w:style w:type="character" w:customStyle="1" w:styleId="513">
    <w:name w:val="标题 2 Char"/>
    <w:qFormat/>
    <w:uiPriority w:val="0"/>
    <w:rPr>
      <w:b/>
      <w:kern w:val="2"/>
      <w:sz w:val="32"/>
      <w:szCs w:val="30"/>
    </w:rPr>
  </w:style>
  <w:style w:type="character" w:customStyle="1" w:styleId="514">
    <w:name w:val="四级标题 Char"/>
    <w:basedOn w:val="55"/>
    <w:link w:val="515"/>
    <w:qFormat/>
    <w:uiPriority w:val="0"/>
    <w:rPr>
      <w:rFonts w:ascii="黑体" w:hAnsi="宋体" w:eastAsia="黑体"/>
      <w:b/>
      <w:sz w:val="24"/>
      <w:szCs w:val="24"/>
      <w:lang w:val="zh-CN"/>
    </w:rPr>
  </w:style>
  <w:style w:type="paragraph" w:customStyle="1" w:styleId="515">
    <w:name w:val="四级标题"/>
    <w:basedOn w:val="6"/>
    <w:link w:val="514"/>
    <w:qFormat/>
    <w:uiPriority w:val="0"/>
    <w:pPr>
      <w:adjustRightInd w:val="0"/>
      <w:snapToGrid w:val="0"/>
      <w:spacing w:before="0" w:after="0" w:line="360" w:lineRule="auto"/>
    </w:pPr>
    <w:rPr>
      <w:rFonts w:ascii="黑体" w:hAnsi="宋体"/>
      <w:bCs w:val="0"/>
      <w:kern w:val="0"/>
      <w:sz w:val="24"/>
      <w:szCs w:val="24"/>
      <w:lang w:val="zh-CN"/>
    </w:rPr>
  </w:style>
  <w:style w:type="character" w:customStyle="1" w:styleId="516">
    <w:name w:val="一、二、 Char"/>
    <w:link w:val="517"/>
    <w:qFormat/>
    <w:uiPriority w:val="0"/>
    <w:rPr>
      <w:rFonts w:eastAsia="黑体"/>
      <w:bCs/>
      <w:kern w:val="2"/>
      <w:sz w:val="28"/>
      <w:szCs w:val="28"/>
    </w:rPr>
  </w:style>
  <w:style w:type="paragraph" w:customStyle="1" w:styleId="517">
    <w:name w:val="一、二、"/>
    <w:basedOn w:val="2"/>
    <w:link w:val="516"/>
    <w:qFormat/>
    <w:uiPriority w:val="0"/>
    <w:pPr>
      <w:keepNext w:val="0"/>
      <w:keepLines w:val="0"/>
      <w:adjustRightInd w:val="0"/>
      <w:snapToGrid w:val="0"/>
      <w:spacing w:before="300" w:beforeLines="50" w:after="0" w:afterAutospacing="0" w:line="360" w:lineRule="auto"/>
      <w:jc w:val="left"/>
    </w:pPr>
    <w:rPr>
      <w:kern w:val="2"/>
      <w:sz w:val="28"/>
    </w:rPr>
  </w:style>
  <w:style w:type="character" w:customStyle="1" w:styleId="518">
    <w:name w:val="标题 5 Char Char"/>
    <w:qFormat/>
    <w:uiPriority w:val="0"/>
    <w:rPr>
      <w:rFonts w:eastAsia="楷体_GB2312"/>
      <w:snapToGrid w:val="0"/>
      <w:kern w:val="2"/>
      <w:sz w:val="28"/>
    </w:rPr>
  </w:style>
  <w:style w:type="character" w:customStyle="1" w:styleId="519">
    <w:name w:val="批注框文本 Char"/>
    <w:qFormat/>
    <w:uiPriority w:val="0"/>
    <w:rPr>
      <w:kern w:val="2"/>
      <w:sz w:val="18"/>
      <w:szCs w:val="18"/>
    </w:rPr>
  </w:style>
  <w:style w:type="character" w:customStyle="1" w:styleId="520">
    <w:name w:val="正文文本 Char"/>
    <w:qFormat/>
    <w:locked/>
    <w:uiPriority w:val="0"/>
    <w:rPr>
      <w:rFonts w:cs="Times New Roman"/>
      <w:kern w:val="2"/>
      <w:sz w:val="28"/>
    </w:rPr>
  </w:style>
  <w:style w:type="character" w:customStyle="1" w:styleId="521">
    <w:name w:val="Char Char321"/>
    <w:link w:val="467"/>
    <w:qFormat/>
    <w:locked/>
    <w:uiPriority w:val="0"/>
    <w:rPr>
      <w:rFonts w:ascii="Calibri" w:hAnsi="Calibri"/>
      <w:kern w:val="2"/>
      <w:sz w:val="21"/>
      <w:szCs w:val="22"/>
    </w:rPr>
  </w:style>
  <w:style w:type="character" w:customStyle="1" w:styleId="522">
    <w:name w:val="标题7 Char"/>
    <w:link w:val="523"/>
    <w:semiHidden/>
    <w:qFormat/>
    <w:locked/>
    <w:uiPriority w:val="0"/>
    <w:rPr>
      <w:rFonts w:ascii="仿宋_GB2312" w:eastAsia="仿宋_GB2312"/>
      <w:b/>
      <w:color w:val="000000"/>
      <w:sz w:val="28"/>
    </w:rPr>
  </w:style>
  <w:style w:type="paragraph" w:customStyle="1" w:styleId="523">
    <w:name w:val="标题7"/>
    <w:basedOn w:val="1"/>
    <w:link w:val="522"/>
    <w:semiHidden/>
    <w:qFormat/>
    <w:uiPriority w:val="0"/>
    <w:pPr>
      <w:widowControl w:val="0"/>
      <w:tabs>
        <w:tab w:val="left" w:pos="660"/>
      </w:tabs>
      <w:adjustRightInd w:val="0"/>
      <w:snapToGrid w:val="0"/>
      <w:spacing w:line="360" w:lineRule="auto"/>
      <w:ind w:firstLine="528" w:firstLineChars="200"/>
    </w:pPr>
    <w:rPr>
      <w:rFonts w:ascii="仿宋_GB2312" w:eastAsia="仿宋_GB2312"/>
      <w:b/>
      <w:color w:val="000000"/>
      <w:sz w:val="28"/>
    </w:rPr>
  </w:style>
  <w:style w:type="character" w:customStyle="1" w:styleId="524">
    <w:name w:val="4号宋体左齐行距1.5倍 Char"/>
    <w:qFormat/>
    <w:uiPriority w:val="0"/>
    <w:rPr>
      <w:b/>
      <w:bCs/>
      <w:kern w:val="2"/>
      <w:sz w:val="28"/>
      <w:szCs w:val="32"/>
    </w:rPr>
  </w:style>
  <w:style w:type="character" w:customStyle="1" w:styleId="525">
    <w:name w:val="样式 宋体 小四 行距: 多倍行距 1.3 字行 Char"/>
    <w:link w:val="526"/>
    <w:qFormat/>
    <w:uiPriority w:val="0"/>
    <w:rPr>
      <w:rFonts w:ascii="宋体" w:hAnsi="宋体"/>
      <w:sz w:val="24"/>
      <w:lang w:val="zh-CN"/>
    </w:rPr>
  </w:style>
  <w:style w:type="paragraph" w:customStyle="1" w:styleId="526">
    <w:name w:val="样式 宋体 小四 行距: 多倍行距 1.3 字行"/>
    <w:basedOn w:val="1"/>
    <w:link w:val="525"/>
    <w:qFormat/>
    <w:uiPriority w:val="0"/>
    <w:pPr>
      <w:widowControl w:val="0"/>
      <w:adjustRightInd w:val="0"/>
      <w:snapToGrid w:val="0"/>
      <w:spacing w:line="312" w:lineRule="auto"/>
      <w:ind w:firstLine="480" w:firstLineChars="200"/>
      <w:jc w:val="both"/>
    </w:pPr>
    <w:rPr>
      <w:rFonts w:ascii="宋体" w:hAnsi="宋体"/>
      <w:sz w:val="24"/>
      <w:lang w:val="zh-CN"/>
    </w:rPr>
  </w:style>
  <w:style w:type="character" w:customStyle="1" w:styleId="527">
    <w:name w:val="A-表格名 Char"/>
    <w:link w:val="528"/>
    <w:qFormat/>
    <w:uiPriority w:val="0"/>
    <w:rPr>
      <w:rFonts w:eastAsia="黑体"/>
      <w:b/>
      <w:kern w:val="2"/>
      <w:sz w:val="21"/>
    </w:rPr>
  </w:style>
  <w:style w:type="paragraph" w:customStyle="1" w:styleId="528">
    <w:name w:val="A-表格名"/>
    <w:basedOn w:val="1"/>
    <w:link w:val="527"/>
    <w:qFormat/>
    <w:uiPriority w:val="0"/>
    <w:pPr>
      <w:widowControl w:val="0"/>
      <w:adjustRightInd w:val="0"/>
      <w:snapToGrid w:val="0"/>
      <w:spacing w:before="50" w:beforeLines="50"/>
      <w:jc w:val="center"/>
    </w:pPr>
    <w:rPr>
      <w:rFonts w:eastAsia="黑体"/>
      <w:b/>
      <w:kern w:val="2"/>
      <w:sz w:val="21"/>
    </w:rPr>
  </w:style>
  <w:style w:type="character" w:customStyle="1" w:styleId="529">
    <w:name w:val="标题6 Char"/>
    <w:link w:val="530"/>
    <w:semiHidden/>
    <w:qFormat/>
    <w:locked/>
    <w:uiPriority w:val="0"/>
    <w:rPr>
      <w:rFonts w:ascii="仿宋_GB2312" w:eastAsia="仿宋_GB2312"/>
      <w:kern w:val="2"/>
      <w:sz w:val="28"/>
    </w:rPr>
  </w:style>
  <w:style w:type="paragraph" w:customStyle="1" w:styleId="530">
    <w:name w:val="标题6"/>
    <w:basedOn w:val="1"/>
    <w:link w:val="529"/>
    <w:semiHidden/>
    <w:qFormat/>
    <w:uiPriority w:val="0"/>
    <w:pPr>
      <w:widowControl w:val="0"/>
      <w:adjustRightInd w:val="0"/>
      <w:snapToGrid w:val="0"/>
      <w:spacing w:line="360" w:lineRule="auto"/>
      <w:ind w:firstLine="560" w:firstLineChars="200"/>
    </w:pPr>
    <w:rPr>
      <w:rFonts w:ascii="仿宋_GB2312" w:eastAsia="仿宋_GB2312"/>
      <w:kern w:val="2"/>
      <w:sz w:val="28"/>
    </w:rPr>
  </w:style>
  <w:style w:type="character" w:customStyle="1" w:styleId="531">
    <w:name w:val="页脚 Char"/>
    <w:qFormat/>
    <w:uiPriority w:val="0"/>
    <w:rPr>
      <w:kern w:val="2"/>
      <w:sz w:val="18"/>
    </w:rPr>
  </w:style>
  <w:style w:type="character" w:customStyle="1" w:styleId="532">
    <w:name w:val="01报告正文 字符"/>
    <w:basedOn w:val="55"/>
    <w:link w:val="533"/>
    <w:qFormat/>
    <w:uiPriority w:val="0"/>
    <w:rPr>
      <w:color w:val="000000"/>
      <w:sz w:val="24"/>
      <w:szCs w:val="24"/>
    </w:rPr>
  </w:style>
  <w:style w:type="paragraph" w:customStyle="1" w:styleId="533">
    <w:name w:val="01报告正文"/>
    <w:basedOn w:val="1"/>
    <w:link w:val="532"/>
    <w:qFormat/>
    <w:uiPriority w:val="0"/>
    <w:pPr>
      <w:widowControl w:val="0"/>
      <w:adjustRightInd w:val="0"/>
      <w:snapToGrid w:val="0"/>
      <w:spacing w:line="360" w:lineRule="auto"/>
      <w:ind w:firstLine="200" w:firstLineChars="200"/>
      <w:jc w:val="both"/>
    </w:pPr>
    <w:rPr>
      <w:color w:val="000000"/>
      <w:sz w:val="24"/>
      <w:szCs w:val="24"/>
    </w:rPr>
  </w:style>
  <w:style w:type="character" w:customStyle="1" w:styleId="534">
    <w:name w:val="报告正文小四 Char Char"/>
    <w:qFormat/>
    <w:uiPriority w:val="0"/>
    <w:rPr>
      <w:rFonts w:ascii="宋体" w:hAnsi="宋体"/>
      <w:kern w:val="2"/>
      <w:sz w:val="24"/>
    </w:rPr>
  </w:style>
  <w:style w:type="character" w:customStyle="1" w:styleId="535">
    <w:name w:val="页眉 Char"/>
    <w:qFormat/>
    <w:uiPriority w:val="0"/>
    <w:rPr>
      <w:kern w:val="2"/>
      <w:sz w:val="18"/>
      <w:szCs w:val="18"/>
    </w:rPr>
  </w:style>
  <w:style w:type="character" w:customStyle="1" w:styleId="536">
    <w:name w:val="下标"/>
    <w:qFormat/>
    <w:uiPriority w:val="0"/>
    <w:rPr>
      <w:sz w:val="24"/>
      <w:vertAlign w:val="subscript"/>
    </w:rPr>
  </w:style>
  <w:style w:type="character" w:customStyle="1" w:styleId="537">
    <w:name w:val="表格标题（使用1） Char"/>
    <w:link w:val="538"/>
    <w:semiHidden/>
    <w:qFormat/>
    <w:locked/>
    <w:uiPriority w:val="0"/>
    <w:rPr>
      <w:b/>
      <w:sz w:val="24"/>
    </w:rPr>
  </w:style>
  <w:style w:type="paragraph" w:customStyle="1" w:styleId="538">
    <w:name w:val="表格标题（使用1）"/>
    <w:basedOn w:val="1"/>
    <w:link w:val="537"/>
    <w:semiHidden/>
    <w:qFormat/>
    <w:uiPriority w:val="0"/>
    <w:pPr>
      <w:widowControl w:val="0"/>
      <w:adjustRightInd w:val="0"/>
      <w:snapToGrid w:val="0"/>
      <w:spacing w:before="120" w:after="48" w:line="360" w:lineRule="auto"/>
      <w:ind w:firstLine="200" w:firstLineChars="200"/>
      <w:jc w:val="center"/>
      <w:textAlignment w:val="baseline"/>
    </w:pPr>
    <w:rPr>
      <w:b/>
      <w:sz w:val="24"/>
    </w:rPr>
  </w:style>
  <w:style w:type="character" w:customStyle="1" w:styleId="539">
    <w:name w:val="A-表格文字 Char"/>
    <w:link w:val="540"/>
    <w:qFormat/>
    <w:uiPriority w:val="0"/>
    <w:rPr>
      <w:sz w:val="21"/>
      <w:szCs w:val="21"/>
    </w:rPr>
  </w:style>
  <w:style w:type="paragraph" w:customStyle="1" w:styleId="540">
    <w:name w:val="A-表格文字"/>
    <w:basedOn w:val="1"/>
    <w:next w:val="1"/>
    <w:link w:val="539"/>
    <w:qFormat/>
    <w:uiPriority w:val="0"/>
    <w:pPr>
      <w:widowControl w:val="0"/>
      <w:autoSpaceDE w:val="0"/>
      <w:autoSpaceDN w:val="0"/>
      <w:adjustRightInd w:val="0"/>
      <w:snapToGrid w:val="0"/>
      <w:jc w:val="center"/>
      <w:textAlignment w:val="center"/>
    </w:pPr>
    <w:rPr>
      <w:sz w:val="21"/>
      <w:szCs w:val="21"/>
    </w:rPr>
  </w:style>
  <w:style w:type="paragraph" w:customStyle="1" w:styleId="541">
    <w:name w:val="xl89"/>
    <w:basedOn w:val="1"/>
    <w:qFormat/>
    <w:uiPriority w:val="0"/>
    <w:pPr>
      <w:pBdr>
        <w:bottom w:val="single" w:color="auto" w:sz="8" w:space="0"/>
        <w:right w:val="single" w:color="auto" w:sz="8" w:space="0"/>
      </w:pBdr>
      <w:adjustRightInd w:val="0"/>
      <w:snapToGrid w:val="0"/>
      <w:spacing w:before="100" w:beforeAutospacing="1" w:after="100" w:afterAutospacing="1"/>
    </w:pPr>
    <w:rPr>
      <w:rFonts w:ascii="宋体" w:hAnsi="宋体" w:cs="宋体"/>
    </w:rPr>
  </w:style>
  <w:style w:type="paragraph" w:customStyle="1" w:styleId="542">
    <w:name w:val="样式 样式 标题 3 + 首行缩进:  2 字符 + 首行缩进:  0.35 厘米 行距: 固定值 28 磅"/>
    <w:basedOn w:val="1"/>
    <w:qFormat/>
    <w:uiPriority w:val="0"/>
    <w:pPr>
      <w:keepNext/>
      <w:keepLines/>
      <w:widowControl w:val="0"/>
      <w:adjustRightInd w:val="0"/>
      <w:snapToGrid w:val="0"/>
      <w:spacing w:line="560" w:lineRule="exact"/>
      <w:jc w:val="both"/>
      <w:outlineLvl w:val="2"/>
    </w:pPr>
    <w:rPr>
      <w:rFonts w:cs="宋体"/>
      <w:b/>
      <w:bCs/>
      <w:kern w:val="2"/>
      <w:sz w:val="28"/>
      <w:szCs w:val="28"/>
    </w:rPr>
  </w:style>
  <w:style w:type="paragraph" w:customStyle="1" w:styleId="543">
    <w:name w:val="表、图标题"/>
    <w:semiHidden/>
    <w:qFormat/>
    <w:uiPriority w:val="0"/>
    <w:pPr>
      <w:spacing w:line="360" w:lineRule="auto"/>
      <w:jc w:val="center"/>
    </w:pPr>
    <w:rPr>
      <w:rFonts w:ascii="Calibri" w:hAnsi="Calibri" w:eastAsia="黑体" w:cs="宋体"/>
      <w:bCs/>
      <w:kern w:val="2"/>
      <w:sz w:val="24"/>
      <w:szCs w:val="32"/>
      <w:lang w:val="en-US" w:eastAsia="zh-CN" w:bidi="ar-SA"/>
    </w:rPr>
  </w:style>
  <w:style w:type="paragraph" w:customStyle="1" w:styleId="544">
    <w:name w:val="没事别乱动"/>
    <w:basedOn w:val="1"/>
    <w:qFormat/>
    <w:uiPriority w:val="0"/>
    <w:pPr>
      <w:widowControl w:val="0"/>
      <w:adjustRightInd w:val="0"/>
      <w:snapToGrid w:val="0"/>
      <w:jc w:val="center"/>
    </w:pPr>
    <w:rPr>
      <w:color w:val="000000"/>
      <w:sz w:val="21"/>
      <w:szCs w:val="24"/>
    </w:rPr>
  </w:style>
  <w:style w:type="paragraph" w:customStyle="1" w:styleId="545">
    <w:name w:val="呵呵，别动"/>
    <w:basedOn w:val="159"/>
    <w:qFormat/>
    <w:uiPriority w:val="0"/>
    <w:pPr>
      <w:tabs>
        <w:tab w:val="clear" w:pos="540"/>
        <w:tab w:val="clear" w:pos="1080"/>
        <w:tab w:val="clear" w:pos="1260"/>
        <w:tab w:val="clear" w:pos="1440"/>
      </w:tabs>
      <w:adjustRightInd w:val="0"/>
      <w:spacing w:before="120" w:after="120" w:line="240" w:lineRule="exact"/>
    </w:pPr>
    <w:rPr>
      <w:rFonts w:hint="eastAsia" w:ascii="Calibri" w:hAnsi="Calibri" w:eastAsia="宋体" w:cs="Times New Roman"/>
      <w:bCs w:val="0"/>
      <w:szCs w:val="20"/>
    </w:rPr>
  </w:style>
  <w:style w:type="paragraph" w:customStyle="1" w:styleId="546">
    <w:name w:val="font7"/>
    <w:basedOn w:val="1"/>
    <w:qFormat/>
    <w:uiPriority w:val="0"/>
    <w:pPr>
      <w:adjustRightInd w:val="0"/>
      <w:snapToGrid w:val="0"/>
      <w:spacing w:before="100" w:beforeAutospacing="1" w:after="100" w:afterAutospacing="1"/>
    </w:pPr>
  </w:style>
  <w:style w:type="paragraph" w:customStyle="1" w:styleId="547">
    <w:name w:val="xl80"/>
    <w:basedOn w:val="1"/>
    <w:qFormat/>
    <w:uiPriority w:val="0"/>
    <w:pPr>
      <w:pBdr>
        <w:top w:val="single" w:color="auto" w:sz="4" w:space="0"/>
        <w:bottom w:val="single" w:color="auto" w:sz="4" w:space="0"/>
      </w:pBdr>
      <w:adjustRightInd w:val="0"/>
      <w:snapToGrid w:val="0"/>
      <w:spacing w:before="100" w:beforeAutospacing="1" w:after="100" w:afterAutospacing="1"/>
      <w:jc w:val="center"/>
    </w:pPr>
  </w:style>
  <w:style w:type="paragraph" w:customStyle="1" w:styleId="548">
    <w:name w:val="Char10"/>
    <w:basedOn w:val="1"/>
    <w:qFormat/>
    <w:uiPriority w:val="0"/>
    <w:pPr>
      <w:widowControl w:val="0"/>
      <w:adjustRightInd w:val="0"/>
      <w:snapToGrid w:val="0"/>
      <w:spacing w:line="360" w:lineRule="auto"/>
      <w:ind w:firstLine="200" w:firstLineChars="200"/>
      <w:jc w:val="both"/>
    </w:pPr>
    <w:rPr>
      <w:kern w:val="2"/>
      <w:sz w:val="21"/>
      <w:szCs w:val="24"/>
    </w:rPr>
  </w:style>
  <w:style w:type="paragraph" w:customStyle="1" w:styleId="549">
    <w:name w:val="（一）（二）"/>
    <w:basedOn w:val="1"/>
    <w:qFormat/>
    <w:uiPriority w:val="0"/>
    <w:pPr>
      <w:widowControl w:val="0"/>
      <w:adjustRightInd w:val="0"/>
      <w:snapToGrid w:val="0"/>
      <w:spacing w:beforeLines="30" w:line="360" w:lineRule="auto"/>
      <w:ind w:firstLine="200" w:firstLineChars="200"/>
      <w:outlineLvl w:val="2"/>
    </w:pPr>
    <w:rPr>
      <w:rFonts w:ascii="宋体" w:hAnsi="宋体"/>
      <w:b/>
      <w:bCs/>
      <w:kern w:val="2"/>
      <w:sz w:val="24"/>
      <w:szCs w:val="28"/>
    </w:rPr>
  </w:style>
  <w:style w:type="paragraph" w:customStyle="1" w:styleId="550">
    <w:name w:val="_Style 3"/>
    <w:qFormat/>
    <w:uiPriority w:val="0"/>
    <w:pPr>
      <w:jc w:val="center"/>
    </w:pPr>
    <w:rPr>
      <w:rFonts w:ascii="Times New Roman" w:hAnsi="Times New Roman" w:eastAsia="宋体" w:cs="Times New Roman"/>
      <w:sz w:val="21"/>
      <w:szCs w:val="22"/>
      <w:lang w:val="en-US" w:eastAsia="zh-CN" w:bidi="ar-SA"/>
    </w:rPr>
  </w:style>
  <w:style w:type="paragraph" w:customStyle="1" w:styleId="551">
    <w:name w:val="xl79"/>
    <w:basedOn w:val="1"/>
    <w:qFormat/>
    <w:uiPriority w:val="0"/>
    <w:pPr>
      <w:pBdr>
        <w:top w:val="single" w:color="auto" w:sz="4" w:space="0"/>
        <w:left w:val="single" w:color="auto" w:sz="4" w:space="0"/>
        <w:bottom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552">
    <w:name w:val="样式 小四 行距: 1.5 倍行距"/>
    <w:basedOn w:val="1"/>
    <w:qFormat/>
    <w:uiPriority w:val="0"/>
    <w:pPr>
      <w:widowControl w:val="0"/>
      <w:adjustRightInd w:val="0"/>
      <w:snapToGrid w:val="0"/>
      <w:spacing w:line="360" w:lineRule="auto"/>
      <w:jc w:val="both"/>
    </w:pPr>
    <w:rPr>
      <w:rFonts w:cs="宋体"/>
      <w:kern w:val="2"/>
      <w:sz w:val="24"/>
    </w:rPr>
  </w:style>
  <w:style w:type="paragraph" w:customStyle="1" w:styleId="553">
    <w:name w:val="xl69"/>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pPr>
    <w:rPr>
      <w:rFonts w:ascii="宋体" w:hAnsi="宋体" w:cs="宋体"/>
      <w:sz w:val="18"/>
      <w:szCs w:val="18"/>
    </w:rPr>
  </w:style>
  <w:style w:type="paragraph" w:customStyle="1" w:styleId="554">
    <w:name w:val="标题8"/>
    <w:basedOn w:val="1"/>
    <w:semiHidden/>
    <w:qFormat/>
    <w:uiPriority w:val="0"/>
    <w:pPr>
      <w:widowControl w:val="0"/>
      <w:adjustRightInd w:val="0"/>
      <w:snapToGrid w:val="0"/>
      <w:spacing w:line="300" w:lineRule="exact"/>
      <w:ind w:firstLine="200" w:firstLineChars="200"/>
      <w:jc w:val="center"/>
    </w:pPr>
    <w:rPr>
      <w:bCs/>
      <w:color w:val="000000"/>
      <w:kern w:val="2"/>
      <w:sz w:val="18"/>
      <w:szCs w:val="18"/>
    </w:rPr>
  </w:style>
  <w:style w:type="paragraph" w:customStyle="1" w:styleId="555">
    <w:name w:val="font12"/>
    <w:basedOn w:val="1"/>
    <w:qFormat/>
    <w:uiPriority w:val="0"/>
    <w:pPr>
      <w:adjustRightInd w:val="0"/>
      <w:snapToGrid w:val="0"/>
      <w:spacing w:before="100" w:beforeAutospacing="1" w:after="100" w:afterAutospacing="1"/>
    </w:pPr>
    <w:rPr>
      <w:rFonts w:ascii="宋体" w:hAnsi="宋体" w:cs="宋体"/>
    </w:rPr>
  </w:style>
  <w:style w:type="paragraph" w:customStyle="1" w:styleId="556">
    <w:name w:val="正文(图片)"/>
    <w:basedOn w:val="1"/>
    <w:qFormat/>
    <w:uiPriority w:val="0"/>
    <w:pPr>
      <w:widowControl w:val="0"/>
      <w:adjustRightInd w:val="0"/>
      <w:snapToGrid w:val="0"/>
      <w:ind w:left="-100" w:leftChars="-100" w:right="-100" w:rightChars="-100"/>
      <w:jc w:val="center"/>
    </w:pPr>
    <w:rPr>
      <w:rFonts w:ascii="Calibri" w:hAnsi="Calibri" w:cs="宋体"/>
      <w:spacing w:val="6"/>
      <w:kern w:val="2"/>
      <w:sz w:val="24"/>
      <w:szCs w:val="28"/>
      <w:lang w:eastAsia="en-US"/>
    </w:rPr>
  </w:style>
  <w:style w:type="paragraph" w:customStyle="1" w:styleId="557">
    <w:name w:val="1、"/>
    <w:basedOn w:val="1"/>
    <w:qFormat/>
    <w:uiPriority w:val="0"/>
    <w:pPr>
      <w:widowControl w:val="0"/>
      <w:adjustRightInd w:val="0"/>
      <w:snapToGrid w:val="0"/>
      <w:spacing w:line="360" w:lineRule="auto"/>
      <w:ind w:firstLine="461" w:firstLineChars="192"/>
    </w:pPr>
    <w:rPr>
      <w:rFonts w:ascii="宋体" w:hAnsi="宋体"/>
      <w:kern w:val="2"/>
      <w:sz w:val="24"/>
    </w:rPr>
  </w:style>
  <w:style w:type="paragraph" w:customStyle="1" w:styleId="558">
    <w:name w:val="xl81"/>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textAlignment w:val="center"/>
    </w:pPr>
    <w:rPr>
      <w:rFonts w:ascii="宋体" w:hAnsi="宋体" w:cs="宋体"/>
      <w:b/>
      <w:bCs/>
      <w:sz w:val="24"/>
      <w:szCs w:val="24"/>
    </w:rPr>
  </w:style>
  <w:style w:type="paragraph" w:customStyle="1" w:styleId="559">
    <w:name w:val="xl66"/>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560">
    <w:name w:val="样式（1）"/>
    <w:basedOn w:val="1"/>
    <w:qFormat/>
    <w:uiPriority w:val="0"/>
    <w:pPr>
      <w:widowControl w:val="0"/>
      <w:adjustRightInd w:val="0"/>
      <w:snapToGrid w:val="0"/>
      <w:ind w:firstLine="560" w:firstLineChars="200"/>
      <w:jc w:val="both"/>
    </w:pPr>
    <w:rPr>
      <w:kern w:val="2"/>
      <w:sz w:val="28"/>
      <w:szCs w:val="28"/>
    </w:rPr>
  </w:style>
  <w:style w:type="paragraph" w:customStyle="1" w:styleId="561">
    <w:name w:val="目录2"/>
    <w:basedOn w:val="1"/>
    <w:next w:val="1"/>
    <w:qFormat/>
    <w:uiPriority w:val="0"/>
    <w:pPr>
      <w:widowControl w:val="0"/>
      <w:adjustRightInd w:val="0"/>
      <w:snapToGrid w:val="0"/>
      <w:spacing w:line="500" w:lineRule="exact"/>
      <w:ind w:left="700" w:leftChars="100" w:hanging="420" w:hangingChars="150"/>
      <w:jc w:val="both"/>
    </w:pPr>
    <w:rPr>
      <w:rFonts w:ascii="宋体" w:hAnsi="宋体"/>
      <w:kern w:val="2"/>
      <w:sz w:val="28"/>
      <w:szCs w:val="28"/>
    </w:rPr>
  </w:style>
  <w:style w:type="paragraph" w:customStyle="1" w:styleId="562">
    <w:name w:val="列表段落1"/>
    <w:basedOn w:val="1"/>
    <w:qFormat/>
    <w:uiPriority w:val="0"/>
    <w:pPr>
      <w:widowControl w:val="0"/>
      <w:adjustRightInd w:val="0"/>
      <w:snapToGrid w:val="0"/>
      <w:ind w:firstLine="420" w:firstLineChars="200"/>
      <w:jc w:val="both"/>
    </w:pPr>
    <w:rPr>
      <w:kern w:val="2"/>
      <w:sz w:val="28"/>
    </w:rPr>
  </w:style>
  <w:style w:type="paragraph" w:customStyle="1" w:styleId="563">
    <w:name w:val="标题1"/>
    <w:basedOn w:val="2"/>
    <w:next w:val="2"/>
    <w:semiHidden/>
    <w:qFormat/>
    <w:uiPriority w:val="0"/>
    <w:pPr>
      <w:widowControl/>
      <w:adjustRightInd w:val="0"/>
      <w:snapToGrid w:val="0"/>
      <w:spacing w:beforeLines="50" w:after="0" w:afterLines="50" w:afterAutospacing="0" w:line="540" w:lineRule="exact"/>
      <w:jc w:val="left"/>
    </w:pPr>
    <w:rPr>
      <w:rFonts w:ascii="黑体" w:hAnsi="Cambria"/>
      <w:kern w:val="0"/>
      <w:sz w:val="44"/>
    </w:rPr>
  </w:style>
  <w:style w:type="paragraph" w:customStyle="1" w:styleId="564">
    <w:name w:val="一、"/>
    <w:basedOn w:val="1"/>
    <w:qFormat/>
    <w:uiPriority w:val="0"/>
    <w:pPr>
      <w:widowControl w:val="0"/>
      <w:adjustRightInd w:val="0"/>
      <w:snapToGrid w:val="0"/>
      <w:spacing w:line="400" w:lineRule="exact"/>
      <w:ind w:firstLine="560" w:firstLineChars="200"/>
    </w:pPr>
    <w:rPr>
      <w:kern w:val="2"/>
      <w:sz w:val="28"/>
    </w:rPr>
  </w:style>
  <w:style w:type="paragraph" w:customStyle="1" w:styleId="565">
    <w:name w:val="xl72"/>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pPr>
  </w:style>
  <w:style w:type="paragraph" w:customStyle="1" w:styleId="566">
    <w:name w:val="正文xx"/>
    <w:basedOn w:val="1"/>
    <w:qFormat/>
    <w:uiPriority w:val="0"/>
    <w:pPr>
      <w:widowControl w:val="0"/>
      <w:adjustRightInd w:val="0"/>
      <w:snapToGrid w:val="0"/>
      <w:spacing w:line="360" w:lineRule="auto"/>
      <w:ind w:firstLine="200" w:firstLineChars="200"/>
    </w:pPr>
    <w:rPr>
      <w:rFonts w:cs="宋体"/>
      <w:kern w:val="2"/>
      <w:sz w:val="24"/>
      <w:szCs w:val="28"/>
    </w:rPr>
  </w:style>
  <w:style w:type="paragraph" w:customStyle="1" w:styleId="567">
    <w:name w:val="font6"/>
    <w:basedOn w:val="1"/>
    <w:qFormat/>
    <w:uiPriority w:val="0"/>
    <w:pPr>
      <w:adjustRightInd w:val="0"/>
      <w:snapToGrid w:val="0"/>
      <w:spacing w:before="100" w:beforeAutospacing="1" w:after="100" w:afterAutospacing="1"/>
    </w:pPr>
    <w:rPr>
      <w:rFonts w:ascii="宋体" w:hAnsi="宋体" w:cs="宋体"/>
      <w:sz w:val="18"/>
      <w:szCs w:val="18"/>
    </w:rPr>
  </w:style>
  <w:style w:type="paragraph" w:customStyle="1" w:styleId="568">
    <w:name w:val="Char Char Char Char Char Char Char Char Char Char Char Char"/>
    <w:basedOn w:val="1"/>
    <w:qFormat/>
    <w:uiPriority w:val="0"/>
    <w:pPr>
      <w:widowControl w:val="0"/>
      <w:adjustRightInd w:val="0"/>
      <w:snapToGrid w:val="0"/>
      <w:spacing w:line="360" w:lineRule="auto"/>
      <w:ind w:firstLine="200" w:firstLineChars="200"/>
      <w:jc w:val="both"/>
    </w:pPr>
    <w:rPr>
      <w:color w:val="000000"/>
      <w:sz w:val="21"/>
    </w:rPr>
  </w:style>
  <w:style w:type="paragraph" w:customStyle="1" w:styleId="569">
    <w:name w:val="Char Char Char1 Char Char Char1 Char Char Char Char"/>
    <w:basedOn w:val="1"/>
    <w:qFormat/>
    <w:uiPriority w:val="0"/>
    <w:pPr>
      <w:widowControl w:val="0"/>
      <w:adjustRightInd w:val="0"/>
      <w:snapToGrid w:val="0"/>
      <w:jc w:val="both"/>
    </w:pPr>
    <w:rPr>
      <w:kern w:val="2"/>
      <w:sz w:val="21"/>
      <w:szCs w:val="24"/>
    </w:rPr>
  </w:style>
  <w:style w:type="paragraph" w:customStyle="1" w:styleId="570">
    <w:name w:val="一5"/>
    <w:basedOn w:val="1"/>
    <w:qFormat/>
    <w:uiPriority w:val="0"/>
    <w:pPr>
      <w:widowControl w:val="0"/>
      <w:adjustRightInd w:val="0"/>
      <w:snapToGrid w:val="0"/>
      <w:spacing w:line="560" w:lineRule="exact"/>
      <w:jc w:val="both"/>
    </w:pPr>
    <w:rPr>
      <w:rFonts w:ascii="宋体" w:hAnsi="宋体"/>
      <w:b/>
      <w:kern w:val="2"/>
      <w:sz w:val="28"/>
    </w:rPr>
  </w:style>
  <w:style w:type="paragraph" w:customStyle="1" w:styleId="571">
    <w:name w:val="表格1"/>
    <w:basedOn w:val="1"/>
    <w:semiHidden/>
    <w:qFormat/>
    <w:uiPriority w:val="0"/>
    <w:pPr>
      <w:widowControl w:val="0"/>
      <w:tabs>
        <w:tab w:val="left" w:pos="1440"/>
        <w:tab w:val="left" w:pos="1680"/>
      </w:tabs>
      <w:adjustRightInd w:val="0"/>
      <w:snapToGrid w:val="0"/>
      <w:spacing w:line="360" w:lineRule="auto"/>
      <w:ind w:firstLine="200" w:firstLineChars="200"/>
      <w:jc w:val="center"/>
    </w:pPr>
    <w:rPr>
      <w:spacing w:val="20"/>
      <w:w w:val="95"/>
      <w:kern w:val="2"/>
      <w:sz w:val="21"/>
    </w:rPr>
  </w:style>
  <w:style w:type="paragraph" w:customStyle="1" w:styleId="572">
    <w:name w:val="样式 首行缩进:  2 字符 行距: 1.5 倍行距"/>
    <w:basedOn w:val="1"/>
    <w:qFormat/>
    <w:uiPriority w:val="0"/>
    <w:pPr>
      <w:widowControl w:val="0"/>
      <w:adjustRightInd w:val="0"/>
      <w:snapToGrid w:val="0"/>
      <w:spacing w:line="360" w:lineRule="auto"/>
      <w:ind w:firstLine="200" w:firstLineChars="200"/>
    </w:pPr>
    <w:rPr>
      <w:rFonts w:cs="宋体"/>
      <w:kern w:val="2"/>
      <w:sz w:val="24"/>
      <w:szCs w:val="24"/>
    </w:rPr>
  </w:style>
  <w:style w:type="paragraph" w:customStyle="1" w:styleId="573">
    <w:name w:val="xl76"/>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pPr>
    <w:rPr>
      <w:rFonts w:ascii="宋体" w:hAnsi="宋体" w:cs="宋体"/>
      <w:sz w:val="18"/>
      <w:szCs w:val="18"/>
    </w:rPr>
  </w:style>
  <w:style w:type="paragraph" w:customStyle="1" w:styleId="574">
    <w:name w:val="xl78"/>
    <w:basedOn w:val="1"/>
    <w:qFormat/>
    <w:uiPriority w:val="0"/>
    <w:pPr>
      <w:pBdr>
        <w:top w:val="single" w:color="auto" w:sz="4" w:space="0"/>
        <w:left w:val="single" w:color="auto" w:sz="4" w:space="0"/>
        <w:bottom w:val="single" w:color="auto" w:sz="4" w:space="0"/>
      </w:pBdr>
      <w:adjustRightInd w:val="0"/>
      <w:snapToGrid w:val="0"/>
      <w:spacing w:before="100" w:beforeAutospacing="1" w:after="100" w:afterAutospacing="1"/>
    </w:pPr>
    <w:rPr>
      <w:rFonts w:ascii="宋体" w:hAnsi="宋体" w:cs="宋体"/>
      <w:sz w:val="18"/>
      <w:szCs w:val="18"/>
    </w:rPr>
  </w:style>
  <w:style w:type="paragraph" w:customStyle="1" w:styleId="575">
    <w:name w:val="Char Char Char Char Char Char Char Char Char Char Char Char Char Char Char"/>
    <w:basedOn w:val="1"/>
    <w:qFormat/>
    <w:uiPriority w:val="0"/>
    <w:pPr>
      <w:widowControl w:val="0"/>
      <w:adjustRightInd w:val="0"/>
      <w:snapToGrid w:val="0"/>
      <w:spacing w:line="360" w:lineRule="auto"/>
      <w:ind w:firstLine="200" w:firstLineChars="200"/>
      <w:jc w:val="both"/>
    </w:pPr>
    <w:rPr>
      <w:rFonts w:ascii="宋体" w:hAnsi="宋体" w:cs="宋体"/>
      <w:kern w:val="2"/>
      <w:sz w:val="24"/>
      <w:szCs w:val="24"/>
    </w:rPr>
  </w:style>
  <w:style w:type="paragraph" w:customStyle="1" w:styleId="576">
    <w:name w:val="样式55"/>
    <w:basedOn w:val="1"/>
    <w:qFormat/>
    <w:uiPriority w:val="0"/>
    <w:pPr>
      <w:widowControl w:val="0"/>
      <w:adjustRightInd w:val="0"/>
      <w:snapToGrid w:val="0"/>
      <w:ind w:firstLine="562" w:firstLineChars="200"/>
    </w:pPr>
    <w:rPr>
      <w:b/>
      <w:kern w:val="2"/>
      <w:sz w:val="28"/>
    </w:rPr>
  </w:style>
  <w:style w:type="paragraph" w:customStyle="1" w:styleId="577">
    <w:name w:val="样式 目录 1 + 首行缩进:  2 字符"/>
    <w:basedOn w:val="35"/>
    <w:qFormat/>
    <w:uiPriority w:val="0"/>
    <w:pPr>
      <w:widowControl w:val="0"/>
      <w:tabs>
        <w:tab w:val="right" w:leader="dot" w:pos="8495"/>
      </w:tabs>
      <w:adjustRightInd w:val="0"/>
      <w:snapToGrid w:val="0"/>
      <w:spacing w:before="156" w:beforeLines="50" w:after="0"/>
      <w:ind w:firstLine="561"/>
    </w:pPr>
    <w:rPr>
      <w:rFonts w:ascii="宋体" w:hAnsi="宋体" w:cs="Times New Roman"/>
      <w:b w:val="0"/>
      <w:iCs/>
      <w:caps w:val="0"/>
      <w:kern w:val="2"/>
      <w:sz w:val="28"/>
      <w:szCs w:val="28"/>
    </w:rPr>
  </w:style>
  <w:style w:type="paragraph" w:customStyle="1" w:styleId="578">
    <w:name w:val="0"/>
    <w:basedOn w:val="1"/>
    <w:qFormat/>
    <w:uiPriority w:val="0"/>
    <w:pPr>
      <w:adjustRightInd w:val="0"/>
      <w:snapToGrid w:val="0"/>
      <w:spacing w:before="100" w:beforeAutospacing="1" w:after="100" w:afterAutospacing="1"/>
    </w:pPr>
    <w:rPr>
      <w:rFonts w:ascii="宋体" w:hAnsi="宋体" w:cs="宋体"/>
      <w:sz w:val="24"/>
      <w:szCs w:val="24"/>
    </w:rPr>
  </w:style>
  <w:style w:type="paragraph" w:customStyle="1" w:styleId="579">
    <w:name w:val="xl86"/>
    <w:basedOn w:val="1"/>
    <w:qFormat/>
    <w:uiPriority w:val="0"/>
    <w:pPr>
      <w:pBdr>
        <w:top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580">
    <w:name w:val="font10"/>
    <w:basedOn w:val="1"/>
    <w:qFormat/>
    <w:uiPriority w:val="0"/>
    <w:pPr>
      <w:adjustRightInd w:val="0"/>
      <w:snapToGrid w:val="0"/>
      <w:spacing w:before="100" w:beforeAutospacing="1" w:after="100" w:afterAutospacing="1"/>
    </w:pPr>
    <w:rPr>
      <w:rFonts w:ascii="宋体" w:hAnsi="宋体" w:cs="宋体"/>
    </w:rPr>
  </w:style>
  <w:style w:type="paragraph" w:customStyle="1" w:styleId="581">
    <w:name w:val="Char Char Char Char Char Char Char Char Char"/>
    <w:basedOn w:val="1"/>
    <w:qFormat/>
    <w:uiPriority w:val="0"/>
    <w:pPr>
      <w:widowControl w:val="0"/>
      <w:adjustRightInd w:val="0"/>
      <w:snapToGrid w:val="0"/>
      <w:jc w:val="both"/>
    </w:pPr>
    <w:rPr>
      <w:kern w:val="2"/>
      <w:sz w:val="21"/>
      <w:szCs w:val="24"/>
    </w:rPr>
  </w:style>
  <w:style w:type="paragraph" w:customStyle="1" w:styleId="582">
    <w:name w:val="777777777 Char Char Char Char"/>
    <w:basedOn w:val="1"/>
    <w:qFormat/>
    <w:uiPriority w:val="0"/>
    <w:pPr>
      <w:widowControl w:val="0"/>
      <w:adjustRightInd w:val="0"/>
      <w:snapToGrid w:val="0"/>
      <w:spacing w:line="400" w:lineRule="exact"/>
      <w:ind w:firstLine="560" w:firstLineChars="200"/>
    </w:pPr>
    <w:rPr>
      <w:kern w:val="2"/>
      <w:sz w:val="28"/>
    </w:rPr>
  </w:style>
  <w:style w:type="paragraph" w:customStyle="1" w:styleId="583">
    <w:name w:val="5号仿宋"/>
    <w:basedOn w:val="1"/>
    <w:qFormat/>
    <w:uiPriority w:val="0"/>
    <w:pPr>
      <w:adjustRightInd w:val="0"/>
      <w:snapToGrid w:val="0"/>
      <w:jc w:val="center"/>
    </w:pPr>
    <w:rPr>
      <w:rFonts w:ascii="仿宋_GB2312" w:hAnsi="宋体" w:eastAsia="仿宋_GB2312" w:cs="宋体"/>
      <w:sz w:val="21"/>
      <w:szCs w:val="21"/>
    </w:rPr>
  </w:style>
  <w:style w:type="paragraph" w:customStyle="1" w:styleId="584">
    <w:name w:val="CM41"/>
    <w:basedOn w:val="464"/>
    <w:next w:val="464"/>
    <w:qFormat/>
    <w:uiPriority w:val="0"/>
    <w:pPr>
      <w:spacing w:line="506" w:lineRule="atLeast"/>
    </w:pPr>
    <w:rPr>
      <w:rFonts w:hAnsi="Calibri" w:cs="Times New Roman"/>
      <w:color w:val="auto"/>
    </w:rPr>
  </w:style>
  <w:style w:type="paragraph" w:customStyle="1" w:styleId="585">
    <w:name w:val="CM10"/>
    <w:basedOn w:val="1"/>
    <w:next w:val="1"/>
    <w:qFormat/>
    <w:uiPriority w:val="0"/>
    <w:pPr>
      <w:widowControl w:val="0"/>
      <w:autoSpaceDE w:val="0"/>
      <w:autoSpaceDN w:val="0"/>
      <w:adjustRightInd w:val="0"/>
      <w:snapToGrid w:val="0"/>
      <w:spacing w:line="476" w:lineRule="atLeast"/>
    </w:pPr>
    <w:rPr>
      <w:rFonts w:ascii="黑体" w:eastAsia="黑体"/>
      <w:sz w:val="24"/>
      <w:szCs w:val="24"/>
    </w:rPr>
  </w:style>
  <w:style w:type="paragraph" w:customStyle="1" w:styleId="586">
    <w:name w:val="x正文"/>
    <w:qFormat/>
    <w:uiPriority w:val="0"/>
    <w:pPr>
      <w:widowControl w:val="0"/>
      <w:autoSpaceDE w:val="0"/>
      <w:autoSpaceDN w:val="0"/>
      <w:snapToGrid w:val="0"/>
      <w:spacing w:line="360" w:lineRule="auto"/>
      <w:ind w:firstLine="200" w:firstLineChars="200"/>
      <w:jc w:val="both"/>
      <w:textAlignment w:val="center"/>
    </w:pPr>
    <w:rPr>
      <w:rFonts w:ascii="Times New Roman" w:hAnsi="Times New Roman" w:eastAsia="仿宋_GB2312" w:cs="宋体"/>
      <w:sz w:val="24"/>
      <w:szCs w:val="24"/>
      <w:lang w:val="en-US" w:eastAsia="zh-CN" w:bidi="ar-SA"/>
    </w:rPr>
  </w:style>
  <w:style w:type="paragraph" w:customStyle="1" w:styleId="587">
    <w:name w:val="xl77"/>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588">
    <w:name w:val="二级标题 Char Char Char"/>
    <w:basedOn w:val="1"/>
    <w:next w:val="1"/>
    <w:qFormat/>
    <w:uiPriority w:val="0"/>
    <w:pPr>
      <w:widowControl w:val="0"/>
      <w:adjustRightInd w:val="0"/>
      <w:snapToGrid w:val="0"/>
      <w:spacing w:line="529" w:lineRule="exact"/>
      <w:ind w:firstLine="200" w:firstLineChars="200"/>
      <w:jc w:val="both"/>
    </w:pPr>
    <w:rPr>
      <w:rFonts w:ascii="宋体" w:hAnsi="宋体" w:cs="宋体"/>
      <w:kern w:val="2"/>
      <w:sz w:val="24"/>
      <w:szCs w:val="24"/>
    </w:rPr>
  </w:style>
  <w:style w:type="paragraph" w:customStyle="1" w:styleId="589">
    <w:name w:val="四号正文"/>
    <w:basedOn w:val="1"/>
    <w:qFormat/>
    <w:uiPriority w:val="0"/>
    <w:pPr>
      <w:widowControl w:val="0"/>
      <w:adjustRightInd w:val="0"/>
      <w:snapToGrid w:val="0"/>
      <w:jc w:val="both"/>
    </w:pPr>
    <w:rPr>
      <w:kern w:val="2"/>
      <w:sz w:val="28"/>
      <w:szCs w:val="24"/>
    </w:rPr>
  </w:style>
  <w:style w:type="paragraph" w:customStyle="1" w:styleId="590">
    <w:name w:val="xl67"/>
    <w:basedOn w:val="1"/>
    <w:qFormat/>
    <w:uiPriority w:val="0"/>
    <w:pPr>
      <w:adjustRightInd w:val="0"/>
      <w:snapToGrid w:val="0"/>
      <w:spacing w:before="100" w:beforeAutospacing="1" w:after="100" w:afterAutospacing="1"/>
      <w:jc w:val="center"/>
    </w:pPr>
    <w:rPr>
      <w:rFonts w:ascii="宋体" w:hAnsi="宋体" w:cs="宋体"/>
      <w:sz w:val="18"/>
      <w:szCs w:val="18"/>
    </w:rPr>
  </w:style>
  <w:style w:type="paragraph" w:customStyle="1" w:styleId="591">
    <w:name w:val="xl73"/>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pPr>
    <w:rPr>
      <w:rFonts w:ascii="宋体" w:hAnsi="宋体" w:cs="宋体"/>
    </w:rPr>
  </w:style>
  <w:style w:type="paragraph" w:customStyle="1" w:styleId="592">
    <w:name w:val="编制说明正文"/>
    <w:basedOn w:val="1"/>
    <w:qFormat/>
    <w:uiPriority w:val="0"/>
    <w:pPr>
      <w:widowControl w:val="0"/>
      <w:adjustRightInd w:val="0"/>
      <w:snapToGrid w:val="0"/>
      <w:spacing w:beforeLines="30" w:afterLines="30" w:line="360" w:lineRule="auto"/>
      <w:ind w:firstLine="200" w:firstLineChars="200"/>
    </w:pPr>
    <w:rPr>
      <w:rFonts w:ascii="Calibri" w:hAnsi="Calibri"/>
      <w:kern w:val="2"/>
      <w:sz w:val="24"/>
      <w:szCs w:val="28"/>
    </w:rPr>
  </w:style>
  <w:style w:type="paragraph" w:customStyle="1" w:styleId="593">
    <w:name w:val="CM5"/>
    <w:basedOn w:val="1"/>
    <w:next w:val="1"/>
    <w:qFormat/>
    <w:uiPriority w:val="0"/>
    <w:pPr>
      <w:widowControl w:val="0"/>
      <w:autoSpaceDE w:val="0"/>
      <w:autoSpaceDN w:val="0"/>
      <w:adjustRightInd w:val="0"/>
      <w:snapToGrid w:val="0"/>
      <w:spacing w:line="476" w:lineRule="atLeast"/>
    </w:pPr>
    <w:rPr>
      <w:rFonts w:ascii="黑体" w:eastAsia="黑体"/>
      <w:sz w:val="24"/>
      <w:szCs w:val="24"/>
    </w:rPr>
  </w:style>
  <w:style w:type="paragraph" w:customStyle="1" w:styleId="594">
    <w:name w:val="Char Char Char Char"/>
    <w:basedOn w:val="1"/>
    <w:qFormat/>
    <w:uiPriority w:val="0"/>
    <w:pPr>
      <w:widowControl w:val="0"/>
      <w:adjustRightInd w:val="0"/>
      <w:snapToGrid w:val="0"/>
      <w:jc w:val="both"/>
    </w:pPr>
    <w:rPr>
      <w:kern w:val="2"/>
      <w:sz w:val="21"/>
      <w:szCs w:val="24"/>
    </w:rPr>
  </w:style>
  <w:style w:type="paragraph" w:customStyle="1" w:styleId="595">
    <w:name w:val="Char Char3 Char Char Char Char Char Char"/>
    <w:basedOn w:val="1"/>
    <w:qFormat/>
    <w:uiPriority w:val="0"/>
    <w:pPr>
      <w:widowControl w:val="0"/>
      <w:adjustRightInd w:val="0"/>
      <w:snapToGrid w:val="0"/>
      <w:jc w:val="both"/>
    </w:pPr>
    <w:rPr>
      <w:kern w:val="2"/>
      <w:sz w:val="21"/>
    </w:rPr>
  </w:style>
  <w:style w:type="paragraph" w:customStyle="1" w:styleId="596">
    <w:name w:val="表头-样式"/>
    <w:basedOn w:val="1"/>
    <w:qFormat/>
    <w:uiPriority w:val="0"/>
    <w:pPr>
      <w:widowControl w:val="0"/>
      <w:autoSpaceDE w:val="0"/>
      <w:autoSpaceDN w:val="0"/>
      <w:adjustRightInd w:val="0"/>
      <w:snapToGrid w:val="0"/>
      <w:spacing w:line="360" w:lineRule="auto"/>
      <w:ind w:firstLine="200" w:firstLineChars="200"/>
      <w:jc w:val="center"/>
    </w:pPr>
    <w:rPr>
      <w:rFonts w:ascii="黑体" w:eastAsia="Times New Roman" w:cs="宋体"/>
      <w:b/>
      <w:bCs/>
      <w:kern w:val="2"/>
      <w:sz w:val="24"/>
      <w:szCs w:val="24"/>
      <w:lang w:val="zh-CN"/>
    </w:rPr>
  </w:style>
  <w:style w:type="paragraph" w:customStyle="1" w:styleId="597">
    <w:name w:val="默认段落字体 Para Char"/>
    <w:basedOn w:val="1"/>
    <w:qFormat/>
    <w:uiPriority w:val="0"/>
    <w:pPr>
      <w:widowControl w:val="0"/>
      <w:adjustRightInd w:val="0"/>
      <w:snapToGrid w:val="0"/>
      <w:jc w:val="both"/>
    </w:pPr>
    <w:rPr>
      <w:rFonts w:ascii="宋体" w:hAnsi="宋体"/>
      <w:kern w:val="2"/>
      <w:sz w:val="24"/>
      <w:szCs w:val="24"/>
    </w:rPr>
  </w:style>
  <w:style w:type="paragraph" w:customStyle="1" w:styleId="598">
    <w:name w:val="Char Char Char Char Char Char Char Char Char Char Char Char Char Char Char1"/>
    <w:basedOn w:val="1"/>
    <w:qFormat/>
    <w:uiPriority w:val="0"/>
    <w:pPr>
      <w:widowControl w:val="0"/>
      <w:adjustRightInd w:val="0"/>
      <w:snapToGrid w:val="0"/>
      <w:spacing w:line="360" w:lineRule="auto"/>
      <w:ind w:firstLine="200" w:firstLineChars="200"/>
      <w:jc w:val="both"/>
    </w:pPr>
    <w:rPr>
      <w:rFonts w:ascii="宋体" w:hAnsi="宋体" w:cs="宋体"/>
      <w:kern w:val="2"/>
      <w:sz w:val="24"/>
      <w:szCs w:val="24"/>
    </w:rPr>
  </w:style>
  <w:style w:type="paragraph" w:customStyle="1" w:styleId="599">
    <w:name w:val="样式 样式 仿宋_GB2312 小四 行距: 1.5 倍行距 + 首行缩进:  2 字符"/>
    <w:basedOn w:val="1"/>
    <w:qFormat/>
    <w:uiPriority w:val="0"/>
    <w:pPr>
      <w:widowControl w:val="0"/>
      <w:adjustRightInd w:val="0"/>
      <w:snapToGrid w:val="0"/>
      <w:spacing w:line="360" w:lineRule="auto"/>
      <w:ind w:firstLine="200" w:firstLineChars="200"/>
    </w:pPr>
    <w:rPr>
      <w:rFonts w:ascii="仿宋_GB2312"/>
      <w:kern w:val="2"/>
      <w:sz w:val="28"/>
    </w:rPr>
  </w:style>
  <w:style w:type="paragraph" w:customStyle="1" w:styleId="600">
    <w:name w:val="CM11"/>
    <w:basedOn w:val="464"/>
    <w:next w:val="464"/>
    <w:qFormat/>
    <w:uiPriority w:val="0"/>
    <w:pPr>
      <w:spacing w:line="468" w:lineRule="atLeast"/>
    </w:pPr>
    <w:rPr>
      <w:rFonts w:hAnsi="Calibri" w:cs="Times New Roman"/>
      <w:color w:val="auto"/>
    </w:rPr>
  </w:style>
  <w:style w:type="paragraph" w:customStyle="1" w:styleId="601">
    <w:name w:val="xl74"/>
    <w:basedOn w:val="1"/>
    <w:qFormat/>
    <w:uiPriority w:val="0"/>
    <w:pPr>
      <w:pBdr>
        <w:top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602">
    <w:name w:val="xl88"/>
    <w:basedOn w:val="1"/>
    <w:qFormat/>
    <w:uiPriority w:val="0"/>
    <w:pPr>
      <w:pBdr>
        <w:top w:val="single" w:color="auto" w:sz="4" w:space="0"/>
        <w:left w:val="single" w:color="auto" w:sz="4" w:space="0"/>
        <w:bottom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603">
    <w:name w:val="xl82"/>
    <w:basedOn w:val="1"/>
    <w:qFormat/>
    <w:uiPriority w:val="0"/>
    <w:pPr>
      <w:pBdr>
        <w:top w:val="single" w:color="auto" w:sz="4" w:space="0"/>
        <w:bottom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604">
    <w:name w:val="xl87"/>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pPr>
    <w:rPr>
      <w:rFonts w:ascii="宋体" w:hAnsi="宋体" w:cs="宋体"/>
      <w:sz w:val="18"/>
      <w:szCs w:val="18"/>
    </w:rPr>
  </w:style>
  <w:style w:type="paragraph" w:customStyle="1" w:styleId="605">
    <w:name w:val="xl85"/>
    <w:basedOn w:val="1"/>
    <w:qFormat/>
    <w:uiPriority w:val="0"/>
    <w:pPr>
      <w:pBdr>
        <w:top w:val="single" w:color="auto" w:sz="4" w:space="0"/>
        <w:left w:val="single" w:color="auto" w:sz="4" w:space="0"/>
        <w:bottom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606">
    <w:name w:val="xl68"/>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607">
    <w:name w:val="xl83"/>
    <w:basedOn w:val="1"/>
    <w:qFormat/>
    <w:uiPriority w:val="0"/>
    <w:pPr>
      <w:pBdr>
        <w:bottom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608">
    <w:name w:val="样式 标题 2 + 宋体 居中 首行缩进:  2 字符"/>
    <w:basedOn w:val="4"/>
    <w:qFormat/>
    <w:uiPriority w:val="0"/>
    <w:pPr>
      <w:widowControl w:val="0"/>
      <w:adjustRightInd w:val="0"/>
      <w:snapToGrid w:val="0"/>
      <w:spacing w:before="156" w:beforeLines="50" w:after="156" w:afterLines="50" w:line="240" w:lineRule="auto"/>
      <w:ind w:firstLine="601" w:firstLineChars="200"/>
      <w:jc w:val="both"/>
    </w:pPr>
    <w:rPr>
      <w:rFonts w:ascii="宋体" w:hAnsi="宋体" w:eastAsia="黑体" w:cs="宋体"/>
      <w:kern w:val="2"/>
      <w:sz w:val="30"/>
      <w:szCs w:val="30"/>
    </w:rPr>
  </w:style>
  <w:style w:type="paragraph" w:customStyle="1" w:styleId="609">
    <w:name w:val="xl84"/>
    <w:basedOn w:val="1"/>
    <w:qFormat/>
    <w:uiPriority w:val="0"/>
    <w:pPr>
      <w:pBdr>
        <w:bottom w:val="single" w:color="auto" w:sz="4" w:space="0"/>
      </w:pBdr>
      <w:adjustRightInd w:val="0"/>
      <w:snapToGrid w:val="0"/>
      <w:spacing w:before="100" w:beforeAutospacing="1" w:after="100" w:afterAutospacing="1"/>
      <w:jc w:val="center"/>
    </w:pPr>
    <w:rPr>
      <w:rFonts w:ascii="宋体" w:hAnsi="宋体" w:cs="宋体"/>
      <w:sz w:val="24"/>
      <w:szCs w:val="24"/>
    </w:rPr>
  </w:style>
  <w:style w:type="paragraph" w:customStyle="1" w:styleId="610">
    <w:name w:val="Char11"/>
    <w:basedOn w:val="1"/>
    <w:qFormat/>
    <w:uiPriority w:val="0"/>
    <w:pPr>
      <w:widowControl w:val="0"/>
      <w:adjustRightInd w:val="0"/>
      <w:snapToGrid w:val="0"/>
      <w:jc w:val="both"/>
    </w:pPr>
    <w:rPr>
      <w:kern w:val="2"/>
      <w:sz w:val="21"/>
      <w:szCs w:val="24"/>
    </w:rPr>
  </w:style>
  <w:style w:type="paragraph" w:customStyle="1" w:styleId="611">
    <w:name w:val="正文小四缩"/>
    <w:basedOn w:val="1"/>
    <w:qFormat/>
    <w:uiPriority w:val="0"/>
    <w:pPr>
      <w:widowControl w:val="0"/>
      <w:adjustRightInd w:val="0"/>
      <w:snapToGrid w:val="0"/>
      <w:spacing w:before="120" w:line="460" w:lineRule="atLeast"/>
      <w:ind w:firstLine="510"/>
      <w:jc w:val="both"/>
      <w:textAlignment w:val="baseline"/>
    </w:pPr>
    <w:rPr>
      <w:rFonts w:ascii="仿宋_GB2312" w:eastAsia="仿宋_GB2312"/>
      <w:bCs/>
      <w:sz w:val="28"/>
    </w:rPr>
  </w:style>
  <w:style w:type="paragraph" w:customStyle="1" w:styleId="612">
    <w:name w:val="font5"/>
    <w:basedOn w:val="1"/>
    <w:qFormat/>
    <w:uiPriority w:val="0"/>
    <w:pPr>
      <w:adjustRightInd w:val="0"/>
      <w:snapToGrid w:val="0"/>
      <w:spacing w:before="100" w:beforeAutospacing="1" w:after="100" w:afterAutospacing="1"/>
    </w:pPr>
    <w:rPr>
      <w:rFonts w:ascii="宋体" w:hAnsi="宋体" w:cs="宋体"/>
      <w:sz w:val="18"/>
      <w:szCs w:val="18"/>
    </w:rPr>
  </w:style>
  <w:style w:type="paragraph" w:customStyle="1" w:styleId="613">
    <w:name w:val="标题2"/>
    <w:basedOn w:val="4"/>
    <w:qFormat/>
    <w:uiPriority w:val="0"/>
    <w:pPr>
      <w:keepNext w:val="0"/>
      <w:keepLines w:val="0"/>
      <w:widowControl w:val="0"/>
      <w:tabs>
        <w:tab w:val="left" w:pos="2133"/>
        <w:tab w:val="left" w:pos="2269"/>
      </w:tabs>
      <w:adjustRightInd w:val="0"/>
      <w:snapToGrid w:val="0"/>
      <w:spacing w:before="50" w:beforeLines="100" w:after="50" w:line="360" w:lineRule="auto"/>
      <w:ind w:firstLine="480" w:firstLineChars="200"/>
      <w:jc w:val="both"/>
    </w:pPr>
    <w:rPr>
      <w:rFonts w:ascii="黑体" w:hAnsi="黑体" w:eastAsia="黑体"/>
      <w:sz w:val="30"/>
      <w:szCs w:val="30"/>
    </w:rPr>
  </w:style>
  <w:style w:type="paragraph" w:customStyle="1" w:styleId="614">
    <w:name w:val="TOC 标题2"/>
    <w:basedOn w:val="2"/>
    <w:next w:val="1"/>
    <w:qFormat/>
    <w:uiPriority w:val="0"/>
    <w:pPr>
      <w:widowControl/>
      <w:adjustRightInd w:val="0"/>
      <w:snapToGrid w:val="0"/>
      <w:spacing w:before="480" w:beforeLines="0" w:after="0" w:afterAutospacing="0" w:line="276" w:lineRule="auto"/>
      <w:jc w:val="left"/>
      <w:outlineLvl w:val="9"/>
    </w:pPr>
    <w:rPr>
      <w:rFonts w:ascii="Cambria" w:hAnsi="Cambria" w:eastAsia="宋体"/>
      <w:b/>
      <w:color w:val="365F91"/>
      <w:kern w:val="0"/>
      <w:sz w:val="28"/>
    </w:rPr>
  </w:style>
  <w:style w:type="paragraph" w:customStyle="1" w:styleId="615">
    <w:name w:val="Char Char Char Char Char2 Char"/>
    <w:basedOn w:val="1"/>
    <w:qFormat/>
    <w:uiPriority w:val="0"/>
    <w:pPr>
      <w:widowControl w:val="0"/>
      <w:adjustRightInd w:val="0"/>
      <w:snapToGrid w:val="0"/>
      <w:spacing w:line="360" w:lineRule="auto"/>
      <w:ind w:firstLine="200" w:firstLineChars="200"/>
      <w:jc w:val="both"/>
    </w:pPr>
    <w:rPr>
      <w:kern w:val="2"/>
      <w:sz w:val="21"/>
      <w:szCs w:val="22"/>
    </w:rPr>
  </w:style>
  <w:style w:type="paragraph" w:customStyle="1" w:styleId="616">
    <w:name w:val="xl70"/>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cs="宋体"/>
      <w:sz w:val="18"/>
      <w:szCs w:val="18"/>
    </w:rPr>
  </w:style>
  <w:style w:type="paragraph" w:customStyle="1" w:styleId="617">
    <w:name w:val="表格正文"/>
    <w:basedOn w:val="1"/>
    <w:next w:val="1"/>
    <w:qFormat/>
    <w:uiPriority w:val="0"/>
    <w:pPr>
      <w:widowControl w:val="0"/>
      <w:adjustRightInd w:val="0"/>
      <w:snapToGrid w:val="0"/>
      <w:jc w:val="center"/>
    </w:pPr>
    <w:rPr>
      <w:rFonts w:cs="宋体"/>
      <w:kern w:val="2"/>
      <w:sz w:val="24"/>
    </w:rPr>
  </w:style>
  <w:style w:type="paragraph" w:customStyle="1" w:styleId="618">
    <w:name w:val="font9"/>
    <w:basedOn w:val="1"/>
    <w:qFormat/>
    <w:uiPriority w:val="0"/>
    <w:pPr>
      <w:adjustRightInd w:val="0"/>
      <w:snapToGrid w:val="0"/>
      <w:spacing w:before="100" w:beforeAutospacing="1" w:after="100" w:afterAutospacing="1"/>
    </w:pPr>
    <w:rPr>
      <w:rFonts w:ascii="宋体" w:hAnsi="宋体" w:cs="宋体"/>
    </w:rPr>
  </w:style>
  <w:style w:type="paragraph" w:customStyle="1" w:styleId="619">
    <w:name w:val="！正文"/>
    <w:basedOn w:val="1"/>
    <w:qFormat/>
    <w:uiPriority w:val="0"/>
    <w:pPr>
      <w:widowControl w:val="0"/>
      <w:adjustRightInd w:val="0"/>
      <w:snapToGrid w:val="0"/>
      <w:spacing w:line="360" w:lineRule="auto"/>
      <w:ind w:firstLine="200" w:firstLineChars="200"/>
    </w:pPr>
    <w:rPr>
      <w:rFonts w:cs="宋体"/>
      <w:sz w:val="24"/>
      <w:szCs w:val="24"/>
    </w:rPr>
  </w:style>
  <w:style w:type="paragraph" w:customStyle="1" w:styleId="620">
    <w:name w:val="Char Char Char Char2"/>
    <w:basedOn w:val="1"/>
    <w:qFormat/>
    <w:uiPriority w:val="0"/>
    <w:pPr>
      <w:widowControl w:val="0"/>
      <w:adjustRightInd w:val="0"/>
      <w:snapToGrid w:val="0"/>
      <w:jc w:val="both"/>
    </w:pPr>
    <w:rPr>
      <w:rFonts w:ascii="Tahoma" w:hAnsi="Tahoma"/>
      <w:kern w:val="2"/>
      <w:sz w:val="24"/>
    </w:rPr>
  </w:style>
  <w:style w:type="paragraph" w:customStyle="1" w:styleId="621">
    <w:name w:val="font8"/>
    <w:basedOn w:val="1"/>
    <w:qFormat/>
    <w:uiPriority w:val="0"/>
    <w:pPr>
      <w:adjustRightInd w:val="0"/>
      <w:snapToGrid w:val="0"/>
      <w:spacing w:before="100" w:beforeAutospacing="1" w:after="100" w:afterAutospacing="1"/>
    </w:pPr>
    <w:rPr>
      <w:rFonts w:ascii="宋体" w:hAnsi="宋体" w:cs="宋体"/>
    </w:rPr>
  </w:style>
  <w:style w:type="paragraph" w:customStyle="1" w:styleId="622">
    <w:name w:val="xl75"/>
    <w:basedOn w:val="1"/>
    <w:qFormat/>
    <w:uiPriority w:val="0"/>
    <w:pPr>
      <w:pBdr>
        <w:top w:val="single" w:color="auto" w:sz="4" w:space="0"/>
        <w:bottom w:val="single" w:color="auto" w:sz="4" w:space="0"/>
        <w:right w:val="single" w:color="auto" w:sz="4" w:space="0"/>
      </w:pBdr>
      <w:adjustRightInd w:val="0"/>
      <w:snapToGrid w:val="0"/>
      <w:spacing w:before="100" w:beforeAutospacing="1" w:after="100" w:afterAutospacing="1"/>
      <w:jc w:val="center"/>
    </w:pPr>
  </w:style>
  <w:style w:type="paragraph" w:customStyle="1" w:styleId="623">
    <w:name w:val="Char Char3 Char Char Char Char Char Char1"/>
    <w:basedOn w:val="1"/>
    <w:qFormat/>
    <w:uiPriority w:val="0"/>
    <w:pPr>
      <w:widowControl w:val="0"/>
      <w:adjustRightInd w:val="0"/>
      <w:snapToGrid w:val="0"/>
      <w:jc w:val="both"/>
    </w:pPr>
    <w:rPr>
      <w:kern w:val="2"/>
      <w:sz w:val="21"/>
    </w:rPr>
  </w:style>
  <w:style w:type="paragraph" w:customStyle="1" w:styleId="624">
    <w:name w:val="xl71"/>
    <w:basedOn w:val="1"/>
    <w:qFormat/>
    <w:uiPriority w:val="0"/>
    <w:pPr>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center"/>
    </w:pPr>
  </w:style>
  <w:style w:type="paragraph" w:customStyle="1" w:styleId="625">
    <w:name w:val="CM130"/>
    <w:basedOn w:val="464"/>
    <w:next w:val="464"/>
    <w:qFormat/>
    <w:uiPriority w:val="0"/>
    <w:pPr>
      <w:spacing w:after="143"/>
    </w:pPr>
    <w:rPr>
      <w:rFonts w:hAnsi="Calibri" w:cs="Times New Roman"/>
      <w:color w:val="auto"/>
      <w:szCs w:val="20"/>
    </w:rPr>
  </w:style>
  <w:style w:type="paragraph" w:customStyle="1" w:styleId="626">
    <w:name w:val="表格体"/>
    <w:basedOn w:val="1"/>
    <w:semiHidden/>
    <w:qFormat/>
    <w:uiPriority w:val="0"/>
    <w:pPr>
      <w:widowControl w:val="0"/>
      <w:adjustRightInd w:val="0"/>
      <w:snapToGrid w:val="0"/>
      <w:spacing w:line="360" w:lineRule="auto"/>
      <w:ind w:firstLine="200" w:firstLineChars="200"/>
      <w:jc w:val="center"/>
    </w:pPr>
    <w:rPr>
      <w:bCs/>
      <w:kern w:val="2"/>
      <w:sz w:val="21"/>
      <w:szCs w:val="24"/>
    </w:rPr>
  </w:style>
  <w:style w:type="paragraph" w:customStyle="1" w:styleId="627">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628">
    <w:name w:val="样式 标题 2 + 首行缩进:  2 字符"/>
    <w:basedOn w:val="4"/>
    <w:qFormat/>
    <w:uiPriority w:val="0"/>
    <w:pPr>
      <w:widowControl w:val="0"/>
      <w:adjustRightInd w:val="0"/>
      <w:snapToGrid w:val="0"/>
      <w:spacing w:before="156" w:after="156" w:line="360" w:lineRule="auto"/>
      <w:ind w:firstLine="480" w:firstLineChars="200"/>
      <w:jc w:val="both"/>
    </w:pPr>
    <w:rPr>
      <w:rFonts w:ascii="Times New Roman" w:hAnsi="Times New Roman" w:eastAsia="黑体" w:cs="宋体"/>
      <w:kern w:val="2"/>
      <w:sz w:val="30"/>
      <w:szCs w:val="30"/>
    </w:rPr>
  </w:style>
  <w:style w:type="table" w:customStyle="1" w:styleId="629">
    <w:name w:val="A-表格属性"/>
    <w:basedOn w:val="53"/>
    <w:qFormat/>
    <w:uiPriority w:val="0"/>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
    <w:trPr>
      <w:tblHeader/>
    </w:trPr>
    <w:tcPr>
      <w:vAlign w:val="center"/>
    </w:tcPr>
  </w:style>
  <w:style w:type="table" w:customStyle="1" w:styleId="630">
    <w:name w:val="网格型2"/>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31">
    <w:name w:val="Body text|1"/>
    <w:basedOn w:val="1"/>
    <w:qFormat/>
    <w:uiPriority w:val="0"/>
    <w:pPr>
      <w:widowControl w:val="0"/>
      <w:adjustRightInd w:val="0"/>
      <w:snapToGrid w:val="0"/>
      <w:spacing w:line="403" w:lineRule="auto"/>
      <w:ind w:firstLine="200" w:firstLineChars="200"/>
    </w:pPr>
    <w:rPr>
      <w:rFonts w:ascii="宋体" w:hAnsi="宋体" w:cs="宋体"/>
      <w:kern w:val="2"/>
      <w:sz w:val="26"/>
      <w:szCs w:val="26"/>
      <w:lang w:val="zh-TW" w:eastAsia="zh-TW" w:bidi="zh-TW"/>
    </w:rPr>
  </w:style>
  <w:style w:type="paragraph" w:customStyle="1" w:styleId="632">
    <w:name w:val="bgbt5附表标题"/>
    <w:basedOn w:val="1"/>
    <w:next w:val="633"/>
    <w:qFormat/>
    <w:uiPriority w:val="0"/>
    <w:pPr>
      <w:widowControl w:val="0"/>
      <w:adjustRightInd w:val="0"/>
      <w:snapToGrid w:val="0"/>
      <w:spacing w:before="60" w:line="360" w:lineRule="auto"/>
      <w:ind w:firstLine="200" w:firstLineChars="200"/>
      <w:jc w:val="center"/>
      <w:outlineLvl w:val="4"/>
    </w:pPr>
    <w:rPr>
      <w:rFonts w:eastAsia="黑体" w:cs="宋体"/>
      <w:kern w:val="2"/>
      <w:sz w:val="24"/>
    </w:rPr>
  </w:style>
  <w:style w:type="paragraph" w:customStyle="1" w:styleId="633">
    <w:name w:val="bg正文首行缩进"/>
    <w:basedOn w:val="1"/>
    <w:qFormat/>
    <w:uiPriority w:val="0"/>
    <w:pPr>
      <w:widowControl w:val="0"/>
      <w:adjustRightInd w:val="0"/>
      <w:snapToGrid w:val="0"/>
      <w:spacing w:line="400" w:lineRule="exact"/>
      <w:ind w:firstLine="482" w:firstLineChars="200"/>
    </w:pPr>
    <w:rPr>
      <w:rFonts w:cs="宋体"/>
      <w:kern w:val="2"/>
      <w:sz w:val="24"/>
    </w:rPr>
  </w:style>
  <w:style w:type="paragraph" w:customStyle="1" w:styleId="634">
    <w:name w:val="CM14"/>
    <w:basedOn w:val="464"/>
    <w:next w:val="464"/>
    <w:qFormat/>
    <w:uiPriority w:val="0"/>
    <w:pPr>
      <w:spacing w:line="480" w:lineRule="atLeast"/>
    </w:pPr>
    <w:rPr>
      <w:rFonts w:hAnsi="宋体" w:cs="Times New Roman"/>
      <w:color w:val="auto"/>
      <w:szCs w:val="20"/>
    </w:rPr>
  </w:style>
  <w:style w:type="paragraph" w:customStyle="1" w:styleId="635">
    <w:name w:val="CM3"/>
    <w:basedOn w:val="464"/>
    <w:next w:val="464"/>
    <w:qFormat/>
    <w:uiPriority w:val="0"/>
    <w:pPr>
      <w:spacing w:line="480" w:lineRule="atLeast"/>
    </w:pPr>
    <w:rPr>
      <w:rFonts w:hAnsi="宋体" w:cs="Times New Roman"/>
      <w:color w:val="auto"/>
      <w:szCs w:val="20"/>
    </w:rPr>
  </w:style>
  <w:style w:type="table" w:customStyle="1" w:styleId="636">
    <w:name w:val="网格型3"/>
    <w:basedOn w:val="5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37">
    <w:name w:val="x标题3"/>
    <w:basedOn w:val="1"/>
    <w:qFormat/>
    <w:uiPriority w:val="0"/>
    <w:pPr>
      <w:widowControl w:val="0"/>
      <w:tabs>
        <w:tab w:val="left" w:pos="5640"/>
      </w:tabs>
      <w:adjustRightInd w:val="0"/>
      <w:snapToGrid w:val="0"/>
      <w:spacing w:line="360" w:lineRule="auto"/>
      <w:ind w:firstLine="482" w:firstLineChars="200"/>
      <w:outlineLvl w:val="2"/>
    </w:pPr>
    <w:rPr>
      <w:rFonts w:ascii="宋体" w:hAnsi="宋体" w:cs="宋体"/>
      <w:b/>
      <w:bCs/>
      <w:kern w:val="2"/>
      <w:sz w:val="24"/>
      <w:szCs w:val="28"/>
    </w:rPr>
  </w:style>
  <w:style w:type="character" w:customStyle="1" w:styleId="638">
    <w:name w:val="Char Char322"/>
    <w:link w:val="639"/>
    <w:qFormat/>
    <w:uiPriority w:val="0"/>
    <w:rPr>
      <w:kern w:val="2"/>
      <w:sz w:val="21"/>
      <w:szCs w:val="24"/>
    </w:rPr>
  </w:style>
  <w:style w:type="paragraph" w:customStyle="1" w:styleId="639">
    <w:name w:val="Char5"/>
    <w:basedOn w:val="1"/>
    <w:link w:val="638"/>
    <w:qFormat/>
    <w:uiPriority w:val="0"/>
    <w:pPr>
      <w:widowControl w:val="0"/>
      <w:adjustRightInd w:val="0"/>
      <w:snapToGrid w:val="0"/>
      <w:jc w:val="both"/>
    </w:pPr>
    <w:rPr>
      <w:kern w:val="2"/>
      <w:sz w:val="21"/>
      <w:szCs w:val="24"/>
    </w:rPr>
  </w:style>
  <w:style w:type="paragraph" w:customStyle="1" w:styleId="640">
    <w:name w:val="样式 仿宋_GB2312 四号3"/>
    <w:basedOn w:val="1"/>
    <w:qFormat/>
    <w:uiPriority w:val="0"/>
    <w:pPr>
      <w:widowControl w:val="0"/>
      <w:ind w:right="25" w:rightChars="12" w:firstLine="560" w:firstLineChars="200"/>
      <w:jc w:val="both"/>
    </w:pPr>
    <w:rPr>
      <w:rFonts w:ascii="仿宋_GB2312" w:eastAsia="仿宋_GB2312" w:cs="宋体"/>
      <w:kern w:val="2"/>
      <w:sz w:val="28"/>
    </w:rPr>
  </w:style>
  <w:style w:type="paragraph" w:customStyle="1" w:styleId="641">
    <w:name w:val="样式 正文文本首行缩进 + 小四 首行缩进:  1 字符 段后: 0 磅 行距: 固定值 24 磅"/>
    <w:basedOn w:val="51"/>
    <w:qFormat/>
    <w:uiPriority w:val="0"/>
    <w:pPr>
      <w:spacing w:line="480" w:lineRule="exact"/>
      <w:ind w:firstLine="200" w:firstLineChars="200"/>
    </w:pPr>
    <w:rPr>
      <w:sz w:val="24"/>
      <w:szCs w:val="20"/>
    </w:rPr>
  </w:style>
  <w:style w:type="paragraph" w:customStyle="1" w:styleId="642">
    <w:name w:val="2-正文"/>
    <w:basedOn w:val="1"/>
    <w:qFormat/>
    <w:uiPriority w:val="0"/>
    <w:pPr>
      <w:spacing w:line="360" w:lineRule="auto"/>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oleObject" Target="embeddings/oleObject1.bin"/><Relationship Id="rId13" Type="http://schemas.openxmlformats.org/officeDocument/2006/relationships/chart" Target="charts/chart1.xml"/><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1-&#25991;&#23383;&#65288;&#21494;&#22478;&#27877;&#23721;&#65289;\&#33829;&#25913;&#22686;&#31616;&#21270;&#25216;&#26415;&#32463;&#27982;&#35745;&#31639;&#34920;(&#21494;&#22478;&#27877;&#23721;&#30719;)40&#19975;&#21544;&#35268;&#27169;9.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800" b="0" i="0" u="none" strike="noStrike" kern="1200" baseline="0">
                <a:solidFill>
                  <a:srgbClr val="000000">
                    <a:alpha val="100000"/>
                  </a:srgbClr>
                </a:solidFill>
                <a:latin typeface="Arial" panose="020B0604020202020204" pitchFamily="2" charset="0"/>
                <a:ea typeface="Arial" panose="020B0604020202020204" pitchFamily="2" charset="0"/>
                <a:cs typeface="Arial" panose="020B0604020202020204" pitchFamily="2" charset="0"/>
              </a:defRPr>
            </a:pPr>
            <a:r>
              <a:rPr sz="960" b="0" i="0" u="none" strike="noStrike" baseline="0">
                <a:solidFill>
                  <a:srgbClr val="000000"/>
                </a:solidFill>
                <a:latin typeface="Arial" panose="020B0604020202020204" pitchFamily="2" charset="0"/>
                <a:ea typeface="Arial" panose="020B0604020202020204" pitchFamily="2" charset="0"/>
                <a:cs typeface="Arial" panose="020B0604020202020204" pitchFamily="2" charset="0"/>
              </a:rPr>
              <a:t>盈亏平衡分析图(达产后年均)</a:t>
            </a:r>
            <a:endParaRPr sz="1200" b="0" i="0" u="none" strike="noStrike" baseline="0">
              <a:solidFill>
                <a:srgbClr val="000000"/>
              </a:solidFill>
              <a:latin typeface="Times New Roman" panose="02020603050405020304" charset="0"/>
              <a:ea typeface="Times New Roman" panose="02020603050405020304" charset="0"/>
              <a:cs typeface="Times New Roman" panose="02020603050405020304" charset="0"/>
            </a:endParaRPr>
          </a:p>
        </c:rich>
      </c:tx>
      <c:layout/>
      <c:overlay val="0"/>
    </c:title>
    <c:autoTitleDeleted val="0"/>
    <c:plotArea>
      <c:layout>
        <c:manualLayout>
          <c:layoutTarget val="inner"/>
          <c:xMode val="edge"/>
          <c:yMode val="edge"/>
          <c:x val="0.186686131386861"/>
          <c:y val="0.172774869109948"/>
          <c:w val="0.527182481751825"/>
          <c:h val="0.515671902268761"/>
        </c:manualLayout>
      </c:layout>
      <c:lineChart>
        <c:grouping val="standard"/>
        <c:varyColors val="0"/>
        <c:ser>
          <c:idx val="0"/>
          <c:order val="0"/>
          <c:tx>
            <c:strRef>
              <c:f>"总成本费用"</c:f>
              <c:strCache>
                <c:ptCount val="1"/>
                <c:pt idx="0">
                  <c:v>总成本费用</c:v>
                </c:pt>
              </c:strCache>
            </c:strRef>
          </c:tx>
          <c:spPr>
            <a:ln w="19050" cap="rnd" cmpd="sng" algn="ctr">
              <a:solidFill>
                <a:srgbClr val="000000">
                  <a:alpha val="100000"/>
                </a:srgbClr>
              </a:solidFill>
              <a:prstDash val="solid"/>
              <a:round/>
            </a:ln>
          </c:spPr>
          <c:marker>
            <c:symbol val="diamond"/>
            <c:size val="5"/>
            <c:spPr>
              <a:solidFill>
                <a:srgbClr val="000080"/>
              </a:solidFill>
              <a:ln w="9525" cap="flat" cmpd="sng" algn="ctr">
                <a:solidFill>
                  <a:srgbClr val="000000"/>
                </a:solidFill>
                <a:prstDash val="solid"/>
                <a:round/>
              </a:ln>
            </c:spPr>
          </c:marker>
          <c:dLbls>
            <c:delete val="1"/>
          </c:dLbls>
          <c:cat>
            <c:numRef>
              <c:f>'[营改增简化技术经济计算表(叶城泥岩矿)40万吨规模9.14.xls]盈亏平衡图'!$B$17:$L$17</c:f>
              <c:numCache>
                <c:formatCode>0%</c:formatCode>
                <c:ptCount val="11"/>
                <c:pt idx="0" c:formatCode="0%">
                  <c:v>0</c:v>
                </c:pt>
                <c:pt idx="1" c:formatCode="0%">
                  <c:v>0.1</c:v>
                </c:pt>
                <c:pt idx="2" c:formatCode="0%">
                  <c:v>0.2</c:v>
                </c:pt>
                <c:pt idx="3" c:formatCode="0%">
                  <c:v>0.3</c:v>
                </c:pt>
                <c:pt idx="4" c:formatCode="0%">
                  <c:v>0.4</c:v>
                </c:pt>
                <c:pt idx="5" c:formatCode="0%">
                  <c:v>0.5</c:v>
                </c:pt>
                <c:pt idx="6" c:formatCode="0%">
                  <c:v>0.6</c:v>
                </c:pt>
                <c:pt idx="7" c:formatCode="0%">
                  <c:v>0.7</c:v>
                </c:pt>
                <c:pt idx="8" c:formatCode="0%">
                  <c:v>0.8</c:v>
                </c:pt>
                <c:pt idx="9" c:formatCode="0%">
                  <c:v>0.9</c:v>
                </c:pt>
                <c:pt idx="10" c:formatCode="0%">
                  <c:v>1</c:v>
                </c:pt>
              </c:numCache>
            </c:numRef>
          </c:cat>
          <c:val>
            <c:numRef>
              <c:f>'[营改增简化技术经济计算表(叶城泥岩矿)40万吨规模9.14.xls]盈亏平衡图'!$B$18:$L$18</c:f>
              <c:numCache>
                <c:formatCode>0.00_ </c:formatCode>
                <c:ptCount val="11"/>
                <c:pt idx="0">
                  <c:v>521.27</c:v>
                </c:pt>
                <c:pt idx="1">
                  <c:v>540.516</c:v>
                </c:pt>
                <c:pt idx="2">
                  <c:v>559.762</c:v>
                </c:pt>
                <c:pt idx="3">
                  <c:v>579.008</c:v>
                </c:pt>
                <c:pt idx="4">
                  <c:v>598.254</c:v>
                </c:pt>
                <c:pt idx="5">
                  <c:v>617.5</c:v>
                </c:pt>
                <c:pt idx="6">
                  <c:v>636.746</c:v>
                </c:pt>
                <c:pt idx="7">
                  <c:v>655.992</c:v>
                </c:pt>
                <c:pt idx="8">
                  <c:v>675.238</c:v>
                </c:pt>
                <c:pt idx="9">
                  <c:v>694.484</c:v>
                </c:pt>
                <c:pt idx="10">
                  <c:v>713.73</c:v>
                </c:pt>
              </c:numCache>
            </c:numRef>
          </c:val>
          <c:smooth val="1"/>
        </c:ser>
        <c:ser>
          <c:idx val="1"/>
          <c:order val="1"/>
          <c:tx>
            <c:strRef>
              <c:f>"固定成本"</c:f>
              <c:strCache>
                <c:ptCount val="1"/>
                <c:pt idx="0">
                  <c:v>固定成本</c:v>
                </c:pt>
              </c:strCache>
            </c:strRef>
          </c:tx>
          <c:spPr>
            <a:ln w="19050" cap="rnd" cmpd="sng" algn="ctr">
              <a:solidFill>
                <a:srgbClr val="000000">
                  <a:alpha val="100000"/>
                </a:srgbClr>
              </a:solidFill>
              <a:prstDash val="solid"/>
              <a:round/>
            </a:ln>
          </c:spPr>
          <c:marker>
            <c:symbol val="circle"/>
            <c:size val="5"/>
            <c:spPr>
              <a:solidFill>
                <a:srgbClr val="000000"/>
              </a:solidFill>
              <a:ln w="9525" cap="flat" cmpd="sng" algn="ctr">
                <a:solidFill>
                  <a:srgbClr val="000000"/>
                </a:solidFill>
                <a:prstDash val="solid"/>
                <a:round/>
              </a:ln>
            </c:spPr>
          </c:marker>
          <c:dLbls>
            <c:delete val="1"/>
          </c:dLbls>
          <c:cat>
            <c:numRef>
              <c:f>'[营改增简化技术经济计算表(叶城泥岩矿)40万吨规模9.14.xls]盈亏平衡图'!$B$17:$L$17</c:f>
              <c:numCache>
                <c:formatCode>0%</c:formatCode>
                <c:ptCount val="11"/>
                <c:pt idx="0" c:formatCode="0%">
                  <c:v>0</c:v>
                </c:pt>
                <c:pt idx="1" c:formatCode="0%">
                  <c:v>0.1</c:v>
                </c:pt>
                <c:pt idx="2" c:formatCode="0%">
                  <c:v>0.2</c:v>
                </c:pt>
                <c:pt idx="3" c:formatCode="0%">
                  <c:v>0.3</c:v>
                </c:pt>
                <c:pt idx="4" c:formatCode="0%">
                  <c:v>0.4</c:v>
                </c:pt>
                <c:pt idx="5" c:formatCode="0%">
                  <c:v>0.5</c:v>
                </c:pt>
                <c:pt idx="6" c:formatCode="0%">
                  <c:v>0.6</c:v>
                </c:pt>
                <c:pt idx="7" c:formatCode="0%">
                  <c:v>0.7</c:v>
                </c:pt>
                <c:pt idx="8" c:formatCode="0%">
                  <c:v>0.8</c:v>
                </c:pt>
                <c:pt idx="9" c:formatCode="0%">
                  <c:v>0.9</c:v>
                </c:pt>
                <c:pt idx="10" c:formatCode="0%">
                  <c:v>1</c:v>
                </c:pt>
              </c:numCache>
            </c:numRef>
          </c:cat>
          <c:val>
            <c:numRef>
              <c:f>'[营改增简化技术经济计算表(叶城泥岩矿)40万吨规模9.14.xls]盈亏平衡图'!$B$19:$L$19</c:f>
              <c:numCache>
                <c:formatCode>0.00_ </c:formatCode>
                <c:ptCount val="11"/>
                <c:pt idx="0">
                  <c:v>521.27</c:v>
                </c:pt>
                <c:pt idx="1">
                  <c:v>521.27</c:v>
                </c:pt>
                <c:pt idx="2">
                  <c:v>521.27</c:v>
                </c:pt>
                <c:pt idx="3">
                  <c:v>521.27</c:v>
                </c:pt>
                <c:pt idx="4">
                  <c:v>521.27</c:v>
                </c:pt>
                <c:pt idx="5">
                  <c:v>521.27</c:v>
                </c:pt>
                <c:pt idx="6">
                  <c:v>521.27</c:v>
                </c:pt>
                <c:pt idx="7">
                  <c:v>521.27</c:v>
                </c:pt>
                <c:pt idx="8">
                  <c:v>521.27</c:v>
                </c:pt>
                <c:pt idx="9">
                  <c:v>521.27</c:v>
                </c:pt>
                <c:pt idx="10">
                  <c:v>521.27</c:v>
                </c:pt>
              </c:numCache>
            </c:numRef>
          </c:val>
          <c:smooth val="1"/>
        </c:ser>
        <c:ser>
          <c:idx val="2"/>
          <c:order val="2"/>
          <c:tx>
            <c:strRef>
              <c:f>"收入-税金"</c:f>
              <c:strCache>
                <c:ptCount val="1"/>
                <c:pt idx="0">
                  <c:v>收入-税金</c:v>
                </c:pt>
              </c:strCache>
            </c:strRef>
          </c:tx>
          <c:spPr>
            <a:ln w="19050" cap="rnd" cmpd="sng" algn="ctr">
              <a:solidFill>
                <a:srgbClr val="000000">
                  <a:alpha val="100000"/>
                </a:srgbClr>
              </a:solidFill>
              <a:prstDash val="solid"/>
              <a:round/>
            </a:ln>
          </c:spPr>
          <c:marker>
            <c:symbol val="square"/>
            <c:size val="5"/>
            <c:spPr>
              <a:solidFill>
                <a:srgbClr val="000000"/>
              </a:solidFill>
              <a:ln w="9525" cap="flat" cmpd="sng" algn="ctr">
                <a:solidFill>
                  <a:srgbClr val="000000"/>
                </a:solidFill>
                <a:prstDash val="solid"/>
                <a:round/>
              </a:ln>
            </c:spPr>
          </c:marker>
          <c:dLbls>
            <c:delete val="1"/>
          </c:dLbls>
          <c:cat>
            <c:numRef>
              <c:f>'[营改增简化技术经济计算表(叶城泥岩矿)40万吨规模9.14.xls]盈亏平衡图'!$B$17:$L$17</c:f>
              <c:numCache>
                <c:formatCode>0%</c:formatCode>
                <c:ptCount val="11"/>
                <c:pt idx="0" c:formatCode="0%">
                  <c:v>0</c:v>
                </c:pt>
                <c:pt idx="1" c:formatCode="0%">
                  <c:v>0.1</c:v>
                </c:pt>
                <c:pt idx="2" c:formatCode="0%">
                  <c:v>0.2</c:v>
                </c:pt>
                <c:pt idx="3" c:formatCode="0%">
                  <c:v>0.3</c:v>
                </c:pt>
                <c:pt idx="4" c:formatCode="0%">
                  <c:v>0.4</c:v>
                </c:pt>
                <c:pt idx="5" c:formatCode="0%">
                  <c:v>0.5</c:v>
                </c:pt>
                <c:pt idx="6" c:formatCode="0%">
                  <c:v>0.6</c:v>
                </c:pt>
                <c:pt idx="7" c:formatCode="0%">
                  <c:v>0.7</c:v>
                </c:pt>
                <c:pt idx="8" c:formatCode="0%">
                  <c:v>0.8</c:v>
                </c:pt>
                <c:pt idx="9" c:formatCode="0%">
                  <c:v>0.9</c:v>
                </c:pt>
                <c:pt idx="10" c:formatCode="0%">
                  <c:v>1</c:v>
                </c:pt>
              </c:numCache>
            </c:numRef>
          </c:cat>
          <c:val>
            <c:numRef>
              <c:f>'[营改增简化技术经济计算表(叶城泥岩矿)40万吨规模9.14.xls]盈亏平衡图'!$B$23:$L$23</c:f>
              <c:numCache>
                <c:formatCode>0.00_);[Red]\(0.00\)</c:formatCode>
                <c:ptCount val="11"/>
                <c:pt idx="0">
                  <c:v>0</c:v>
                </c:pt>
                <c:pt idx="1">
                  <c:v>86.529</c:v>
                </c:pt>
                <c:pt idx="2">
                  <c:v>173.068</c:v>
                </c:pt>
                <c:pt idx="3">
                  <c:v>259.597</c:v>
                </c:pt>
                <c:pt idx="4">
                  <c:v>346.126</c:v>
                </c:pt>
                <c:pt idx="5">
                  <c:v>432.665</c:v>
                </c:pt>
                <c:pt idx="6">
                  <c:v>519.194</c:v>
                </c:pt>
                <c:pt idx="7">
                  <c:v>605.723</c:v>
                </c:pt>
                <c:pt idx="8">
                  <c:v>692.252</c:v>
                </c:pt>
                <c:pt idx="9">
                  <c:v>778.791</c:v>
                </c:pt>
                <c:pt idx="10">
                  <c:v>865.32</c:v>
                </c:pt>
              </c:numCache>
            </c:numRef>
          </c:val>
          <c:smooth val="1"/>
        </c:ser>
        <c:dLbls>
          <c:showLegendKey val="0"/>
          <c:showVal val="0"/>
          <c:showCatName val="0"/>
          <c:showSerName val="0"/>
          <c:showPercent val="0"/>
          <c:showBubbleSize val="0"/>
        </c:dLbls>
        <c:marker val="1"/>
        <c:smooth val="1"/>
        <c:axId val="185794142"/>
        <c:axId val="419584774"/>
      </c:lineChart>
      <c:catAx>
        <c:axId val="185794142"/>
        <c:scaling>
          <c:orientation val="minMax"/>
        </c:scaling>
        <c:delete val="0"/>
        <c:axPos val="b"/>
        <c:majorTickMark val="none"/>
        <c:minorTickMark val="none"/>
        <c:tickLblPos val="nextTo"/>
        <c:spPr>
          <a:ln w="3175" cap="flat" cmpd="sng" algn="ctr">
            <a:solidFill>
              <a:srgbClr val="000000">
                <a:alpha val="100000"/>
              </a:srgbClr>
            </a:solidFill>
            <a:prstDash val="solid"/>
            <a:round/>
          </a:ln>
        </c:spPr>
        <c:txPr>
          <a:bodyPr rot="-2700000" spcFirstLastPara="0" vertOverflow="ellipsis" vert="horz" wrap="square" anchor="ctr" anchorCtr="1"/>
          <a:lstStyle/>
          <a:p>
            <a:pPr>
              <a:defRPr lang="zh-CN" sz="800" b="0" i="0" u="none" strike="noStrike" kern="1200" baseline="0">
                <a:solidFill>
                  <a:srgbClr val="000000">
                    <a:alpha val="100000"/>
                  </a:srgbClr>
                </a:solidFill>
                <a:latin typeface="Arial" panose="020B0604020202020204" pitchFamily="2" charset="0"/>
                <a:ea typeface="Arial" panose="020B0604020202020204" pitchFamily="2" charset="0"/>
                <a:cs typeface="Arial" panose="020B0604020202020204" pitchFamily="2" charset="0"/>
              </a:defRPr>
            </a:pPr>
          </a:p>
        </c:txPr>
        <c:crossAx val="419584774"/>
        <c:crosses val="autoZero"/>
        <c:auto val="0"/>
        <c:lblAlgn val="ctr"/>
        <c:lblOffset val="100"/>
        <c:tickLblSkip val="1"/>
        <c:noMultiLvlLbl val="0"/>
      </c:catAx>
      <c:valAx>
        <c:axId val="419584774"/>
        <c:scaling>
          <c:orientation val="minMax"/>
        </c:scaling>
        <c:delete val="0"/>
        <c:axPos val="l"/>
        <c:majorGridlines>
          <c:spPr>
            <a:ln w="3175" cap="flat" cmpd="sng" algn="ctr">
              <a:solidFill>
                <a:srgbClr val="808080">
                  <a:alpha val="100000"/>
                </a:srgbClr>
              </a:solidFill>
              <a:prstDash val="solid"/>
              <a:round/>
            </a:ln>
          </c:spPr>
        </c:majorGridlines>
        <c:title>
          <c:tx>
            <c:rich>
              <a:bodyPr rot="-5400000" spcFirstLastPara="0" vertOverflow="ellipsis" vert="horz" wrap="square" anchor="ctr" anchorCtr="1"/>
              <a:lstStyle/>
              <a:p>
                <a:pPr defTabSz="914400">
                  <a:defRPr lang="zh-CN" sz="800" b="0" i="0" u="none" strike="noStrike" kern="1200" baseline="0">
                    <a:solidFill>
                      <a:srgbClr val="000000">
                        <a:alpha val="100000"/>
                      </a:srgbClr>
                    </a:solidFill>
                    <a:latin typeface="Arial" panose="020B0604020202020204" pitchFamily="2" charset="0"/>
                    <a:ea typeface="Arial" panose="020B0604020202020204" pitchFamily="2" charset="0"/>
                    <a:cs typeface="Arial" panose="020B0604020202020204" pitchFamily="2" charset="0"/>
                  </a:defRPr>
                </a:pPr>
                <a:r>
                  <a:t>销售收入或总成本  单位：（万元）</a:t>
                </a:r>
                <a:endParaRPr sz="800" b="0" i="0" u="none" strike="noStrike" baseline="0">
                  <a:solidFill>
                    <a:srgbClr val="000000">
                      <a:alpha val="100000"/>
                    </a:srgbClr>
                  </a:solidFill>
                  <a:latin typeface="Arial" panose="020B0604020202020204" pitchFamily="2" charset="0"/>
                  <a:ea typeface="Arial" panose="020B0604020202020204" pitchFamily="2" charset="0"/>
                  <a:cs typeface="Arial" panose="020B0604020202020204" pitchFamily="2" charset="0"/>
                </a:endParaRPr>
              </a:p>
            </c:rich>
          </c:tx>
          <c:layout/>
          <c:overlay val="0"/>
        </c:title>
        <c:numFmt formatCode="0.00_ " sourceLinked="1"/>
        <c:majorTickMark val="none"/>
        <c:minorTickMark val="none"/>
        <c:tickLblPos val="nextTo"/>
        <c:spPr>
          <a:ln w="3175" cap="flat" cmpd="sng" algn="ctr">
            <a:solidFill>
              <a:srgbClr val="000000">
                <a:alpha val="100000"/>
              </a:srgbClr>
            </a:solidFill>
            <a:prstDash val="solid"/>
            <a:round/>
          </a:ln>
        </c:spPr>
        <c:txPr>
          <a:bodyPr rot="0" spcFirstLastPara="0" vertOverflow="ellipsis" vert="horz" wrap="square" anchor="ctr" anchorCtr="1"/>
          <a:lstStyle/>
          <a:p>
            <a:pPr>
              <a:defRPr lang="zh-CN" sz="800" b="0" i="0" u="none" strike="noStrike" kern="1200" baseline="0">
                <a:solidFill>
                  <a:srgbClr val="000000">
                    <a:alpha val="100000"/>
                  </a:srgbClr>
                </a:solidFill>
                <a:latin typeface="Arial" panose="020B0604020202020204" pitchFamily="2" charset="0"/>
                <a:ea typeface="Arial" panose="020B0604020202020204" pitchFamily="2" charset="0"/>
                <a:cs typeface="Arial" panose="020B0604020202020204" pitchFamily="2" charset="0"/>
              </a:defRPr>
            </a:pPr>
          </a:p>
        </c:txPr>
        <c:crossAx val="185794142"/>
        <c:crosses val="autoZero"/>
        <c:crossBetween val="midCat"/>
      </c:valAx>
      <c:spPr>
        <a:solidFill>
          <a:srgbClr val="FFFFFF">
            <a:alpha val="100000"/>
          </a:srgbClr>
        </a:solidFill>
        <a:ln w="12700">
          <a:solidFill>
            <a:srgbClr val="808080">
              <a:alpha val="100000"/>
            </a:srgbClr>
          </a:solidFill>
          <a:prstDash val="solid"/>
        </a:ln>
      </c:spPr>
    </c:plotArea>
    <c:legend>
      <c:legendPos val="r"/>
      <c:layout>
        <c:manualLayout>
          <c:xMode val="edge"/>
          <c:yMode val="edge"/>
          <c:x val="0.749752974308868"/>
          <c:y val="0.320578527160545"/>
          <c:w val="0.182"/>
          <c:h val="0.28675"/>
        </c:manualLayout>
      </c:layout>
      <c:overlay val="0"/>
      <c:spPr>
        <a:solidFill>
          <a:srgbClr val="FFFFFF">
            <a:alpha val="100000"/>
          </a:srgbClr>
        </a:solidFill>
        <a:ln w="3175">
          <a:solidFill>
            <a:srgbClr val="000000">
              <a:alpha val="100000"/>
            </a:srgbClr>
          </a:solidFill>
          <a:prstDash val="solid"/>
        </a:ln>
      </c:spPr>
      <c:txPr>
        <a:bodyPr rot="0" spcFirstLastPara="0" vertOverflow="ellipsis" vert="horz" wrap="square" anchor="ctr" anchorCtr="1"/>
        <a:lstStyle/>
        <a:p>
          <a:pPr>
            <a:defRPr lang="zh-CN" sz="675" b="0" i="0" u="none" strike="noStrike" kern="1200" baseline="0">
              <a:solidFill>
                <a:srgbClr val="000000"/>
              </a:solidFill>
              <a:latin typeface="Arial" panose="020B0604020202020204" pitchFamily="2"/>
              <a:ea typeface="Arial" panose="020B0604020202020204" pitchFamily="2"/>
              <a:cs typeface="Arial" panose="020B0604020202020204" pitchFamily="2"/>
            </a:defRPr>
          </a:pPr>
        </a:p>
      </c:txPr>
    </c:legend>
    <c:plotVisOnly val="1"/>
    <c:dispBlanksAs val="gap"/>
    <c:showDLblsOverMax val="0"/>
  </c:chart>
  <c:spPr>
    <a:solidFill>
      <a:srgbClr val="FFFFFF">
        <a:alpha val="100000"/>
      </a:srgbClr>
    </a:solidFill>
    <a:ln w="3175" cap="flat" cmpd="sng" algn="ctr">
      <a:solidFill>
        <a:srgbClr val="000000">
          <a:alpha val="100000"/>
        </a:srgbClr>
      </a:solidFill>
      <a:prstDash val="solid"/>
      <a:round/>
    </a:ln>
  </c:spPr>
  <c:txPr>
    <a:bodyPr rot="0" wrap="square" anchor="ctr" anchorCtr="1"/>
    <a:lstStyle/>
    <a:p>
      <a:pPr>
        <a:defRPr lang="zh-CN" sz="800" b="0" i="0" u="none" strike="noStrike" baseline="0">
          <a:solidFill>
            <a:srgbClr val="000000">
              <a:alpha val="100000"/>
            </a:srgbClr>
          </a:solidFill>
          <a:latin typeface="Arial" panose="020B0604020202020204" pitchFamily="2" charset="0"/>
          <a:ea typeface="Arial" panose="020B0604020202020204" pitchFamily="2" charset="0"/>
          <a:cs typeface="Arial" panose="020B0604020202020204" pitchFamily="2"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B23B98-198E-41FC-9BC8-69507E76BDA3}">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208</Pages>
  <Words>4432</Words>
  <Characters>4763</Characters>
  <Lines>867</Lines>
  <Paragraphs>244</Paragraphs>
  <TotalTime>1</TotalTime>
  <ScaleCrop>false</ScaleCrop>
  <LinksUpToDate>false</LinksUpToDate>
  <CharactersWithSpaces>4930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2019-10-14T08:21:00Z</dcterms:created>
  <dc:creator>lenovo</dc:creator>
  <cp:lastModifiedBy>唐少帅</cp:lastModifiedBy>
  <cp:lastPrinted>2021-09-26T14:07:00Z</cp:lastPrinted>
  <dcterms:modified xsi:type="dcterms:W3CDTF">2024-11-11T03:25:46Z</dcterms:modified>
  <cp:revision>954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2699ACB22D654FAD9E192185B11F7DE2</vt:lpwstr>
  </property>
</Properties>
</file>