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NEW_STAND_NAME" w:displacedByCustomXml="next"/>
    <w:sdt>
      <w:sdtPr>
        <w:tag w:val="NEW_STAND_NAME"/>
        <w:id w:val="595910757"/>
        <w:placeholder>
          <w:docPart w:val="9DD3906F16154C7EB2D83094D424EABE"/>
        </w:placeholder>
      </w:sdtPr>
      <w:sdtContent>
        <w:p w14:paraId="3B719B3D" w14:textId="77777777" w:rsidR="00F617D6" w:rsidRDefault="00F617D6" w:rsidP="00F617D6">
          <w:pPr>
            <w:pStyle w:val="afb"/>
            <w:spacing w:beforeLines="100" w:before="312" w:afterLines="1" w:after="3"/>
            <w:rPr>
              <w:rFonts w:hint="eastAsia"/>
            </w:rPr>
          </w:pPr>
          <w:r>
            <w:rPr>
              <w:rFonts w:hint="eastAsia"/>
            </w:rPr>
            <w:t>种公羊采精技术规程</w:t>
          </w:r>
        </w:p>
      </w:sdtContent>
    </w:sdt>
    <w:p w14:paraId="105D528C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bookmarkStart w:id="1" w:name="_Toc17233333"/>
      <w:bookmarkStart w:id="2" w:name="_Toc24884211"/>
      <w:bookmarkStart w:id="3" w:name="_Toc185068579"/>
      <w:bookmarkStart w:id="4" w:name="_Toc26986771"/>
      <w:bookmarkStart w:id="5" w:name="_Toc97191423"/>
      <w:bookmarkStart w:id="6" w:name="_Toc26718930"/>
      <w:bookmarkStart w:id="7" w:name="_Toc26648465"/>
      <w:bookmarkStart w:id="8" w:name="_Toc24884218"/>
      <w:bookmarkStart w:id="9" w:name="_Toc186215053"/>
      <w:bookmarkStart w:id="10" w:name="_Toc185334115"/>
      <w:bookmarkStart w:id="11" w:name="_Toc26986530"/>
      <w:bookmarkStart w:id="12" w:name="_Toc17233325"/>
      <w:bookmarkStart w:id="13" w:name="_Toc185605966"/>
      <w:bookmarkEnd w:id="0"/>
      <w:r>
        <w:rPr>
          <w:rFonts w:ascii="Times New Roman"/>
        </w:rPr>
        <w:t>范围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734811A" w14:textId="77777777" w:rsidR="00F617D6" w:rsidRPr="00C2648B" w:rsidRDefault="00F617D6" w:rsidP="00F617D6">
      <w:pPr>
        <w:pStyle w:val="af9"/>
        <w:ind w:firstLine="420"/>
        <w:rPr>
          <w:rFonts w:ascii="Times New Roman"/>
        </w:rPr>
      </w:pPr>
      <w:bookmarkStart w:id="14" w:name="_Toc24884219"/>
      <w:bookmarkStart w:id="15" w:name="_Toc24884212"/>
      <w:bookmarkStart w:id="16" w:name="_Toc26648466"/>
      <w:bookmarkStart w:id="17" w:name="_Toc17233334"/>
      <w:bookmarkStart w:id="18" w:name="_Toc17233326"/>
      <w:r w:rsidRPr="00C2648B">
        <w:rPr>
          <w:rFonts w:ascii="Times New Roman" w:hint="eastAsia"/>
        </w:rPr>
        <w:t>本文件规定了种公羊采精的技术要求，包括术语和定义、采精前检查、假阴道法采精、采精后精液检查的方法。</w:t>
      </w:r>
    </w:p>
    <w:p w14:paraId="64499DC8" w14:textId="77777777" w:rsidR="00F617D6" w:rsidRDefault="00F617D6" w:rsidP="00F617D6">
      <w:pPr>
        <w:pStyle w:val="af9"/>
        <w:ind w:firstLine="420"/>
        <w:rPr>
          <w:rFonts w:ascii="Times New Roman"/>
        </w:rPr>
      </w:pPr>
      <w:r w:rsidRPr="00C2648B">
        <w:rPr>
          <w:rFonts w:ascii="Times New Roman" w:hint="eastAsia"/>
        </w:rPr>
        <w:t>本文件适用于种公羊采精。</w:t>
      </w:r>
    </w:p>
    <w:p w14:paraId="7736EB9A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bookmarkStart w:id="19" w:name="_Toc186215054"/>
      <w:bookmarkStart w:id="20" w:name="_Toc185334116"/>
      <w:bookmarkStart w:id="21" w:name="_Toc26718931"/>
      <w:bookmarkStart w:id="22" w:name="_Toc97191424"/>
      <w:bookmarkStart w:id="23" w:name="_Toc26986772"/>
      <w:bookmarkStart w:id="24" w:name="_Toc185605967"/>
      <w:bookmarkStart w:id="25" w:name="_Toc26986531"/>
      <w:bookmarkStart w:id="26" w:name="_Toc185068580"/>
      <w:r>
        <w:rPr>
          <w:rFonts w:ascii="Times New Roman"/>
        </w:rPr>
        <w:t>规范性引用文件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10F96D02" w14:textId="77777777" w:rsidR="00F617D6" w:rsidRPr="00F617D6" w:rsidRDefault="00F617D6" w:rsidP="00F617D6">
      <w:pPr>
        <w:pStyle w:val="af0"/>
        <w:spacing w:line="240" w:lineRule="auto"/>
        <w:ind w:left="0" w:firstLineChars="200" w:firstLine="420"/>
        <w:contextualSpacing w:val="0"/>
        <w:rPr>
          <w:rFonts w:ascii="宋体" w:hAnsi="宋体" w:cs="宋体"/>
        </w:rPr>
      </w:pPr>
      <w:bookmarkStart w:id="27" w:name="_Hlk187003752"/>
      <w:r w:rsidRPr="00F617D6">
        <w:rPr>
          <w:rFonts w:ascii="宋体" w:hAnsi="宋体" w:cs="宋体"/>
        </w:rPr>
        <w:t>下列文件中的内容通过</w:t>
      </w:r>
      <w:r w:rsidRPr="00F617D6">
        <w:rPr>
          <w:rFonts w:ascii="宋体" w:hAnsi="宋体" w:cs="宋体" w:hint="eastAsia"/>
        </w:rPr>
        <w:t>文中</w:t>
      </w:r>
      <w:r w:rsidRPr="00F617D6">
        <w:rPr>
          <w:rFonts w:ascii="宋体" w:hAnsi="宋体" w:cs="宋体"/>
        </w:rPr>
        <w:t>的</w:t>
      </w:r>
      <w:r w:rsidRPr="00F617D6">
        <w:rPr>
          <w:rFonts w:ascii="宋体" w:hAnsi="宋体" w:cs="宋体" w:hint="eastAsia"/>
        </w:rPr>
        <w:t>规范性引用</w:t>
      </w:r>
      <w:r w:rsidRPr="00F617D6">
        <w:rPr>
          <w:rFonts w:ascii="宋体" w:hAnsi="宋体" w:cs="宋体"/>
        </w:rPr>
        <w:t>构成</w:t>
      </w:r>
      <w:r w:rsidRPr="00F617D6">
        <w:rPr>
          <w:rFonts w:ascii="宋体" w:hAnsi="宋体" w:cs="宋体" w:hint="eastAsia"/>
        </w:rPr>
        <w:t>本文件必不可少的条款</w:t>
      </w:r>
      <w:bookmarkEnd w:id="27"/>
      <w:r w:rsidRPr="00F617D6">
        <w:rPr>
          <w:rFonts w:ascii="宋体" w:hAnsi="宋体" w:cs="宋体"/>
        </w:rPr>
        <w:t>。凡是注日期的引用文件，仅注日期的版本适用于本文件。凡是不注日期的引用文件，其最新版本（包括所有的修改单）适用于本文件。</w:t>
      </w:r>
    </w:p>
    <w:p w14:paraId="4BD79528" w14:textId="77777777" w:rsidR="00F617D6" w:rsidRPr="00F617D6" w:rsidRDefault="00F617D6" w:rsidP="00F617D6">
      <w:pPr>
        <w:pStyle w:val="af0"/>
        <w:spacing w:line="240" w:lineRule="auto"/>
        <w:ind w:left="0" w:firstLineChars="200" w:firstLine="420"/>
        <w:contextualSpacing w:val="0"/>
        <w:rPr>
          <w:rFonts w:ascii="宋体" w:hAnsi="宋体" w:cs="宋体" w:hint="eastAsia"/>
        </w:rPr>
      </w:pPr>
      <w:r w:rsidRPr="00F617D6">
        <w:rPr>
          <w:rFonts w:ascii="宋体" w:hAnsi="宋体" w:cs="宋体" w:hint="eastAsia"/>
        </w:rPr>
        <w:t>DB15/T 3332.1—2024 奶山羊繁育技术规范 第1部分：体况评分</w:t>
      </w:r>
    </w:p>
    <w:p w14:paraId="2881F88C" w14:textId="77777777" w:rsidR="00F617D6" w:rsidRPr="00F617D6" w:rsidRDefault="00F617D6" w:rsidP="00F617D6">
      <w:pPr>
        <w:pStyle w:val="af0"/>
        <w:spacing w:line="240" w:lineRule="auto"/>
        <w:ind w:left="0" w:firstLineChars="200" w:firstLine="420"/>
        <w:contextualSpacing w:val="0"/>
        <w:rPr>
          <w:rFonts w:ascii="宋体" w:hAnsi="宋体" w:cs="宋体" w:hint="eastAsia"/>
        </w:rPr>
      </w:pPr>
      <w:r w:rsidRPr="00F617D6">
        <w:rPr>
          <w:rFonts w:ascii="宋体" w:hAnsi="宋体" w:cs="宋体" w:hint="eastAsia"/>
        </w:rPr>
        <w:t>DB62/T 4787-2023 羊布鲁氏菌病监测技术规范</w:t>
      </w:r>
    </w:p>
    <w:p w14:paraId="1D28E49C" w14:textId="77777777" w:rsidR="00F617D6" w:rsidRPr="00F617D6" w:rsidRDefault="00F617D6" w:rsidP="00F617D6">
      <w:pPr>
        <w:pStyle w:val="af0"/>
        <w:spacing w:line="240" w:lineRule="auto"/>
        <w:ind w:left="0" w:firstLineChars="200" w:firstLine="420"/>
        <w:contextualSpacing w:val="0"/>
        <w:rPr>
          <w:rFonts w:ascii="宋体" w:hAnsi="宋体" w:cs="宋体"/>
        </w:rPr>
      </w:pPr>
      <w:r w:rsidRPr="00F617D6">
        <w:rPr>
          <w:rFonts w:ascii="宋体" w:hAnsi="宋体" w:cs="宋体" w:hint="eastAsia"/>
        </w:rPr>
        <w:t>DB6103/T 33-2022 奶山羊精液品质鉴定技术规范</w:t>
      </w:r>
    </w:p>
    <w:p w14:paraId="44D6EEAB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bookmarkStart w:id="28" w:name="_Toc185068581"/>
      <w:bookmarkStart w:id="29" w:name="_Toc97191425"/>
      <w:bookmarkStart w:id="30" w:name="_Toc186215055"/>
      <w:bookmarkStart w:id="31" w:name="_Toc185334117"/>
      <w:bookmarkStart w:id="32" w:name="_Toc185605968"/>
      <w:r>
        <w:rPr>
          <w:rFonts w:ascii="Times New Roman"/>
        </w:rPr>
        <w:t>术语和定义</w:t>
      </w:r>
      <w:bookmarkEnd w:id="28"/>
      <w:bookmarkEnd w:id="29"/>
      <w:bookmarkEnd w:id="30"/>
      <w:bookmarkEnd w:id="31"/>
      <w:bookmarkEnd w:id="32"/>
    </w:p>
    <w:p w14:paraId="048EE03B" w14:textId="77777777" w:rsidR="00F617D6" w:rsidRPr="001238AF" w:rsidRDefault="00F617D6" w:rsidP="00F617D6">
      <w:pPr>
        <w:pStyle w:val="afc"/>
        <w:numPr>
          <w:ilvl w:val="2"/>
          <w:numId w:val="0"/>
        </w:numPr>
        <w:ind w:leftChars="-200" w:left="-420" w:firstLineChars="200" w:firstLine="420"/>
        <w:rPr>
          <w:rFonts w:ascii="黑体" w:eastAsia="黑体" w:hAnsi="黑体" w:cs="黑体" w:hint="eastAsia"/>
        </w:rPr>
      </w:pPr>
      <w:r w:rsidRPr="001238AF">
        <w:rPr>
          <w:rFonts w:ascii="黑体" w:eastAsia="黑体" w:hAnsi="黑体" w:cs="黑体" w:hint="eastAsia"/>
        </w:rPr>
        <w:t>3.1</w:t>
      </w:r>
    </w:p>
    <w:p w14:paraId="783CDD32" w14:textId="77777777" w:rsidR="00F617D6" w:rsidRDefault="00F617D6" w:rsidP="00F617D6">
      <w:pPr>
        <w:pStyle w:val="afd"/>
        <w:spacing w:beforeLines="0" w:before="0" w:afterLines="0" w:after="0"/>
        <w:ind w:firstLineChars="200" w:firstLine="420"/>
        <w:rPr>
          <w:szCs w:val="21"/>
        </w:rPr>
      </w:pPr>
      <w:proofErr w:type="gramStart"/>
      <w:r>
        <w:rPr>
          <w:rFonts w:hint="eastAsia"/>
          <w:szCs w:val="21"/>
        </w:rPr>
        <w:t>台畜</w:t>
      </w:r>
      <w:proofErr w:type="gramEnd"/>
      <w:r>
        <w:rPr>
          <w:rFonts w:hint="eastAsia"/>
          <w:szCs w:val="21"/>
        </w:rPr>
        <w:t xml:space="preserve">  phantom</w:t>
      </w:r>
    </w:p>
    <w:p w14:paraId="51FEB5FB" w14:textId="77777777" w:rsidR="00F617D6" w:rsidRDefault="00F617D6" w:rsidP="00F617D6">
      <w:pPr>
        <w:pStyle w:val="aff"/>
        <w:spacing w:beforeLines="0" w:before="0" w:afterLines="0" w:after="0"/>
        <w:ind w:firstLineChars="200" w:firstLine="420"/>
      </w:pPr>
      <w:r>
        <w:rPr>
          <w:rFonts w:ascii="宋体" w:eastAsia="宋体" w:hAnsi="宋体" w:cs="宋体" w:hint="eastAsia"/>
          <w:kern w:val="2"/>
        </w:rPr>
        <w:t>指公畜采精时，用于支撑公畜爬跨的家畜或架子。</w:t>
      </w:r>
    </w:p>
    <w:p w14:paraId="339850E6" w14:textId="77777777" w:rsidR="00F617D6" w:rsidRDefault="00F617D6" w:rsidP="00F617D6">
      <w:pPr>
        <w:pStyle w:val="afc"/>
        <w:numPr>
          <w:ilvl w:val="2"/>
          <w:numId w:val="0"/>
        </w:numPr>
        <w:ind w:left="420" w:hangingChars="200" w:hanging="420"/>
        <w:rPr>
          <w:rFonts w:ascii="Times New Roman" w:eastAsia="黑体"/>
        </w:rPr>
      </w:pPr>
      <w:r w:rsidRPr="001238AF">
        <w:rPr>
          <w:rFonts w:ascii="黑体" w:eastAsia="黑体" w:hAnsi="黑体" w:cs="黑体" w:hint="eastAsia"/>
        </w:rPr>
        <w:t>3.2</w:t>
      </w:r>
      <w:r>
        <w:rPr>
          <w:rFonts w:ascii="Times New Roman" w:eastAsia="黑体"/>
        </w:rPr>
        <w:br/>
      </w:r>
      <w:r>
        <w:rPr>
          <w:rFonts w:ascii="Times New Roman" w:eastAsia="黑体" w:hint="eastAsia"/>
        </w:rPr>
        <w:t>种公羊繁殖性能检查</w:t>
      </w:r>
      <w:r>
        <w:rPr>
          <w:rFonts w:ascii="Times New Roman" w:eastAsia="黑体" w:hint="eastAsia"/>
        </w:rPr>
        <w:t xml:space="preserve">  breeding soundness exam for breeding ram</w:t>
      </w:r>
    </w:p>
    <w:p w14:paraId="756464EA" w14:textId="77777777" w:rsidR="00F617D6" w:rsidRDefault="00F617D6" w:rsidP="00F617D6">
      <w:pPr>
        <w:pStyle w:val="afd"/>
        <w:numPr>
          <w:ilvl w:val="1"/>
          <w:numId w:val="0"/>
        </w:numPr>
        <w:spacing w:beforeLines="0" w:before="0" w:afterLines="0" w:after="0"/>
        <w:ind w:firstLineChars="200" w:firstLine="420"/>
        <w:rPr>
          <w:rFonts w:ascii="Times New Roman"/>
        </w:rPr>
      </w:pPr>
      <w:r>
        <w:rPr>
          <w:rFonts w:ascii="宋体" w:eastAsia="宋体" w:hAnsi="宋体" w:cs="宋体" w:hint="eastAsia"/>
          <w:kern w:val="2"/>
          <w:szCs w:val="21"/>
        </w:rPr>
        <w:t>指配种前对种公羊进行体检、布鲁氏菌筛查、生殖器检查和精液检查以判断种公羊繁殖力的方法。</w:t>
      </w:r>
    </w:p>
    <w:p w14:paraId="27804B49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r>
        <w:rPr>
          <w:rFonts w:ascii="Times New Roman" w:hint="eastAsia"/>
        </w:rPr>
        <w:t>配种前种公羊繁殖性能检查</w:t>
      </w:r>
    </w:p>
    <w:p w14:paraId="7FD5071B" w14:textId="77777777" w:rsidR="00F617D6" w:rsidRDefault="00F617D6" w:rsidP="00F617D6">
      <w:pPr>
        <w:pStyle w:val="afa"/>
        <w:numPr>
          <w:ilvl w:val="2"/>
          <w:numId w:val="0"/>
        </w:numPr>
      </w:pPr>
      <w:r w:rsidRPr="001238AF">
        <w:rPr>
          <w:rFonts w:ascii="黑体" w:eastAsia="黑体" w:hint="eastAsia"/>
          <w:szCs w:val="21"/>
        </w:rPr>
        <w:t>4.1</w:t>
      </w:r>
      <w:r>
        <w:rPr>
          <w:rFonts w:ascii="黑体" w:eastAsia="黑体" w:hint="eastAsia"/>
          <w:szCs w:val="21"/>
        </w:rPr>
        <w:t xml:space="preserve">  基础体格检查标准</w:t>
      </w:r>
    </w:p>
    <w:p w14:paraId="2A7EA3FA" w14:textId="77777777" w:rsidR="00F617D6" w:rsidRDefault="00F617D6" w:rsidP="00F617D6">
      <w:pPr>
        <w:pStyle w:val="afe"/>
      </w:pPr>
      <w:r>
        <w:rPr>
          <w:rFonts w:hint="eastAsia"/>
        </w:rPr>
        <w:t>体检前从远处观察种公羊的体型和步态，排查跛行和其他先天性异常。将种公羊适当保定并进行全面体检，通过触</w:t>
      </w:r>
      <w:proofErr w:type="gramStart"/>
      <w:r>
        <w:rPr>
          <w:rFonts w:hint="eastAsia"/>
        </w:rPr>
        <w:t>诊确定</w:t>
      </w:r>
      <w:proofErr w:type="gramEnd"/>
      <w:r>
        <w:rPr>
          <w:rFonts w:hint="eastAsia"/>
        </w:rPr>
        <w:t>公羊体况评分。繁殖季节前种公羊的5分制体况评分应介于2.5～3.5分之间，评分标准参考 DB15/T 3332.1—2024。应注意排查皮肤病、眼病、脓肿、</w:t>
      </w:r>
      <w:proofErr w:type="gramStart"/>
      <w:r>
        <w:rPr>
          <w:rFonts w:hint="eastAsia"/>
        </w:rPr>
        <w:t>腐蹄病</w:t>
      </w:r>
      <w:proofErr w:type="gramEnd"/>
      <w:r>
        <w:rPr>
          <w:rFonts w:hint="eastAsia"/>
        </w:rPr>
        <w:t>等影响种公羊运动能力或具有传染性的疾病。</w:t>
      </w:r>
    </w:p>
    <w:p w14:paraId="57656963" w14:textId="77777777" w:rsidR="00F617D6" w:rsidRDefault="00F617D6" w:rsidP="00F617D6">
      <w:pPr>
        <w:pStyle w:val="afa"/>
        <w:numPr>
          <w:ilvl w:val="2"/>
          <w:numId w:val="0"/>
        </w:numPr>
        <w:rPr>
          <w:rFonts w:ascii="黑体" w:eastAsia="黑体"/>
          <w:szCs w:val="21"/>
        </w:rPr>
      </w:pPr>
      <w:r w:rsidRPr="001238AF">
        <w:rPr>
          <w:rFonts w:ascii="黑体" w:eastAsia="黑体" w:hint="eastAsia"/>
          <w:szCs w:val="21"/>
        </w:rPr>
        <w:t>4.2</w:t>
      </w:r>
      <w:r>
        <w:rPr>
          <w:rFonts w:ascii="黑体" w:eastAsia="黑体" w:hint="eastAsia"/>
          <w:b/>
          <w:bCs/>
          <w:szCs w:val="21"/>
        </w:rPr>
        <w:t xml:space="preserve"> </w:t>
      </w:r>
      <w:r>
        <w:rPr>
          <w:rFonts w:ascii="黑体" w:eastAsia="黑体" w:hint="eastAsia"/>
          <w:szCs w:val="21"/>
        </w:rPr>
        <w:t xml:space="preserve"> 布鲁氏菌筛查</w:t>
      </w:r>
    </w:p>
    <w:p w14:paraId="6888E450" w14:textId="77777777" w:rsidR="00F617D6" w:rsidRDefault="00F617D6" w:rsidP="00F617D6">
      <w:pPr>
        <w:pStyle w:val="afa"/>
        <w:numPr>
          <w:ilvl w:val="2"/>
          <w:numId w:val="0"/>
        </w:numPr>
        <w:ind w:firstLineChars="200" w:firstLine="420"/>
      </w:pPr>
      <w:r>
        <w:rPr>
          <w:rFonts w:hint="eastAsia"/>
        </w:rPr>
        <w:t>采集种公羊血液并按照 DB62/T 4787-2023进行羊布鲁氏菌病监测，所有阳性动物均应被淘汰。</w:t>
      </w:r>
    </w:p>
    <w:p w14:paraId="66ABB9BC" w14:textId="77777777" w:rsidR="00F617D6" w:rsidRDefault="00F617D6" w:rsidP="00F617D6">
      <w:pPr>
        <w:pStyle w:val="afa"/>
        <w:numPr>
          <w:ilvl w:val="2"/>
          <w:numId w:val="0"/>
        </w:numPr>
      </w:pPr>
      <w:r w:rsidRPr="001238AF">
        <w:rPr>
          <w:rFonts w:ascii="黑体" w:eastAsia="黑体" w:hint="eastAsia"/>
          <w:szCs w:val="21"/>
        </w:rPr>
        <w:t>4.3</w:t>
      </w:r>
      <w:r>
        <w:rPr>
          <w:rFonts w:ascii="黑体" w:eastAsia="黑体" w:hint="eastAsia"/>
          <w:b/>
          <w:bCs/>
          <w:szCs w:val="21"/>
        </w:rPr>
        <w:t xml:space="preserve"> </w:t>
      </w:r>
      <w:r>
        <w:rPr>
          <w:rFonts w:ascii="黑体" w:eastAsia="黑体" w:hint="eastAsia"/>
          <w:szCs w:val="21"/>
        </w:rPr>
        <w:t xml:space="preserve"> 生殖器检查</w:t>
      </w:r>
    </w:p>
    <w:p w14:paraId="650157FB" w14:textId="77777777" w:rsidR="00F617D6" w:rsidRDefault="00F617D6" w:rsidP="00F617D6">
      <w:pPr>
        <w:pStyle w:val="aff"/>
        <w:spacing w:beforeLines="0" w:before="0" w:afterLines="0" w:after="0"/>
        <w:outlineLvl w:val="3"/>
        <w:rPr>
          <w:rFonts w:hAnsi="黑体" w:cs="黑体" w:hint="eastAsia"/>
        </w:rPr>
      </w:pPr>
      <w:r>
        <w:rPr>
          <w:rFonts w:hAnsi="黑体" w:cs="黑体" w:hint="eastAsia"/>
        </w:rPr>
        <w:t xml:space="preserve">4.3.1 </w:t>
      </w:r>
      <w:r>
        <w:rPr>
          <w:rFonts w:hAnsi="黑体" w:cs="黑体"/>
        </w:rPr>
        <w:t xml:space="preserve"> </w:t>
      </w:r>
      <w:r>
        <w:rPr>
          <w:rFonts w:hAnsi="黑体" w:cs="黑体" w:hint="eastAsia"/>
        </w:rPr>
        <w:t>阴囊</w:t>
      </w:r>
    </w:p>
    <w:p w14:paraId="7F992D98" w14:textId="77777777" w:rsidR="00F617D6" w:rsidRDefault="00F617D6" w:rsidP="00F617D6">
      <w:pPr>
        <w:pStyle w:val="afe"/>
      </w:pPr>
      <w:r>
        <w:rPr>
          <w:rFonts w:hint="eastAsia"/>
        </w:rPr>
        <w:t>对阴囊进行触诊，排查外伤、炎症和冻疮。将阴囊</w:t>
      </w:r>
      <w:proofErr w:type="gramStart"/>
      <w:r>
        <w:rPr>
          <w:rFonts w:hint="eastAsia"/>
        </w:rPr>
        <w:t>尺</w:t>
      </w:r>
      <w:proofErr w:type="gramEnd"/>
      <w:r>
        <w:rPr>
          <w:rFonts w:hint="eastAsia"/>
        </w:rPr>
        <w:t>套在阴囊最宽的部位并拉紧直至尺缘的阴囊组织稍微凹陷，记录</w:t>
      </w:r>
      <w:proofErr w:type="gramStart"/>
      <w:r>
        <w:rPr>
          <w:rFonts w:hint="eastAsia"/>
        </w:rPr>
        <w:t>阴囊周</w:t>
      </w:r>
      <w:proofErr w:type="gramEnd"/>
      <w:r>
        <w:rPr>
          <w:rFonts w:hint="eastAsia"/>
        </w:rPr>
        <w:t>径。</w:t>
      </w:r>
      <w:proofErr w:type="gramStart"/>
      <w:r>
        <w:rPr>
          <w:rFonts w:hint="eastAsia"/>
        </w:rPr>
        <w:t>阴囊周</w:t>
      </w:r>
      <w:proofErr w:type="gramEnd"/>
      <w:r>
        <w:rPr>
          <w:rFonts w:hint="eastAsia"/>
        </w:rPr>
        <w:t>径与种公羊品种和年龄相关，成年公山羊的</w:t>
      </w:r>
      <w:proofErr w:type="gramStart"/>
      <w:r>
        <w:rPr>
          <w:rFonts w:hint="eastAsia"/>
        </w:rPr>
        <w:t>阴囊周径应</w:t>
      </w:r>
      <w:proofErr w:type="gramEnd"/>
      <w:r>
        <w:rPr>
          <w:rFonts w:hint="eastAsia"/>
        </w:rPr>
        <w:t>大于25 cm，成年公绵羊的</w:t>
      </w:r>
      <w:proofErr w:type="gramStart"/>
      <w:r>
        <w:rPr>
          <w:rFonts w:hint="eastAsia"/>
        </w:rPr>
        <w:t>阴囊周径应</w:t>
      </w:r>
      <w:proofErr w:type="gramEnd"/>
      <w:r>
        <w:rPr>
          <w:rFonts w:hint="eastAsia"/>
        </w:rPr>
        <w:t>大于30 cm。</w:t>
      </w:r>
    </w:p>
    <w:p w14:paraId="32771243" w14:textId="77777777" w:rsidR="00F617D6" w:rsidRDefault="00F617D6" w:rsidP="00F617D6">
      <w:pPr>
        <w:pStyle w:val="aff"/>
        <w:spacing w:beforeLines="0" w:before="0" w:afterLines="0" w:after="0"/>
        <w:outlineLvl w:val="3"/>
        <w:rPr>
          <w:rFonts w:hAnsi="黑体" w:cs="黑体" w:hint="eastAsia"/>
        </w:rPr>
      </w:pPr>
      <w:r>
        <w:rPr>
          <w:rFonts w:hAnsi="黑体" w:cs="黑体" w:hint="eastAsia"/>
        </w:rPr>
        <w:t>4.3.</w:t>
      </w:r>
      <w:r>
        <w:rPr>
          <w:rFonts w:hAnsi="黑体" w:cs="黑体"/>
        </w:rPr>
        <w:t xml:space="preserve">2  </w:t>
      </w:r>
      <w:r>
        <w:rPr>
          <w:rFonts w:hAnsi="黑体" w:cs="黑体" w:hint="eastAsia"/>
        </w:rPr>
        <w:t>睾丸</w:t>
      </w:r>
    </w:p>
    <w:p w14:paraId="1D045980" w14:textId="77777777" w:rsidR="00F617D6" w:rsidRDefault="00F617D6" w:rsidP="00F617D6">
      <w:pPr>
        <w:pStyle w:val="afe"/>
      </w:pPr>
      <w:r>
        <w:rPr>
          <w:rFonts w:hint="eastAsia"/>
        </w:rPr>
        <w:lastRenderedPageBreak/>
        <w:t>正常睾丸应质地坚实、双侧对称并可在阴囊中自由移动。对睾丸进行触诊，排查睾丸退化、发育不良、隐睾、睾丸炎和阴囊</w:t>
      </w:r>
      <w:proofErr w:type="gramStart"/>
      <w:r>
        <w:rPr>
          <w:rFonts w:hint="eastAsia"/>
        </w:rPr>
        <w:t>疝</w:t>
      </w:r>
      <w:proofErr w:type="gramEnd"/>
      <w:r>
        <w:rPr>
          <w:rFonts w:hint="eastAsia"/>
        </w:rPr>
        <w:t>。</w:t>
      </w:r>
    </w:p>
    <w:p w14:paraId="4AEA5014" w14:textId="77777777" w:rsidR="00F617D6" w:rsidRDefault="00F617D6" w:rsidP="00F617D6">
      <w:pPr>
        <w:pStyle w:val="aff"/>
        <w:spacing w:beforeLines="0" w:before="0" w:afterLines="0" w:after="0"/>
        <w:outlineLvl w:val="3"/>
        <w:rPr>
          <w:rFonts w:hAnsi="黑体" w:cs="黑体" w:hint="eastAsia"/>
        </w:rPr>
      </w:pPr>
      <w:r>
        <w:rPr>
          <w:rFonts w:hAnsi="黑体" w:cs="黑体" w:hint="eastAsia"/>
        </w:rPr>
        <w:t>4.3.</w:t>
      </w:r>
      <w:r>
        <w:rPr>
          <w:rFonts w:hAnsi="黑体" w:cs="黑体"/>
        </w:rPr>
        <w:t xml:space="preserve">3  </w:t>
      </w:r>
      <w:r>
        <w:rPr>
          <w:rFonts w:hAnsi="黑体" w:cs="黑体" w:hint="eastAsia"/>
        </w:rPr>
        <w:t>附睾</w:t>
      </w:r>
    </w:p>
    <w:p w14:paraId="1A0EDB2C" w14:textId="77777777" w:rsidR="00F617D6" w:rsidRDefault="00F617D6" w:rsidP="00F617D6">
      <w:pPr>
        <w:pStyle w:val="afe"/>
      </w:pPr>
      <w:r>
        <w:rPr>
          <w:rFonts w:hint="eastAsia"/>
        </w:rPr>
        <w:t>触</w:t>
      </w:r>
      <w:proofErr w:type="gramStart"/>
      <w:r>
        <w:rPr>
          <w:rFonts w:hint="eastAsia"/>
        </w:rPr>
        <w:t>诊位于</w:t>
      </w:r>
      <w:proofErr w:type="gramEnd"/>
      <w:r>
        <w:rPr>
          <w:rFonts w:hint="eastAsia"/>
        </w:rPr>
        <w:t>阴囊腹侧的附睾尾，排查不对称性、疼痛和附睾炎。</w:t>
      </w:r>
    </w:p>
    <w:p w14:paraId="46FADA89" w14:textId="77777777" w:rsidR="00F617D6" w:rsidRDefault="00F617D6" w:rsidP="00F617D6">
      <w:pPr>
        <w:pStyle w:val="aff"/>
        <w:spacing w:beforeLines="0" w:before="0" w:afterLines="0" w:after="0"/>
        <w:outlineLvl w:val="3"/>
        <w:rPr>
          <w:rFonts w:hAnsi="黑体" w:cs="黑体" w:hint="eastAsia"/>
        </w:rPr>
      </w:pPr>
      <w:r>
        <w:rPr>
          <w:rFonts w:hAnsi="黑体" w:cs="黑体" w:hint="eastAsia"/>
        </w:rPr>
        <w:t>4.3.</w:t>
      </w:r>
      <w:r>
        <w:rPr>
          <w:rFonts w:hAnsi="黑体" w:cs="黑体"/>
        </w:rPr>
        <w:t xml:space="preserve">4  </w:t>
      </w:r>
      <w:r>
        <w:rPr>
          <w:rFonts w:hAnsi="黑体" w:cs="黑体" w:hint="eastAsia"/>
        </w:rPr>
        <w:t>精索</w:t>
      </w:r>
    </w:p>
    <w:p w14:paraId="209E9269" w14:textId="77777777" w:rsidR="00F617D6" w:rsidRDefault="00F617D6" w:rsidP="00F617D6">
      <w:pPr>
        <w:pStyle w:val="afe"/>
      </w:pPr>
      <w:r>
        <w:rPr>
          <w:rFonts w:hint="eastAsia"/>
        </w:rPr>
        <w:t>触诊精索以排查肿胀和精索静脉曲张。</w:t>
      </w:r>
    </w:p>
    <w:p w14:paraId="7E639B69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r>
        <w:rPr>
          <w:rFonts w:ascii="Times New Roman" w:hint="eastAsia"/>
        </w:rPr>
        <w:t>假阴道采精</w:t>
      </w:r>
    </w:p>
    <w:p w14:paraId="4E4E001B" w14:textId="77777777" w:rsidR="00F617D6" w:rsidRDefault="00F617D6" w:rsidP="00F617D6">
      <w:pPr>
        <w:pStyle w:val="aff"/>
        <w:numPr>
          <w:ilvl w:val="1"/>
          <w:numId w:val="0"/>
        </w:numPr>
        <w:snapToGrid w:val="0"/>
        <w:spacing w:beforeLines="0" w:before="0" w:afterLines="0" w:after="0"/>
        <w:rPr>
          <w:rFonts w:hAnsi="黑体" w:cs="黑体" w:hint="eastAsia"/>
        </w:rPr>
      </w:pPr>
      <w:r w:rsidRPr="001238AF">
        <w:rPr>
          <w:rFonts w:hAnsi="黑体" w:cs="黑体" w:hint="eastAsia"/>
        </w:rPr>
        <w:t>5.</w:t>
      </w:r>
      <w:r w:rsidRPr="001238AF">
        <w:rPr>
          <w:rFonts w:hAnsi="黑体" w:cs="黑体"/>
        </w:rPr>
        <w:t>1</w:t>
      </w:r>
      <w:r>
        <w:rPr>
          <w:rFonts w:hAnsi="黑体" w:cs="黑体"/>
        </w:rPr>
        <w:t xml:space="preserve">  </w:t>
      </w:r>
      <w:r>
        <w:rPr>
          <w:rFonts w:hAnsi="黑体" w:cs="黑体" w:hint="eastAsia"/>
        </w:rPr>
        <w:t>材料、器械</w:t>
      </w:r>
    </w:p>
    <w:p w14:paraId="2166FA7B" w14:textId="77777777" w:rsidR="00F617D6" w:rsidRDefault="00F617D6" w:rsidP="00F617D6">
      <w:pPr>
        <w:widowControl/>
        <w:snapToGrid w:val="0"/>
        <w:spacing w:line="240" w:lineRule="auto"/>
        <w:ind w:firstLineChars="200" w:firstLine="420"/>
        <w:jc w:val="left"/>
        <w:rPr>
          <w:rFonts w:ascii="宋体" w:hAnsi="宋体" w:cs="宋体" w:hint="eastAsia"/>
          <w:kern w:val="0"/>
        </w:rPr>
      </w:pPr>
      <w:r>
        <w:rPr>
          <w:rFonts w:ascii="宋体" w:hAnsi="宋体" w:cs="宋体" w:hint="eastAsia"/>
          <w:kern w:val="0"/>
        </w:rPr>
        <w:t>假阴道、精液收集管、润滑剂、温水、体温计、套索、乳胶手套、防护服、标记标签</w:t>
      </w:r>
    </w:p>
    <w:p w14:paraId="06A3FF07" w14:textId="77777777" w:rsidR="00F617D6" w:rsidRDefault="00F617D6" w:rsidP="00F617D6">
      <w:pPr>
        <w:pStyle w:val="aff"/>
        <w:numPr>
          <w:ilvl w:val="1"/>
          <w:numId w:val="0"/>
        </w:numPr>
        <w:snapToGrid w:val="0"/>
        <w:spacing w:beforeLines="0" w:before="0" w:afterLines="0" w:after="0"/>
        <w:rPr>
          <w:rFonts w:hAnsi="黑体" w:cs="黑体" w:hint="eastAsia"/>
        </w:rPr>
      </w:pPr>
      <w:r w:rsidRPr="001238AF">
        <w:rPr>
          <w:rFonts w:hAnsi="黑体" w:cs="黑体" w:hint="eastAsia"/>
        </w:rPr>
        <w:t>5.2</w:t>
      </w:r>
      <w:r>
        <w:rPr>
          <w:rFonts w:hAnsi="黑体" w:cs="黑体"/>
        </w:rPr>
        <w:t xml:space="preserve">  </w:t>
      </w:r>
      <w:proofErr w:type="gramStart"/>
      <w:r>
        <w:rPr>
          <w:rFonts w:hAnsi="黑体" w:cs="黑体" w:hint="eastAsia"/>
        </w:rPr>
        <w:t>台畜的</w:t>
      </w:r>
      <w:proofErr w:type="gramEnd"/>
      <w:r>
        <w:rPr>
          <w:rFonts w:hAnsi="黑体" w:cs="黑体" w:hint="eastAsia"/>
        </w:rPr>
        <w:t>准备</w:t>
      </w:r>
    </w:p>
    <w:p w14:paraId="5C7B67D0" w14:textId="77777777" w:rsidR="00F617D6" w:rsidRDefault="00F617D6" w:rsidP="00F617D6">
      <w:pPr>
        <w:pStyle w:val="afe"/>
        <w:snapToGrid w:val="0"/>
      </w:pPr>
      <w:r>
        <w:rPr>
          <w:rFonts w:hint="eastAsia"/>
        </w:rPr>
        <w:t>发情母羊或</w:t>
      </w:r>
      <w:proofErr w:type="gramStart"/>
      <w:r>
        <w:rPr>
          <w:rFonts w:hint="eastAsia"/>
        </w:rPr>
        <w:t>假台畜</w:t>
      </w:r>
      <w:proofErr w:type="gramEnd"/>
      <w:r>
        <w:rPr>
          <w:rFonts w:hint="eastAsia"/>
        </w:rPr>
        <w:t>皆可作为</w:t>
      </w:r>
      <w:proofErr w:type="gramStart"/>
      <w:r>
        <w:rPr>
          <w:rFonts w:hint="eastAsia"/>
        </w:rPr>
        <w:t>台畜以</w:t>
      </w:r>
      <w:proofErr w:type="gramEnd"/>
      <w:r>
        <w:rPr>
          <w:rFonts w:hint="eastAsia"/>
        </w:rPr>
        <w:t>刺激公羊射精。若使用发情母羊，采精前需对母羊臀部与外阴部进行清洗和消毒，并对母羊进行恰当保定；若使用假畜，应提前训练公羊。</w:t>
      </w:r>
    </w:p>
    <w:p w14:paraId="054A8037" w14:textId="77777777" w:rsidR="00F617D6" w:rsidRDefault="00F617D6" w:rsidP="00F617D6">
      <w:pPr>
        <w:pStyle w:val="aff"/>
        <w:numPr>
          <w:ilvl w:val="1"/>
          <w:numId w:val="0"/>
        </w:numPr>
        <w:snapToGrid w:val="0"/>
        <w:spacing w:beforeLines="0" w:before="0" w:afterLines="0" w:after="0"/>
        <w:rPr>
          <w:rFonts w:hAnsi="黑体" w:cs="黑体" w:hint="eastAsia"/>
        </w:rPr>
      </w:pPr>
      <w:r w:rsidRPr="00C57AC8">
        <w:rPr>
          <w:rFonts w:hAnsi="黑体" w:cs="黑体" w:hint="eastAsia"/>
        </w:rPr>
        <w:t>5.3</w:t>
      </w:r>
      <w:r>
        <w:rPr>
          <w:rFonts w:hAnsi="黑体" w:cs="黑体"/>
        </w:rPr>
        <w:t xml:space="preserve">  </w:t>
      </w:r>
      <w:r>
        <w:rPr>
          <w:rFonts w:hAnsi="黑体" w:cs="黑体" w:hint="eastAsia"/>
        </w:rPr>
        <w:t>种公羊的准备</w:t>
      </w:r>
    </w:p>
    <w:p w14:paraId="162575CE" w14:textId="77777777" w:rsidR="00F617D6" w:rsidRDefault="00F617D6" w:rsidP="00F617D6">
      <w:pPr>
        <w:pStyle w:val="afe"/>
        <w:snapToGrid w:val="0"/>
      </w:pPr>
      <w:r>
        <w:rPr>
          <w:rFonts w:hint="eastAsia"/>
        </w:rPr>
        <w:t>采精前首先应对公羊的阴茎包皮和龟头进行清洗和消毒。</w:t>
      </w:r>
    </w:p>
    <w:p w14:paraId="36251FAD" w14:textId="77777777" w:rsidR="00F617D6" w:rsidRDefault="00F617D6" w:rsidP="00F617D6">
      <w:pPr>
        <w:numPr>
          <w:ilvl w:val="1"/>
          <w:numId w:val="0"/>
        </w:numPr>
        <w:snapToGrid w:val="0"/>
        <w:spacing w:line="240" w:lineRule="auto"/>
        <w:rPr>
          <w:rFonts w:ascii="黑体" w:eastAsia="黑体" w:hAnsi="黑体" w:cs="黑体" w:hint="eastAsia"/>
        </w:rPr>
      </w:pPr>
      <w:r w:rsidRPr="00C57AC8">
        <w:rPr>
          <w:rFonts w:ascii="黑体" w:eastAsia="黑体" w:hAnsi="黑体" w:cs="黑体"/>
        </w:rPr>
        <w:t>5.4</w:t>
      </w:r>
      <w:r>
        <w:rPr>
          <w:rFonts w:ascii="黑体" w:eastAsia="黑体" w:hAnsi="黑体" w:cs="黑体"/>
        </w:rPr>
        <w:t xml:space="preserve">  </w:t>
      </w:r>
      <w:r>
        <w:rPr>
          <w:rFonts w:ascii="黑体" w:eastAsia="黑体" w:hAnsi="黑体" w:cs="黑体" w:hint="eastAsia"/>
        </w:rPr>
        <w:t>假阴道的准备</w:t>
      </w:r>
    </w:p>
    <w:p w14:paraId="493D0065" w14:textId="77777777" w:rsidR="00F617D6" w:rsidRDefault="00F617D6" w:rsidP="00F617D6">
      <w:pPr>
        <w:numPr>
          <w:ilvl w:val="1"/>
          <w:numId w:val="0"/>
        </w:numPr>
        <w:snapToGrid w:val="0"/>
        <w:spacing w:line="240" w:lineRule="auto"/>
        <w:ind w:firstLineChars="200" w:firstLine="420"/>
        <w:rPr>
          <w:rFonts w:ascii="黑体" w:eastAsia="黑体" w:hAnsi="黑体" w:cs="黑体" w:hint="eastAsia"/>
        </w:rPr>
      </w:pPr>
      <w:r>
        <w:rPr>
          <w:rFonts w:ascii="宋体" w:hint="eastAsia"/>
          <w:kern w:val="0"/>
          <w:szCs w:val="20"/>
        </w:rPr>
        <w:t>假阴道应提前清洗并消毒。采精前，向假阴道中注入45～50℃</w:t>
      </w:r>
      <w:r>
        <w:rPr>
          <w:rFonts w:ascii="宋体" w:hAnsi="宋体" w:cs="宋体" w:hint="eastAsia"/>
          <w:kern w:val="0"/>
          <w:szCs w:val="20"/>
        </w:rPr>
        <w:t>的温水，在假阴道的阴茎插入侧涂抹润滑剂，并在另一侧安装集精杯。应注意假阴道系统的保温，确保采精温度为</w:t>
      </w:r>
      <w:r>
        <w:rPr>
          <w:rFonts w:ascii="宋体" w:hint="eastAsia"/>
          <w:kern w:val="0"/>
          <w:szCs w:val="20"/>
        </w:rPr>
        <w:t>40～45℃。</w:t>
      </w:r>
    </w:p>
    <w:p w14:paraId="444506A5" w14:textId="77777777" w:rsidR="00F617D6" w:rsidRDefault="00F617D6" w:rsidP="00F617D6">
      <w:pPr>
        <w:pStyle w:val="aff"/>
        <w:snapToGrid w:val="0"/>
        <w:spacing w:beforeLines="0" w:before="0" w:afterLines="0" w:after="0"/>
        <w:rPr>
          <w:rFonts w:hAnsi="黑体" w:cs="黑体" w:hint="eastAsia"/>
        </w:rPr>
      </w:pPr>
      <w:r w:rsidRPr="00C57AC8">
        <w:rPr>
          <w:rFonts w:hAnsi="黑体" w:cs="黑体" w:hint="eastAsia"/>
        </w:rPr>
        <w:t>5.5</w:t>
      </w:r>
      <w:r>
        <w:rPr>
          <w:rFonts w:hAnsi="黑体" w:cs="黑体" w:hint="eastAsia"/>
        </w:rPr>
        <w:t xml:space="preserve">  采精</w:t>
      </w:r>
    </w:p>
    <w:p w14:paraId="271CCD9F" w14:textId="77777777" w:rsidR="00F617D6" w:rsidRDefault="00F617D6" w:rsidP="00F617D6">
      <w:pPr>
        <w:numPr>
          <w:ilvl w:val="1"/>
          <w:numId w:val="0"/>
        </w:numPr>
        <w:snapToGrid w:val="0"/>
        <w:spacing w:line="240" w:lineRule="auto"/>
        <w:ind w:firstLineChars="200" w:firstLine="420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将种公羊</w:t>
      </w:r>
      <w:proofErr w:type="gramStart"/>
      <w:r>
        <w:rPr>
          <w:rFonts w:ascii="宋体" w:hint="eastAsia"/>
          <w:kern w:val="0"/>
          <w:szCs w:val="20"/>
        </w:rPr>
        <w:t>引至台畜附近</w:t>
      </w:r>
      <w:proofErr w:type="gramEnd"/>
      <w:r>
        <w:rPr>
          <w:rFonts w:ascii="宋体" w:hint="eastAsia"/>
          <w:kern w:val="0"/>
          <w:szCs w:val="20"/>
        </w:rPr>
        <w:t>，待其做出爬</w:t>
      </w:r>
      <w:proofErr w:type="gramStart"/>
      <w:r>
        <w:rPr>
          <w:rFonts w:ascii="宋体" w:hint="eastAsia"/>
          <w:kern w:val="0"/>
          <w:szCs w:val="20"/>
        </w:rPr>
        <w:t>跨行为</w:t>
      </w:r>
      <w:proofErr w:type="gramEnd"/>
      <w:r>
        <w:rPr>
          <w:rFonts w:ascii="宋体" w:hint="eastAsia"/>
          <w:kern w:val="0"/>
          <w:szCs w:val="20"/>
        </w:rPr>
        <w:t>时迅速将种公羊阴茎套入假阴道内，射精结束后将集精杯取下，保温于</w:t>
      </w:r>
      <w:r>
        <w:rPr>
          <w:rFonts w:ascii="宋体" w:hAnsi="宋体"/>
          <w:kern w:val="0"/>
          <w:szCs w:val="20"/>
        </w:rPr>
        <w:t>37℃</w:t>
      </w:r>
      <w:r>
        <w:rPr>
          <w:rFonts w:ascii="宋体" w:hint="eastAsia"/>
          <w:kern w:val="0"/>
          <w:szCs w:val="20"/>
        </w:rPr>
        <w:t>并及时送检。</w:t>
      </w:r>
    </w:p>
    <w:p w14:paraId="170912E6" w14:textId="77777777" w:rsidR="00F617D6" w:rsidRDefault="00F617D6" w:rsidP="00F617D6">
      <w:pPr>
        <w:pStyle w:val="a0"/>
        <w:spacing w:before="312" w:after="312"/>
        <w:rPr>
          <w:rFonts w:ascii="Times New Roman"/>
        </w:rPr>
      </w:pPr>
      <w:r>
        <w:rPr>
          <w:rFonts w:ascii="Times New Roman" w:hint="eastAsia"/>
        </w:rPr>
        <w:t>精液检查</w:t>
      </w:r>
    </w:p>
    <w:p w14:paraId="5226B5A1" w14:textId="77777777" w:rsidR="00F617D6" w:rsidRDefault="00F617D6" w:rsidP="00F617D6">
      <w:pPr>
        <w:pStyle w:val="aff"/>
        <w:spacing w:beforeLines="0" w:before="0" w:afterLines="0" w:after="0"/>
        <w:rPr>
          <w:rFonts w:hAnsi="黑体" w:cs="黑体" w:hint="eastAsia"/>
        </w:rPr>
      </w:pPr>
      <w:r w:rsidRPr="00C57AC8">
        <w:rPr>
          <w:rFonts w:hAnsi="黑体" w:cs="黑体" w:hint="eastAsia"/>
        </w:rPr>
        <w:t>6.1</w:t>
      </w:r>
      <w:r>
        <w:rPr>
          <w:rFonts w:hAnsi="黑体" w:cs="黑体" w:hint="eastAsia"/>
        </w:rPr>
        <w:t xml:space="preserve">  精液体积</w:t>
      </w:r>
    </w:p>
    <w:p w14:paraId="3212C48B" w14:textId="77777777" w:rsidR="00F617D6" w:rsidRDefault="00F617D6" w:rsidP="00F617D6">
      <w:pPr>
        <w:widowControl/>
        <w:spacing w:line="240" w:lineRule="auto"/>
        <w:ind w:firstLineChars="200" w:firstLine="420"/>
        <w:jc w:val="left"/>
        <w:rPr>
          <w:rFonts w:ascii="宋体"/>
          <w:kern w:val="0"/>
          <w:szCs w:val="20"/>
        </w:rPr>
      </w:pPr>
      <w:bookmarkStart w:id="33" w:name="_Hlk119190380"/>
      <w:r>
        <w:rPr>
          <w:rFonts w:ascii="宋体" w:hint="eastAsia"/>
          <w:kern w:val="0"/>
          <w:szCs w:val="20"/>
        </w:rPr>
        <w:t>对于假阴道法采集的精液，体积应大于0.5 mL。电刺激采精法获取的精液体积差异性较大，通常不做评估。</w:t>
      </w:r>
    </w:p>
    <w:bookmarkEnd w:id="33"/>
    <w:p w14:paraId="150AE749" w14:textId="77777777" w:rsidR="00F617D6" w:rsidRDefault="00F617D6" w:rsidP="00F617D6">
      <w:pPr>
        <w:pStyle w:val="aff"/>
        <w:numPr>
          <w:ilvl w:val="1"/>
          <w:numId w:val="0"/>
        </w:numPr>
        <w:spacing w:beforeLines="0" w:before="0" w:afterLines="0" w:after="0"/>
        <w:rPr>
          <w:rFonts w:hAnsi="黑体" w:cs="黑体" w:hint="eastAsia"/>
        </w:rPr>
      </w:pPr>
      <w:r w:rsidRPr="00C57AC8">
        <w:rPr>
          <w:rFonts w:hAnsi="黑体" w:cs="黑体" w:hint="eastAsia"/>
        </w:rPr>
        <w:t>6.2</w:t>
      </w:r>
      <w:r>
        <w:rPr>
          <w:rFonts w:hAnsi="黑体" w:cs="黑体" w:hint="eastAsia"/>
          <w:b/>
          <w:bCs/>
        </w:rPr>
        <w:t xml:space="preserve"> </w:t>
      </w:r>
      <w:r>
        <w:rPr>
          <w:rFonts w:hAnsi="黑体" w:cs="黑体" w:hint="eastAsia"/>
        </w:rPr>
        <w:t xml:space="preserve"> 精子感官判定</w:t>
      </w:r>
    </w:p>
    <w:p w14:paraId="5E578661" w14:textId="77777777" w:rsidR="00F617D6" w:rsidRDefault="00F617D6" w:rsidP="00F617D6">
      <w:pPr>
        <w:widowControl/>
        <w:spacing w:line="240" w:lineRule="auto"/>
        <w:ind w:firstLineChars="200" w:firstLine="420"/>
        <w:jc w:val="left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具体方法参考 DB6103/T 33-2022，原精液应为乳白色或乳黄色、有云雾状、无味或略腥、pH6.4 - 7.1、无杂质，判定为合格精液。</w:t>
      </w:r>
    </w:p>
    <w:p w14:paraId="5ECB0D2E" w14:textId="77777777" w:rsidR="00F617D6" w:rsidRPr="00C57AC8" w:rsidRDefault="00F617D6" w:rsidP="00F617D6">
      <w:pPr>
        <w:pStyle w:val="aff"/>
        <w:numPr>
          <w:ilvl w:val="1"/>
          <w:numId w:val="0"/>
        </w:numPr>
        <w:spacing w:beforeLines="0" w:before="0" w:afterLines="0" w:after="0"/>
        <w:rPr>
          <w:rFonts w:hAnsi="黑体" w:cs="黑体" w:hint="eastAsia"/>
        </w:rPr>
      </w:pPr>
      <w:r w:rsidRPr="00C57AC8">
        <w:rPr>
          <w:rFonts w:hAnsi="黑体" w:cs="黑体" w:hint="eastAsia"/>
        </w:rPr>
        <w:t>6.3  精子实验室判定</w:t>
      </w:r>
    </w:p>
    <w:p w14:paraId="2EC584AA" w14:textId="77777777" w:rsidR="00F617D6" w:rsidRDefault="00F617D6" w:rsidP="00F617D6">
      <w:pPr>
        <w:widowControl/>
        <w:spacing w:line="240" w:lineRule="auto"/>
        <w:ind w:firstLineChars="200" w:firstLine="420"/>
        <w:jc w:val="left"/>
        <w:rPr>
          <w:rFonts w:ascii="宋体"/>
          <w:kern w:val="0"/>
          <w:szCs w:val="20"/>
        </w:rPr>
      </w:pPr>
      <w:r>
        <w:rPr>
          <w:rFonts w:ascii="宋体" w:hint="eastAsia"/>
          <w:kern w:val="0"/>
          <w:szCs w:val="20"/>
        </w:rPr>
        <w:t>具体方法参考 DB6103/T 33-2022，原精液精子密度应≥ 2</w:t>
      </w:r>
      <w:r>
        <w:rPr>
          <w:rFonts w:ascii="宋体"/>
          <w:kern w:val="0"/>
          <w:szCs w:val="20"/>
        </w:rPr>
        <w:t xml:space="preserve"> </w:t>
      </w:r>
      <w:r>
        <w:rPr>
          <w:rFonts w:ascii="宋体"/>
          <w:kern w:val="0"/>
          <w:szCs w:val="20"/>
        </w:rPr>
        <w:t>×</w:t>
      </w:r>
      <w:r>
        <w:rPr>
          <w:rFonts w:ascii="宋体" w:hint="eastAsia"/>
          <w:kern w:val="0"/>
          <w:szCs w:val="20"/>
        </w:rPr>
        <w:t xml:space="preserve"> 10</w:t>
      </w:r>
      <w:r>
        <w:rPr>
          <w:rFonts w:ascii="宋体"/>
          <w:kern w:val="0"/>
          <w:szCs w:val="20"/>
        </w:rPr>
        <w:t>9</w:t>
      </w:r>
      <w:r>
        <w:rPr>
          <w:rFonts w:ascii="宋体" w:hint="eastAsia"/>
          <w:kern w:val="0"/>
          <w:szCs w:val="20"/>
        </w:rPr>
        <w:t>个/mL，精子活力≥ 70%，精子畸形率≤ 14%，判定为合格精液。</w:t>
      </w:r>
    </w:p>
    <w:p w14:paraId="5EEF56ED" w14:textId="77777777" w:rsidR="00F617D6" w:rsidRPr="00F617D6" w:rsidRDefault="00F617D6" w:rsidP="00F617D6">
      <w:pPr>
        <w:widowControl/>
        <w:adjustRightInd/>
        <w:spacing w:line="240" w:lineRule="auto"/>
        <w:jc w:val="center"/>
      </w:pPr>
      <w:r w:rsidRPr="00F617D6">
        <w:t>_________________________________</w:t>
      </w:r>
    </w:p>
    <w:p w14:paraId="37843772" w14:textId="7C3D9935" w:rsidR="00472748" w:rsidRPr="00F617D6" w:rsidRDefault="00472748" w:rsidP="00F617D6">
      <w:pPr>
        <w:widowControl/>
        <w:adjustRightInd/>
        <w:spacing w:line="240" w:lineRule="auto"/>
        <w:jc w:val="left"/>
        <w:rPr>
          <w:rFonts w:hint="eastAsia"/>
        </w:rPr>
      </w:pPr>
    </w:p>
    <w:sectPr w:rsidR="00472748" w:rsidRPr="00F617D6" w:rsidSect="00F617D6">
      <w:pgSz w:w="11906" w:h="16838"/>
      <w:pgMar w:top="1928" w:right="1134" w:bottom="1134" w:left="1134" w:header="1418" w:footer="1134" w:gutter="284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E4A8E" w14:textId="77777777" w:rsidR="00D018E3" w:rsidRDefault="00D018E3" w:rsidP="00F617D6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092F84ED" w14:textId="77777777" w:rsidR="00D018E3" w:rsidRDefault="00D018E3" w:rsidP="00F617D6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89180" w14:textId="77777777" w:rsidR="00D018E3" w:rsidRDefault="00D018E3" w:rsidP="00F617D6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1A4F8170" w14:textId="77777777" w:rsidR="00D018E3" w:rsidRDefault="00D018E3" w:rsidP="00F617D6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9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853297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228"/>
    <w:rsid w:val="00376AA5"/>
    <w:rsid w:val="00472748"/>
    <w:rsid w:val="004F2228"/>
    <w:rsid w:val="005042F5"/>
    <w:rsid w:val="005D624A"/>
    <w:rsid w:val="00D018E3"/>
    <w:rsid w:val="00F6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FB2AC9"/>
  <w15:chartTrackingRefBased/>
  <w15:docId w15:val="{052169F6-CB5A-4288-A595-FDD774F6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F617D6"/>
    <w:pPr>
      <w:widowControl w:val="0"/>
      <w:adjustRightInd w:val="0"/>
      <w:spacing w:after="0" w:line="400" w:lineRule="exact"/>
      <w:jc w:val="both"/>
    </w:pPr>
    <w:rPr>
      <w:rFonts w:ascii="Calibri" w:eastAsia="宋体" w:hAnsi="Calibri" w:cs="Times New Roman"/>
      <w:sz w:val="21"/>
      <w:szCs w:val="21"/>
      <w14:ligatures w14:val="none"/>
    </w:rPr>
  </w:style>
  <w:style w:type="paragraph" w:styleId="1">
    <w:name w:val="heading 1"/>
    <w:basedOn w:val="a6"/>
    <w:next w:val="a6"/>
    <w:link w:val="10"/>
    <w:uiPriority w:val="9"/>
    <w:qFormat/>
    <w:rsid w:val="004F222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6"/>
    <w:next w:val="a6"/>
    <w:link w:val="20"/>
    <w:uiPriority w:val="9"/>
    <w:semiHidden/>
    <w:unhideWhenUsed/>
    <w:qFormat/>
    <w:rsid w:val="004F22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6"/>
    <w:next w:val="a6"/>
    <w:link w:val="30"/>
    <w:uiPriority w:val="9"/>
    <w:semiHidden/>
    <w:unhideWhenUsed/>
    <w:qFormat/>
    <w:rsid w:val="004F222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6"/>
    <w:next w:val="a6"/>
    <w:link w:val="40"/>
    <w:uiPriority w:val="9"/>
    <w:semiHidden/>
    <w:unhideWhenUsed/>
    <w:qFormat/>
    <w:rsid w:val="004F222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4F222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6"/>
    <w:next w:val="a6"/>
    <w:link w:val="60"/>
    <w:uiPriority w:val="9"/>
    <w:semiHidden/>
    <w:unhideWhenUsed/>
    <w:qFormat/>
    <w:rsid w:val="004F222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6"/>
    <w:next w:val="a6"/>
    <w:link w:val="70"/>
    <w:uiPriority w:val="9"/>
    <w:semiHidden/>
    <w:unhideWhenUsed/>
    <w:qFormat/>
    <w:rsid w:val="004F222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6"/>
    <w:next w:val="a6"/>
    <w:link w:val="80"/>
    <w:uiPriority w:val="9"/>
    <w:semiHidden/>
    <w:unhideWhenUsed/>
    <w:qFormat/>
    <w:rsid w:val="004F222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6"/>
    <w:next w:val="a6"/>
    <w:link w:val="90"/>
    <w:uiPriority w:val="9"/>
    <w:semiHidden/>
    <w:unhideWhenUsed/>
    <w:qFormat/>
    <w:rsid w:val="004F222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7">
    <w:name w:val="Default Paragraph Font"/>
    <w:uiPriority w:val="1"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标题 1 字符"/>
    <w:basedOn w:val="a7"/>
    <w:link w:val="1"/>
    <w:uiPriority w:val="9"/>
    <w:rsid w:val="004F222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7"/>
    <w:link w:val="2"/>
    <w:uiPriority w:val="9"/>
    <w:semiHidden/>
    <w:rsid w:val="004F22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7"/>
    <w:link w:val="3"/>
    <w:uiPriority w:val="9"/>
    <w:semiHidden/>
    <w:rsid w:val="004F22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7"/>
    <w:link w:val="4"/>
    <w:uiPriority w:val="9"/>
    <w:semiHidden/>
    <w:rsid w:val="004F222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7"/>
    <w:link w:val="5"/>
    <w:uiPriority w:val="9"/>
    <w:semiHidden/>
    <w:rsid w:val="004F222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7"/>
    <w:link w:val="6"/>
    <w:uiPriority w:val="9"/>
    <w:semiHidden/>
    <w:rsid w:val="004F222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7"/>
    <w:link w:val="7"/>
    <w:uiPriority w:val="9"/>
    <w:semiHidden/>
    <w:rsid w:val="004F222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7"/>
    <w:link w:val="8"/>
    <w:uiPriority w:val="9"/>
    <w:semiHidden/>
    <w:rsid w:val="004F2228"/>
    <w:rPr>
      <w:rFonts w:cstheme="majorBidi"/>
      <w:color w:val="595959" w:themeColor="text1" w:themeTint="A6"/>
    </w:rPr>
  </w:style>
  <w:style w:type="character" w:customStyle="1" w:styleId="90">
    <w:name w:val="标题 9 字符"/>
    <w:basedOn w:val="a7"/>
    <w:link w:val="9"/>
    <w:uiPriority w:val="9"/>
    <w:semiHidden/>
    <w:rsid w:val="004F2228"/>
    <w:rPr>
      <w:rFonts w:eastAsiaTheme="majorEastAsia" w:cstheme="majorBidi"/>
      <w:color w:val="595959" w:themeColor="text1" w:themeTint="A6"/>
    </w:rPr>
  </w:style>
  <w:style w:type="paragraph" w:styleId="aa">
    <w:name w:val="Title"/>
    <w:basedOn w:val="a6"/>
    <w:next w:val="a6"/>
    <w:link w:val="ab"/>
    <w:uiPriority w:val="10"/>
    <w:qFormat/>
    <w:rsid w:val="004F222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标题 字符"/>
    <w:basedOn w:val="a7"/>
    <w:link w:val="aa"/>
    <w:uiPriority w:val="10"/>
    <w:rsid w:val="004F2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Subtitle"/>
    <w:basedOn w:val="a6"/>
    <w:next w:val="a6"/>
    <w:link w:val="ad"/>
    <w:uiPriority w:val="11"/>
    <w:qFormat/>
    <w:rsid w:val="004F222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d">
    <w:name w:val="副标题 字符"/>
    <w:basedOn w:val="a7"/>
    <w:link w:val="ac"/>
    <w:uiPriority w:val="11"/>
    <w:rsid w:val="004F222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e">
    <w:name w:val="Quote"/>
    <w:basedOn w:val="a6"/>
    <w:next w:val="a6"/>
    <w:link w:val="af"/>
    <w:uiPriority w:val="29"/>
    <w:qFormat/>
    <w:rsid w:val="004F22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">
    <w:name w:val="引用 字符"/>
    <w:basedOn w:val="a7"/>
    <w:link w:val="ae"/>
    <w:uiPriority w:val="29"/>
    <w:rsid w:val="004F2228"/>
    <w:rPr>
      <w:i/>
      <w:iCs/>
      <w:color w:val="404040" w:themeColor="text1" w:themeTint="BF"/>
    </w:rPr>
  </w:style>
  <w:style w:type="paragraph" w:styleId="af0">
    <w:name w:val="List Paragraph"/>
    <w:basedOn w:val="a6"/>
    <w:uiPriority w:val="34"/>
    <w:qFormat/>
    <w:rsid w:val="004F2228"/>
    <w:pPr>
      <w:ind w:left="720"/>
      <w:contextualSpacing/>
    </w:pPr>
  </w:style>
  <w:style w:type="character" w:styleId="af1">
    <w:name w:val="Intense Emphasis"/>
    <w:basedOn w:val="a7"/>
    <w:uiPriority w:val="21"/>
    <w:qFormat/>
    <w:rsid w:val="004F2228"/>
    <w:rPr>
      <w:i/>
      <w:iCs/>
      <w:color w:val="0F4761" w:themeColor="accent1" w:themeShade="BF"/>
    </w:rPr>
  </w:style>
  <w:style w:type="paragraph" w:styleId="af2">
    <w:name w:val="Intense Quote"/>
    <w:basedOn w:val="a6"/>
    <w:next w:val="a6"/>
    <w:link w:val="af3"/>
    <w:uiPriority w:val="30"/>
    <w:qFormat/>
    <w:rsid w:val="004F22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3">
    <w:name w:val="明显引用 字符"/>
    <w:basedOn w:val="a7"/>
    <w:link w:val="af2"/>
    <w:uiPriority w:val="30"/>
    <w:rsid w:val="004F2228"/>
    <w:rPr>
      <w:i/>
      <w:iCs/>
      <w:color w:val="0F4761" w:themeColor="accent1" w:themeShade="BF"/>
    </w:rPr>
  </w:style>
  <w:style w:type="character" w:styleId="af4">
    <w:name w:val="Intense Reference"/>
    <w:basedOn w:val="a7"/>
    <w:uiPriority w:val="32"/>
    <w:qFormat/>
    <w:rsid w:val="004F2228"/>
    <w:rPr>
      <w:b/>
      <w:bCs/>
      <w:smallCaps/>
      <w:color w:val="0F4761" w:themeColor="accent1" w:themeShade="BF"/>
      <w:spacing w:val="5"/>
    </w:rPr>
  </w:style>
  <w:style w:type="paragraph" w:styleId="af5">
    <w:name w:val="header"/>
    <w:basedOn w:val="a6"/>
    <w:link w:val="af6"/>
    <w:uiPriority w:val="99"/>
    <w:unhideWhenUsed/>
    <w:rsid w:val="00F617D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6">
    <w:name w:val="页眉 字符"/>
    <w:basedOn w:val="a7"/>
    <w:link w:val="af5"/>
    <w:uiPriority w:val="99"/>
    <w:rsid w:val="00F617D6"/>
    <w:rPr>
      <w:sz w:val="18"/>
      <w:szCs w:val="18"/>
    </w:rPr>
  </w:style>
  <w:style w:type="paragraph" w:styleId="af7">
    <w:name w:val="footer"/>
    <w:basedOn w:val="a6"/>
    <w:link w:val="af8"/>
    <w:uiPriority w:val="99"/>
    <w:unhideWhenUsed/>
    <w:rsid w:val="00F617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8">
    <w:name w:val="页脚 字符"/>
    <w:basedOn w:val="a7"/>
    <w:link w:val="af7"/>
    <w:uiPriority w:val="99"/>
    <w:rsid w:val="00F617D6"/>
    <w:rPr>
      <w:sz w:val="18"/>
      <w:szCs w:val="18"/>
    </w:rPr>
  </w:style>
  <w:style w:type="paragraph" w:customStyle="1" w:styleId="af9">
    <w:name w:val="标准文件_段"/>
    <w:link w:val="Char"/>
    <w:qFormat/>
    <w:rsid w:val="00F617D6"/>
    <w:pPr>
      <w:autoSpaceDE w:val="0"/>
      <w:autoSpaceDN w:val="0"/>
      <w:spacing w:after="0" w:line="240" w:lineRule="auto"/>
      <w:ind w:firstLineChars="200" w:firstLine="200"/>
      <w:jc w:val="both"/>
    </w:pPr>
    <w:rPr>
      <w:rFonts w:ascii="宋体" w:eastAsia="宋体" w:hAnsi="Times New Roman" w:cs="Times New Roman"/>
      <w:kern w:val="0"/>
      <w:sz w:val="21"/>
      <w:szCs w:val="20"/>
      <w14:ligatures w14:val="none"/>
    </w:rPr>
  </w:style>
  <w:style w:type="paragraph" w:customStyle="1" w:styleId="a2">
    <w:name w:val="标准文件_二级条标题"/>
    <w:next w:val="af9"/>
    <w:qFormat/>
    <w:rsid w:val="00F617D6"/>
    <w:pPr>
      <w:widowControl w:val="0"/>
      <w:numPr>
        <w:ilvl w:val="3"/>
        <w:numId w:val="1"/>
      </w:numPr>
      <w:spacing w:beforeLines="50" w:before="50" w:afterLines="50" w:after="50" w:line="240" w:lineRule="auto"/>
      <w:jc w:val="both"/>
      <w:outlineLvl w:val="2"/>
    </w:pPr>
    <w:rPr>
      <w:rFonts w:ascii="黑体" w:eastAsia="黑体" w:hAnsi="Times New Roman" w:cs="Times New Roman"/>
      <w:kern w:val="0"/>
      <w:sz w:val="21"/>
      <w:szCs w:val="20"/>
      <w14:ligatures w14:val="none"/>
    </w:rPr>
  </w:style>
  <w:style w:type="paragraph" w:customStyle="1" w:styleId="a3">
    <w:name w:val="标准文件_三级条标题"/>
    <w:basedOn w:val="a2"/>
    <w:next w:val="af9"/>
    <w:qFormat/>
    <w:rsid w:val="00F617D6"/>
    <w:pPr>
      <w:widowControl/>
      <w:numPr>
        <w:ilvl w:val="4"/>
      </w:numPr>
      <w:outlineLvl w:val="3"/>
    </w:pPr>
  </w:style>
  <w:style w:type="paragraph" w:customStyle="1" w:styleId="a4">
    <w:name w:val="标准文件_四级条标题"/>
    <w:next w:val="af9"/>
    <w:qFormat/>
    <w:rsid w:val="00F617D6"/>
    <w:pPr>
      <w:widowControl w:val="0"/>
      <w:numPr>
        <w:ilvl w:val="5"/>
        <w:numId w:val="1"/>
      </w:numPr>
      <w:spacing w:beforeLines="50" w:before="50" w:afterLines="50" w:after="50" w:line="240" w:lineRule="auto"/>
      <w:jc w:val="both"/>
      <w:outlineLvl w:val="4"/>
    </w:pPr>
    <w:rPr>
      <w:rFonts w:ascii="黑体" w:eastAsia="黑体" w:hAnsi="Times New Roman" w:cs="Times New Roman"/>
      <w:kern w:val="0"/>
      <w:sz w:val="21"/>
      <w:szCs w:val="20"/>
      <w14:ligatures w14:val="none"/>
    </w:rPr>
  </w:style>
  <w:style w:type="paragraph" w:customStyle="1" w:styleId="a5">
    <w:name w:val="标准文件_五级条标题"/>
    <w:next w:val="af9"/>
    <w:rsid w:val="00F617D6"/>
    <w:pPr>
      <w:widowControl w:val="0"/>
      <w:numPr>
        <w:ilvl w:val="6"/>
        <w:numId w:val="1"/>
      </w:numPr>
      <w:spacing w:beforeLines="50" w:before="50" w:afterLines="50" w:after="50" w:line="240" w:lineRule="auto"/>
      <w:jc w:val="both"/>
      <w:outlineLvl w:val="5"/>
    </w:pPr>
    <w:rPr>
      <w:rFonts w:ascii="黑体" w:eastAsia="黑体" w:hAnsi="Times New Roman" w:cs="Times New Roman"/>
      <w:kern w:val="0"/>
      <w:sz w:val="21"/>
      <w:szCs w:val="20"/>
      <w14:ligatures w14:val="none"/>
    </w:rPr>
  </w:style>
  <w:style w:type="paragraph" w:customStyle="1" w:styleId="a0">
    <w:name w:val="标准文件_章标题"/>
    <w:next w:val="af9"/>
    <w:qFormat/>
    <w:rsid w:val="00F617D6"/>
    <w:pPr>
      <w:numPr>
        <w:ilvl w:val="1"/>
        <w:numId w:val="1"/>
      </w:numPr>
      <w:spacing w:beforeLines="100" w:before="100" w:afterLines="100" w:after="100" w:line="240" w:lineRule="auto"/>
      <w:jc w:val="both"/>
      <w:outlineLvl w:val="0"/>
    </w:pPr>
    <w:rPr>
      <w:rFonts w:ascii="黑体" w:eastAsia="黑体" w:hAnsi="Times New Roman" w:cs="Times New Roman"/>
      <w:kern w:val="0"/>
      <w:sz w:val="21"/>
      <w:szCs w:val="20"/>
      <w14:ligatures w14:val="none"/>
    </w:rPr>
  </w:style>
  <w:style w:type="paragraph" w:customStyle="1" w:styleId="a1">
    <w:name w:val="标准文件_一级条标题"/>
    <w:basedOn w:val="a0"/>
    <w:next w:val="af9"/>
    <w:qFormat/>
    <w:rsid w:val="00F617D6"/>
    <w:pPr>
      <w:numPr>
        <w:ilvl w:val="2"/>
      </w:numPr>
      <w:spacing w:beforeLines="50" w:before="50" w:afterLines="50" w:after="50"/>
      <w:ind w:left="0"/>
      <w:outlineLvl w:val="1"/>
    </w:pPr>
  </w:style>
  <w:style w:type="paragraph" w:customStyle="1" w:styleId="a">
    <w:name w:val="前言标题"/>
    <w:next w:val="a6"/>
    <w:qFormat/>
    <w:rsid w:val="00F617D6"/>
    <w:pPr>
      <w:numPr>
        <w:numId w:val="1"/>
      </w:numPr>
      <w:shd w:val="clear" w:color="FFFFFF" w:fill="FFFFFF"/>
      <w:spacing w:before="540" w:after="600" w:line="240" w:lineRule="auto"/>
      <w:jc w:val="center"/>
      <w:outlineLvl w:val="0"/>
    </w:pPr>
    <w:rPr>
      <w:rFonts w:ascii="黑体" w:eastAsia="黑体" w:hAnsi="Times New Roman" w:cs="Times New Roman"/>
      <w:kern w:val="0"/>
      <w:sz w:val="32"/>
      <w:szCs w:val="20"/>
      <w14:ligatures w14:val="none"/>
    </w:rPr>
  </w:style>
  <w:style w:type="paragraph" w:customStyle="1" w:styleId="afa">
    <w:name w:val="标准文件_一级无标题"/>
    <w:basedOn w:val="a1"/>
    <w:qFormat/>
    <w:rsid w:val="00F617D6"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fb">
    <w:name w:val="标准文件_正文标准名称"/>
    <w:qFormat/>
    <w:rsid w:val="00F617D6"/>
    <w:pPr>
      <w:spacing w:before="560" w:after="640" w:line="400" w:lineRule="exact"/>
      <w:jc w:val="center"/>
    </w:pPr>
    <w:rPr>
      <w:rFonts w:ascii="黑体" w:eastAsia="黑体" w:hAnsi="黑体" w:cs="Times New Roman"/>
      <w:sz w:val="32"/>
      <w:szCs w:val="32"/>
      <w14:ligatures w14:val="none"/>
    </w:rPr>
  </w:style>
  <w:style w:type="character" w:customStyle="1" w:styleId="Char">
    <w:name w:val="标准文件_段 Char"/>
    <w:link w:val="af9"/>
    <w:qFormat/>
    <w:rsid w:val="00F617D6"/>
    <w:rPr>
      <w:rFonts w:ascii="宋体" w:eastAsia="宋体" w:hAnsi="Times New Roman" w:cs="Times New Roman"/>
      <w:kern w:val="0"/>
      <w:sz w:val="21"/>
      <w:szCs w:val="20"/>
      <w14:ligatures w14:val="none"/>
    </w:rPr>
  </w:style>
  <w:style w:type="paragraph" w:customStyle="1" w:styleId="afc">
    <w:name w:val="标准文件_术语条一"/>
    <w:basedOn w:val="afa"/>
    <w:next w:val="af9"/>
    <w:qFormat/>
    <w:rsid w:val="00F617D6"/>
  </w:style>
  <w:style w:type="paragraph" w:customStyle="1" w:styleId="afd">
    <w:name w:val="章标题"/>
    <w:next w:val="afe"/>
    <w:qFormat/>
    <w:rsid w:val="00F617D6"/>
    <w:pPr>
      <w:spacing w:beforeLines="100" w:before="312" w:afterLines="100" w:after="312" w:line="240" w:lineRule="auto"/>
      <w:jc w:val="both"/>
      <w:outlineLvl w:val="1"/>
    </w:pPr>
    <w:rPr>
      <w:rFonts w:ascii="黑体" w:eastAsia="黑体" w:hAnsi="Times New Roman" w:cs="Times New Roman"/>
      <w:kern w:val="0"/>
      <w:sz w:val="21"/>
      <w:szCs w:val="20"/>
      <w14:ligatures w14:val="none"/>
    </w:rPr>
  </w:style>
  <w:style w:type="paragraph" w:customStyle="1" w:styleId="afe">
    <w:name w:val="段"/>
    <w:qFormat/>
    <w:rsid w:val="00F617D6"/>
    <w:pPr>
      <w:tabs>
        <w:tab w:val="center" w:pos="4201"/>
        <w:tab w:val="right" w:leader="dot" w:pos="9298"/>
      </w:tabs>
      <w:autoSpaceDE w:val="0"/>
      <w:autoSpaceDN w:val="0"/>
      <w:spacing w:after="0" w:line="240" w:lineRule="auto"/>
      <w:ind w:firstLineChars="200" w:firstLine="420"/>
      <w:jc w:val="both"/>
    </w:pPr>
    <w:rPr>
      <w:rFonts w:ascii="宋体" w:eastAsia="宋体" w:hAnsi="Times New Roman" w:cs="Times New Roman"/>
      <w:kern w:val="0"/>
      <w:sz w:val="21"/>
      <w:szCs w:val="20"/>
      <w14:ligatures w14:val="none"/>
    </w:rPr>
  </w:style>
  <w:style w:type="paragraph" w:customStyle="1" w:styleId="aff">
    <w:name w:val="一级条标题"/>
    <w:next w:val="afe"/>
    <w:qFormat/>
    <w:rsid w:val="00F617D6"/>
    <w:pPr>
      <w:spacing w:beforeLines="50" w:before="156" w:afterLines="50" w:after="156" w:line="240" w:lineRule="auto"/>
      <w:outlineLvl w:val="2"/>
    </w:pPr>
    <w:rPr>
      <w:rFonts w:ascii="黑体" w:eastAsia="黑体" w:hAnsi="Times New Roman" w:cs="Times New Roman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D3906F16154C7EB2D83094D424EAB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520FD5-0086-4532-8BDC-6C9BDC67C375}"/>
      </w:docPartPr>
      <w:docPartBody>
        <w:p w:rsidR="00000000" w:rsidRDefault="00D61FBA" w:rsidP="00D61FBA">
          <w:pPr>
            <w:pStyle w:val="9DD3906F16154C7EB2D83094D424EABE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BA"/>
    <w:rsid w:val="004D6348"/>
    <w:rsid w:val="005042F5"/>
    <w:rsid w:val="00D6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1FBA"/>
    <w:rPr>
      <w:color w:val="808080"/>
    </w:rPr>
  </w:style>
  <w:style w:type="paragraph" w:customStyle="1" w:styleId="9DD3906F16154C7EB2D83094D424EABE">
    <w:name w:val="9DD3906F16154C7EB2D83094D424EABE"/>
    <w:rsid w:val="00D61FB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 J</dc:creator>
  <cp:keywords/>
  <dc:description/>
  <cp:lastModifiedBy>Yc J</cp:lastModifiedBy>
  <cp:revision>2</cp:revision>
  <dcterms:created xsi:type="dcterms:W3CDTF">2025-03-11T06:38:00Z</dcterms:created>
  <dcterms:modified xsi:type="dcterms:W3CDTF">2025-03-11T06:40:00Z</dcterms:modified>
</cp:coreProperties>
</file>