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bookmarkStart w:id="0" w:name="_GoBack"/>
      <w:r>
        <w:rPr>
          <w:rFonts w:hint="eastAsia" w:ascii="宋体" w:hAnsi="宋体" w:eastAsia="宋体" w:cs="宋体"/>
          <w:i w:val="0"/>
          <w:caps w:val="0"/>
          <w:color w:val="000000"/>
          <w:spacing w:val="0"/>
          <w:kern w:val="0"/>
          <w:sz w:val="21"/>
          <w:szCs w:val="21"/>
          <w:bdr w:val="none" w:color="auto" w:sz="0" w:space="0"/>
          <w:lang w:val="en-US" w:eastAsia="zh-CN" w:bidi="ar"/>
        </w:rPr>
        <w:t>关于印发《关于规范喀什地区房地产开发项目配建公共服务设施的意见（试行）》的通知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各县、市人民政府，地直相关单位：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为满足居民日益提高的物质和精神文化需求，科学合理地配置房地产开发项目公共服务设施，提高居民生活品质。经行署同意，现将《关于规范喀什地区房地产开发项目配建公共服务设施的意见（试行）》印发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附件：1.《关于规范喀什地区房地产开发项目配建公共服务设施的意见（试行）》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2.住建部《完整居住社区建设标准（试行）》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                    2021年</w:t>
      </w:r>
      <w:r>
        <w:rPr>
          <w:rFonts w:ascii="Calibri" w:hAnsi="Calibri" w:eastAsia="宋体" w:cs="Calibri"/>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月</w:t>
      </w:r>
      <w:r>
        <w:rPr>
          <w:rFonts w:hint="default" w:ascii="Calibri" w:hAnsi="Calibri" w:eastAsia="宋体" w:cs="Calibri"/>
          <w:i w:val="0"/>
          <w:caps w:val="0"/>
          <w:color w:val="000000"/>
          <w:spacing w:val="0"/>
          <w:kern w:val="0"/>
          <w:sz w:val="21"/>
          <w:szCs w:val="21"/>
          <w:bdr w:val="none" w:color="auto" w:sz="0" w:space="0"/>
          <w:lang w:val="en-US" w:eastAsia="zh-CN" w:bidi="ar"/>
        </w:rPr>
        <w:t>14</w:t>
      </w:r>
      <w:r>
        <w:rPr>
          <w:rFonts w:hint="eastAsia" w:ascii="宋体" w:hAnsi="宋体" w:eastAsia="宋体" w:cs="宋体"/>
          <w:i w:val="0"/>
          <w:caps w:val="0"/>
          <w:color w:val="000000"/>
          <w:spacing w:val="0"/>
          <w:kern w:val="0"/>
          <w:sz w:val="21"/>
          <w:szCs w:val="21"/>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关于规范喀什地区房地产开发项目配建公共服务设施的意见（试行）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为满足居民日益提高的物质和精神文化需求，科学合理地配置房地产开发项目公共服务设施，有效使用城市土地资源，提升房地产开发项目公共设施配套及服务水平，依据《中华人民共和国城乡规划法》、《新疆维吾尔自治区实施〈中华人民共和国城乡规划法〉办法》、《城市居住区规划设计标准》（GB50180-2018）、《住房和城乡建设部等部门关于开展城市居住社区建设补短板行动的意见》（建科规〔</w:t>
      </w:r>
      <w:r>
        <w:rPr>
          <w:rFonts w:hint="default" w:ascii="Calibri" w:hAnsi="Calibri" w:eastAsia="宋体" w:cs="Calibri"/>
          <w:i w:val="0"/>
          <w:caps w:val="0"/>
          <w:color w:val="000000"/>
          <w:spacing w:val="0"/>
          <w:kern w:val="0"/>
          <w:sz w:val="21"/>
          <w:szCs w:val="21"/>
          <w:bdr w:val="none" w:color="auto" w:sz="0" w:space="0"/>
          <w:lang w:val="en-US" w:eastAsia="zh-CN" w:bidi="ar"/>
        </w:rPr>
        <w:t>2020</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default" w:ascii="Calibri" w:hAnsi="Calibri" w:eastAsia="宋体" w:cs="Calibri"/>
          <w:i w:val="0"/>
          <w:caps w:val="0"/>
          <w:color w:val="000000"/>
          <w:spacing w:val="0"/>
          <w:kern w:val="0"/>
          <w:sz w:val="21"/>
          <w:szCs w:val="21"/>
          <w:bdr w:val="none" w:color="auto" w:sz="0" w:space="0"/>
          <w:lang w:val="en-US" w:eastAsia="zh-CN" w:bidi="ar"/>
        </w:rPr>
        <w:t>7</w:t>
      </w:r>
      <w:r>
        <w:rPr>
          <w:rFonts w:hint="eastAsia" w:ascii="宋体" w:hAnsi="宋体" w:eastAsia="宋体" w:cs="宋体"/>
          <w:i w:val="0"/>
          <w:caps w:val="0"/>
          <w:color w:val="000000"/>
          <w:spacing w:val="0"/>
          <w:kern w:val="0"/>
          <w:sz w:val="21"/>
          <w:szCs w:val="21"/>
          <w:bdr w:val="none" w:color="auto" w:sz="0" w:space="0"/>
          <w:lang w:val="en-US" w:eastAsia="zh-CN" w:bidi="ar"/>
        </w:rPr>
        <w:t>号）、《关于加强城镇小区配套幼儿园建设管理工作的通知》（新城幼治〔</w:t>
      </w:r>
      <w:r>
        <w:rPr>
          <w:rFonts w:hint="default" w:ascii="Calibri" w:hAnsi="Calibri" w:eastAsia="宋体" w:cs="Calibri"/>
          <w:i w:val="0"/>
          <w:caps w:val="0"/>
          <w:color w:val="000000"/>
          <w:spacing w:val="0"/>
          <w:kern w:val="0"/>
          <w:sz w:val="21"/>
          <w:szCs w:val="21"/>
          <w:bdr w:val="none" w:color="auto" w:sz="0" w:space="0"/>
          <w:lang w:val="en-US" w:eastAsia="zh-CN" w:bidi="ar"/>
        </w:rPr>
        <w:t>2020</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default" w:ascii="Calibri" w:hAnsi="Calibri" w:eastAsia="宋体" w:cs="Calibri"/>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号）和其他有关规定，结合喀什地区实际，提出如下意见。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一）指导思想。以习近平新时代中国特色社会主义思想为指导，全面贯彻党的十九大和十九届二中、三中、四中、五中全会精神，贯彻落实自治区党委、人民政府和地委、行署工作要求，坚持以人民为中心的发展思想，坚持新发展理念，以完善居住社区配套设施为着力点，大力开展居住社区建设补短板行动，提升居住社区建设质量、服务水平和管理能力，增强人民群众获得感、幸福感、安全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（二）工作目标。到2025年，新建居住社区同步配建各类设施，城市居住社区环境明显改善，共建共治共享机制不断健全，完整居住社区覆盖率显著提升。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二、适用范围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适用于喀什经济开发区、各县市中心城区范围内取得土地的房地产开发项目，自本通知印发之日起实施。本通知所称房地产开发项目配建的公共服务设施，是指开发企业为小区全体业主生活所需而提供的公共服务设施，主要包括教育设施、停车位、公共文体设施、环卫设施、社区服务用房、物业管理用房、商业综合服务性用房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三、配建标准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（一）教育设施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1.房地产开发项目地上建筑面积</w:t>
      </w:r>
      <w:r>
        <w:rPr>
          <w:rFonts w:hint="default" w:ascii="Calibri" w:hAnsi="Calibri" w:eastAsia="宋体" w:cs="Calibri"/>
          <w:i w:val="0"/>
          <w:caps w:val="0"/>
          <w:color w:val="000000"/>
          <w:spacing w:val="0"/>
          <w:kern w:val="0"/>
          <w:sz w:val="21"/>
          <w:szCs w:val="21"/>
          <w:bdr w:val="none" w:color="auto" w:sz="0" w:space="0"/>
          <w:lang w:val="en-US" w:eastAsia="zh-CN" w:bidi="ar"/>
        </w:rPr>
        <w:t>12</w:t>
      </w:r>
      <w:r>
        <w:rPr>
          <w:rFonts w:hint="eastAsia" w:ascii="宋体" w:hAnsi="宋体" w:eastAsia="宋体" w:cs="宋体"/>
          <w:i w:val="0"/>
          <w:caps w:val="0"/>
          <w:color w:val="000000"/>
          <w:spacing w:val="0"/>
          <w:kern w:val="0"/>
          <w:sz w:val="21"/>
          <w:szCs w:val="21"/>
          <w:bdr w:val="none" w:color="auto" w:sz="0" w:space="0"/>
          <w:lang w:val="en-US" w:eastAsia="zh-CN" w:bidi="ar"/>
        </w:rPr>
        <w:t>万平方米以上（含</w:t>
      </w:r>
      <w:r>
        <w:rPr>
          <w:rFonts w:hint="default" w:ascii="Calibri" w:hAnsi="Calibri" w:eastAsia="宋体" w:cs="Calibri"/>
          <w:i w:val="0"/>
          <w:caps w:val="0"/>
          <w:color w:val="000000"/>
          <w:spacing w:val="0"/>
          <w:kern w:val="0"/>
          <w:sz w:val="21"/>
          <w:szCs w:val="21"/>
          <w:bdr w:val="none" w:color="auto" w:sz="0" w:space="0"/>
          <w:lang w:val="en-US" w:eastAsia="zh-CN" w:bidi="ar"/>
        </w:rPr>
        <w:t>12</w:t>
      </w:r>
      <w:r>
        <w:rPr>
          <w:rFonts w:hint="eastAsia" w:ascii="宋体" w:hAnsi="宋体" w:eastAsia="宋体" w:cs="宋体"/>
          <w:i w:val="0"/>
          <w:caps w:val="0"/>
          <w:color w:val="000000"/>
          <w:spacing w:val="0"/>
          <w:kern w:val="0"/>
          <w:sz w:val="21"/>
          <w:szCs w:val="21"/>
          <w:bdr w:val="none" w:color="auto" w:sz="0" w:space="0"/>
          <w:lang w:val="en-US" w:eastAsia="zh-CN" w:bidi="ar"/>
        </w:rPr>
        <w:t>万平方米，下同）或居住区</w:t>
      </w:r>
      <w:r>
        <w:rPr>
          <w:rFonts w:hint="default" w:ascii="Calibri" w:hAnsi="Calibri" w:eastAsia="宋体" w:cs="Calibri"/>
          <w:i w:val="0"/>
          <w:caps w:val="0"/>
          <w:color w:val="000000"/>
          <w:spacing w:val="0"/>
          <w:kern w:val="0"/>
          <w:sz w:val="21"/>
          <w:szCs w:val="21"/>
          <w:bdr w:val="none" w:color="auto" w:sz="0" w:space="0"/>
          <w:lang w:val="en-US" w:eastAsia="zh-CN" w:bidi="ar"/>
        </w:rPr>
        <w:t>1000</w:t>
      </w:r>
      <w:r>
        <w:rPr>
          <w:rFonts w:hint="eastAsia" w:ascii="宋体" w:hAnsi="宋体" w:eastAsia="宋体" w:cs="宋体"/>
          <w:i w:val="0"/>
          <w:caps w:val="0"/>
          <w:color w:val="000000"/>
          <w:spacing w:val="0"/>
          <w:kern w:val="0"/>
          <w:sz w:val="21"/>
          <w:szCs w:val="21"/>
          <w:bdr w:val="none" w:color="auto" w:sz="0" w:space="0"/>
          <w:lang w:val="en-US" w:eastAsia="zh-CN" w:bidi="ar"/>
        </w:rPr>
        <w:t>户以上（含</w:t>
      </w:r>
      <w:r>
        <w:rPr>
          <w:rFonts w:hint="default" w:ascii="Calibri" w:hAnsi="Calibri" w:eastAsia="宋体" w:cs="Calibri"/>
          <w:i w:val="0"/>
          <w:caps w:val="0"/>
          <w:color w:val="000000"/>
          <w:spacing w:val="0"/>
          <w:kern w:val="0"/>
          <w:sz w:val="21"/>
          <w:szCs w:val="21"/>
          <w:bdr w:val="none" w:color="auto" w:sz="0" w:space="0"/>
          <w:lang w:val="en-US" w:eastAsia="zh-CN" w:bidi="ar"/>
        </w:rPr>
        <w:t>1000</w:t>
      </w:r>
      <w:r>
        <w:rPr>
          <w:rFonts w:hint="eastAsia" w:ascii="宋体" w:hAnsi="宋体" w:eastAsia="宋体" w:cs="宋体"/>
          <w:i w:val="0"/>
          <w:caps w:val="0"/>
          <w:color w:val="000000"/>
          <w:spacing w:val="0"/>
          <w:kern w:val="0"/>
          <w:sz w:val="21"/>
          <w:szCs w:val="21"/>
          <w:bdr w:val="none" w:color="auto" w:sz="0" w:space="0"/>
          <w:lang w:val="en-US" w:eastAsia="zh-CN" w:bidi="ar"/>
        </w:rPr>
        <w:t>户，下同）的，必须配建幼儿园；地上建筑面积</w:t>
      </w:r>
      <w:r>
        <w:rPr>
          <w:rFonts w:hint="default" w:ascii="Calibri" w:hAnsi="Calibri" w:eastAsia="宋体" w:cs="Calibri"/>
          <w:i w:val="0"/>
          <w:caps w:val="0"/>
          <w:color w:val="000000"/>
          <w:spacing w:val="0"/>
          <w:kern w:val="0"/>
          <w:sz w:val="21"/>
          <w:szCs w:val="21"/>
          <w:bdr w:val="none" w:color="auto" w:sz="0" w:space="0"/>
          <w:lang w:val="en-US" w:eastAsia="zh-CN" w:bidi="ar"/>
        </w:rPr>
        <w:t>45</w:t>
      </w:r>
      <w:r>
        <w:rPr>
          <w:rFonts w:hint="eastAsia" w:ascii="宋体" w:hAnsi="宋体" w:eastAsia="宋体" w:cs="宋体"/>
          <w:i w:val="0"/>
          <w:caps w:val="0"/>
          <w:color w:val="000000"/>
          <w:spacing w:val="0"/>
          <w:kern w:val="0"/>
          <w:sz w:val="21"/>
          <w:szCs w:val="21"/>
          <w:bdr w:val="none" w:color="auto" w:sz="0" w:space="0"/>
          <w:lang w:val="en-US" w:eastAsia="zh-CN" w:bidi="ar"/>
        </w:rPr>
        <w:t>万平方米以上或居住区户数在</w:t>
      </w:r>
      <w:r>
        <w:rPr>
          <w:rFonts w:hint="default" w:ascii="Calibri" w:hAnsi="Calibri" w:eastAsia="宋体" w:cs="Calibri"/>
          <w:i w:val="0"/>
          <w:caps w:val="0"/>
          <w:color w:val="000000"/>
          <w:spacing w:val="0"/>
          <w:kern w:val="0"/>
          <w:sz w:val="21"/>
          <w:szCs w:val="21"/>
          <w:bdr w:val="none" w:color="auto" w:sz="0" w:space="0"/>
          <w:lang w:val="en-US" w:eastAsia="zh-CN" w:bidi="ar"/>
        </w:rPr>
        <w:t>4000</w:t>
      </w:r>
      <w:r>
        <w:rPr>
          <w:rFonts w:hint="eastAsia" w:ascii="宋体" w:hAnsi="宋体" w:eastAsia="宋体" w:cs="宋体"/>
          <w:i w:val="0"/>
          <w:caps w:val="0"/>
          <w:color w:val="000000"/>
          <w:spacing w:val="0"/>
          <w:kern w:val="0"/>
          <w:sz w:val="21"/>
          <w:szCs w:val="21"/>
          <w:bdr w:val="none" w:color="auto" w:sz="0" w:space="0"/>
          <w:lang w:val="en-US" w:eastAsia="zh-CN" w:bidi="ar"/>
        </w:rPr>
        <w:t>户及以上的，除按标准配建幼儿园外，还应当配建小学（配建小学所需资金由地方政府与房地产开发商各出资</w:t>
      </w:r>
      <w:r>
        <w:rPr>
          <w:rFonts w:hint="default" w:ascii="Calibri" w:hAnsi="Calibri" w:eastAsia="宋体" w:cs="Calibri"/>
          <w:i w:val="0"/>
          <w:caps w:val="0"/>
          <w:color w:val="000000"/>
          <w:spacing w:val="0"/>
          <w:kern w:val="0"/>
          <w:sz w:val="21"/>
          <w:szCs w:val="21"/>
          <w:bdr w:val="none" w:color="auto" w:sz="0" w:space="0"/>
          <w:lang w:val="en-US" w:eastAsia="zh-CN" w:bidi="ar"/>
        </w:rPr>
        <w:t>50%</w:t>
      </w:r>
      <w:r>
        <w:rPr>
          <w:rFonts w:hint="eastAsia" w:ascii="宋体" w:hAnsi="宋体" w:eastAsia="宋体" w:cs="宋体"/>
          <w:i w:val="0"/>
          <w:caps w:val="0"/>
          <w:color w:val="000000"/>
          <w:spacing w:val="0"/>
          <w:kern w:val="0"/>
          <w:sz w:val="21"/>
          <w:szCs w:val="21"/>
          <w:bdr w:val="none" w:color="auto" w:sz="0" w:space="0"/>
          <w:lang w:val="en-US" w:eastAsia="zh-CN" w:bidi="ar"/>
        </w:rPr>
        <w:t>）；住宅建筑面积</w:t>
      </w:r>
      <w:r>
        <w:rPr>
          <w:rFonts w:hint="default" w:ascii="Calibri" w:hAnsi="Calibri" w:eastAsia="宋体" w:cs="Calibri"/>
          <w:i w:val="0"/>
          <w:caps w:val="0"/>
          <w:color w:val="000000"/>
          <w:spacing w:val="0"/>
          <w:kern w:val="0"/>
          <w:sz w:val="21"/>
          <w:szCs w:val="21"/>
          <w:bdr w:val="none" w:color="auto" w:sz="0" w:space="0"/>
          <w:lang w:val="en-US" w:eastAsia="zh-CN" w:bidi="ar"/>
        </w:rPr>
        <w:t>100</w:t>
      </w:r>
      <w:r>
        <w:rPr>
          <w:rFonts w:hint="eastAsia" w:ascii="宋体" w:hAnsi="宋体" w:eastAsia="宋体" w:cs="宋体"/>
          <w:i w:val="0"/>
          <w:caps w:val="0"/>
          <w:color w:val="000000"/>
          <w:spacing w:val="0"/>
          <w:kern w:val="0"/>
          <w:sz w:val="21"/>
          <w:szCs w:val="21"/>
          <w:bdr w:val="none" w:color="auto" w:sz="0" w:space="0"/>
          <w:lang w:val="en-US" w:eastAsia="zh-CN" w:bidi="ar"/>
        </w:rPr>
        <w:t>万平方米以上（含</w:t>
      </w:r>
      <w:r>
        <w:rPr>
          <w:rFonts w:hint="default" w:ascii="Calibri" w:hAnsi="Calibri" w:eastAsia="宋体" w:cs="Calibri"/>
          <w:i w:val="0"/>
          <w:caps w:val="0"/>
          <w:color w:val="000000"/>
          <w:spacing w:val="0"/>
          <w:kern w:val="0"/>
          <w:sz w:val="21"/>
          <w:szCs w:val="21"/>
          <w:bdr w:val="none" w:color="auto" w:sz="0" w:space="0"/>
          <w:lang w:val="en-US" w:eastAsia="zh-CN" w:bidi="ar"/>
        </w:rPr>
        <w:t>100</w:t>
      </w:r>
      <w:r>
        <w:rPr>
          <w:rFonts w:hint="eastAsia" w:ascii="宋体" w:hAnsi="宋体" w:eastAsia="宋体" w:cs="宋体"/>
          <w:i w:val="0"/>
          <w:caps w:val="0"/>
          <w:color w:val="000000"/>
          <w:spacing w:val="0"/>
          <w:kern w:val="0"/>
          <w:sz w:val="21"/>
          <w:szCs w:val="21"/>
          <w:bdr w:val="none" w:color="auto" w:sz="0" w:space="0"/>
          <w:lang w:val="en-US" w:eastAsia="zh-CN" w:bidi="ar"/>
        </w:rPr>
        <w:t>万平方米）或居住区户数</w:t>
      </w:r>
      <w:r>
        <w:rPr>
          <w:rFonts w:hint="default" w:ascii="Calibri" w:hAnsi="Calibri" w:eastAsia="宋体" w:cs="Calibri"/>
          <w:i w:val="0"/>
          <w:caps w:val="0"/>
          <w:color w:val="000000"/>
          <w:spacing w:val="0"/>
          <w:kern w:val="0"/>
          <w:sz w:val="21"/>
          <w:szCs w:val="21"/>
          <w:bdr w:val="none" w:color="auto" w:sz="0" w:space="0"/>
          <w:lang w:val="en-US" w:eastAsia="zh-CN" w:bidi="ar"/>
        </w:rPr>
        <w:t>9000</w:t>
      </w:r>
      <w:r>
        <w:rPr>
          <w:rFonts w:hint="eastAsia" w:ascii="宋体" w:hAnsi="宋体" w:eastAsia="宋体" w:cs="宋体"/>
          <w:i w:val="0"/>
          <w:caps w:val="0"/>
          <w:color w:val="000000"/>
          <w:spacing w:val="0"/>
          <w:kern w:val="0"/>
          <w:sz w:val="21"/>
          <w:szCs w:val="21"/>
          <w:bdr w:val="none" w:color="auto" w:sz="0" w:space="0"/>
          <w:lang w:val="en-US" w:eastAsia="zh-CN" w:bidi="ar"/>
        </w:rPr>
        <w:t>户以上的，除按标准配建幼儿园、小学外，还应当配建中学。房地产开发项目幼儿园具体配建标准按照自治区住建厅《关于加强城镇小区配套幼儿园建设管理工作的通知》（新城幼治〔</w:t>
      </w:r>
      <w:r>
        <w:rPr>
          <w:rFonts w:hint="default" w:ascii="Calibri" w:hAnsi="Calibri" w:eastAsia="宋体" w:cs="Calibri"/>
          <w:i w:val="0"/>
          <w:caps w:val="0"/>
          <w:color w:val="000000"/>
          <w:spacing w:val="0"/>
          <w:kern w:val="0"/>
          <w:sz w:val="21"/>
          <w:szCs w:val="21"/>
          <w:bdr w:val="none" w:color="auto" w:sz="0" w:space="0"/>
          <w:lang w:val="en-US" w:eastAsia="zh-CN" w:bidi="ar"/>
        </w:rPr>
        <w:t>2020</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default" w:ascii="Calibri" w:hAnsi="Calibri" w:eastAsia="宋体" w:cs="Calibri"/>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2.房地产开发项目应当全额缴纳城市基础设施配套费，原则上不得减免（依法依规特殊政策减免除外）；出让地块达不到配建规模或者周边已配套建设中小学的项目，经县市人民政府同意，可以不配套建设幼儿园、中小学但需缴纳相关费用；已按标准配建学校的项目，经验收合格后可返还该项目城市基础设施配套费用于教育设施建设的费用；以出让方式取得配建学校土地的学校用地可以参与开发项目指标平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3.教育部门应当参与房地产开发项目配建教育设施的规划、建设和验收。教育设施经验收合格后，开发企业应当将产权无偿移交给当地教育部门。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（二）停车位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新城区房地产开发项目机动车停车位按照每100平方米建筑面积不少于</w:t>
      </w:r>
      <w:r>
        <w:rPr>
          <w:rFonts w:hint="default" w:ascii="Calibri" w:hAnsi="Calibri" w:eastAsia="宋体" w:cs="Calibri"/>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个设置，老城区房地产开发项目机动车停车位按照每</w:t>
      </w:r>
      <w:r>
        <w:rPr>
          <w:rFonts w:hint="default" w:ascii="Calibri" w:hAnsi="Calibri" w:eastAsia="宋体" w:cs="Calibri"/>
          <w:i w:val="0"/>
          <w:caps w:val="0"/>
          <w:color w:val="000000"/>
          <w:spacing w:val="0"/>
          <w:kern w:val="0"/>
          <w:sz w:val="21"/>
          <w:szCs w:val="21"/>
          <w:bdr w:val="none" w:color="auto" w:sz="0" w:space="0"/>
          <w:lang w:val="en-US" w:eastAsia="zh-CN" w:bidi="ar"/>
        </w:rPr>
        <w:t>100</w:t>
      </w:r>
      <w:r>
        <w:rPr>
          <w:rFonts w:hint="eastAsia" w:ascii="宋体" w:hAnsi="宋体" w:eastAsia="宋体" w:cs="宋体"/>
          <w:i w:val="0"/>
          <w:caps w:val="0"/>
          <w:color w:val="000000"/>
          <w:spacing w:val="0"/>
          <w:kern w:val="0"/>
          <w:sz w:val="21"/>
          <w:szCs w:val="21"/>
          <w:bdr w:val="none" w:color="auto" w:sz="0" w:space="0"/>
          <w:lang w:val="en-US" w:eastAsia="zh-CN" w:bidi="ar"/>
        </w:rPr>
        <w:t>平方米建筑面积不少于</w:t>
      </w:r>
      <w:r>
        <w:rPr>
          <w:rFonts w:hint="default" w:ascii="Calibri" w:hAnsi="Calibri" w:eastAsia="宋体" w:cs="Calibri"/>
          <w:i w:val="0"/>
          <w:caps w:val="0"/>
          <w:color w:val="000000"/>
          <w:spacing w:val="0"/>
          <w:kern w:val="0"/>
          <w:sz w:val="21"/>
          <w:szCs w:val="21"/>
          <w:bdr w:val="none" w:color="auto" w:sz="0" w:space="0"/>
          <w:lang w:val="en-US" w:eastAsia="zh-CN" w:bidi="ar"/>
        </w:rPr>
        <w:t>1.2</w:t>
      </w:r>
      <w:r>
        <w:rPr>
          <w:rFonts w:hint="eastAsia" w:ascii="宋体" w:hAnsi="宋体" w:eastAsia="宋体" w:cs="宋体"/>
          <w:i w:val="0"/>
          <w:caps w:val="0"/>
          <w:color w:val="000000"/>
          <w:spacing w:val="0"/>
          <w:kern w:val="0"/>
          <w:sz w:val="21"/>
          <w:szCs w:val="21"/>
          <w:bdr w:val="none" w:color="auto" w:sz="0" w:space="0"/>
          <w:lang w:val="en-US" w:eastAsia="zh-CN" w:bidi="ar"/>
        </w:rPr>
        <w:t>个设置，非机动车停车位按照每</w:t>
      </w:r>
      <w:r>
        <w:rPr>
          <w:rFonts w:hint="default" w:ascii="Calibri" w:hAnsi="Calibri" w:eastAsia="宋体" w:cs="Calibri"/>
          <w:i w:val="0"/>
          <w:caps w:val="0"/>
          <w:color w:val="000000"/>
          <w:spacing w:val="0"/>
          <w:kern w:val="0"/>
          <w:sz w:val="21"/>
          <w:szCs w:val="21"/>
          <w:bdr w:val="none" w:color="auto" w:sz="0" w:space="0"/>
          <w:lang w:val="en-US" w:eastAsia="zh-CN" w:bidi="ar"/>
        </w:rPr>
        <w:t>100</w:t>
      </w:r>
      <w:r>
        <w:rPr>
          <w:rFonts w:hint="eastAsia" w:ascii="宋体" w:hAnsi="宋体" w:eastAsia="宋体" w:cs="宋体"/>
          <w:i w:val="0"/>
          <w:caps w:val="0"/>
          <w:color w:val="000000"/>
          <w:spacing w:val="0"/>
          <w:kern w:val="0"/>
          <w:sz w:val="21"/>
          <w:szCs w:val="21"/>
          <w:bdr w:val="none" w:color="auto" w:sz="0" w:space="0"/>
          <w:lang w:val="en-US" w:eastAsia="zh-CN" w:bidi="ar"/>
        </w:rPr>
        <w:t>平方米建筑面积</w:t>
      </w:r>
      <w:r>
        <w:rPr>
          <w:rFonts w:hint="default" w:ascii="Calibri" w:hAnsi="Calibri" w:eastAsia="宋体" w:cs="Calibri"/>
          <w:i w:val="0"/>
          <w:caps w:val="0"/>
          <w:color w:val="000000"/>
          <w:spacing w:val="0"/>
          <w:kern w:val="0"/>
          <w:sz w:val="21"/>
          <w:szCs w:val="21"/>
          <w:bdr w:val="none" w:color="auto" w:sz="0" w:space="0"/>
          <w:lang w:val="en-US" w:eastAsia="zh-CN" w:bidi="ar"/>
        </w:rPr>
        <w:t>0.4</w:t>
      </w:r>
      <w:r>
        <w:rPr>
          <w:rFonts w:hint="eastAsia" w:ascii="宋体" w:hAnsi="宋体" w:eastAsia="宋体" w:cs="宋体"/>
          <w:i w:val="0"/>
          <w:caps w:val="0"/>
          <w:color w:val="000000"/>
          <w:spacing w:val="0"/>
          <w:kern w:val="0"/>
          <w:sz w:val="21"/>
          <w:szCs w:val="21"/>
          <w:bdr w:val="none" w:color="auto" w:sz="0" w:space="0"/>
          <w:lang w:val="en-US" w:eastAsia="zh-CN" w:bidi="ar"/>
        </w:rPr>
        <w:t>个设置。新建住宅配建停车位应当</w:t>
      </w:r>
      <w:r>
        <w:rPr>
          <w:rFonts w:hint="default" w:ascii="Calibri" w:hAnsi="Calibri" w:eastAsia="宋体" w:cs="Calibri"/>
          <w:i w:val="0"/>
          <w:caps w:val="0"/>
          <w:color w:val="000000"/>
          <w:spacing w:val="0"/>
          <w:kern w:val="0"/>
          <w:sz w:val="21"/>
          <w:szCs w:val="21"/>
          <w:bdr w:val="none" w:color="auto" w:sz="0" w:space="0"/>
          <w:lang w:val="en-US" w:eastAsia="zh-CN" w:bidi="ar"/>
        </w:rPr>
        <w:t>100%</w:t>
      </w:r>
      <w:r>
        <w:rPr>
          <w:rFonts w:hint="eastAsia" w:ascii="宋体" w:hAnsi="宋体" w:eastAsia="宋体" w:cs="宋体"/>
          <w:i w:val="0"/>
          <w:caps w:val="0"/>
          <w:color w:val="000000"/>
          <w:spacing w:val="0"/>
          <w:kern w:val="0"/>
          <w:sz w:val="21"/>
          <w:szCs w:val="21"/>
          <w:bdr w:val="none" w:color="auto" w:sz="0" w:space="0"/>
          <w:lang w:val="en-US" w:eastAsia="zh-CN" w:bidi="ar"/>
        </w:rPr>
        <w:t>建设电动车、电动汽车充电基础设施或者预留建设安装条件。配套商业的居住小区，其住宅、商业建筑的停车场须独立设置相应出入口。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（三）公共文体设施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1.公共文体设施按照室内建筑面积不低于住宅建筑面积的</w:t>
      </w:r>
      <w:r>
        <w:rPr>
          <w:rFonts w:hint="default" w:ascii="Calibri" w:hAnsi="Calibri" w:eastAsia="宋体" w:cs="Calibri"/>
          <w:i w:val="0"/>
          <w:caps w:val="0"/>
          <w:color w:val="000000"/>
          <w:spacing w:val="0"/>
          <w:kern w:val="0"/>
          <w:sz w:val="21"/>
          <w:szCs w:val="21"/>
          <w:bdr w:val="none" w:color="auto" w:sz="0" w:space="0"/>
          <w:lang w:val="en-US" w:eastAsia="zh-CN" w:bidi="ar"/>
        </w:rPr>
        <w:t>0.35%</w:t>
      </w:r>
      <w:r>
        <w:rPr>
          <w:rFonts w:hint="eastAsia" w:ascii="宋体" w:hAnsi="宋体" w:eastAsia="宋体" w:cs="宋体"/>
          <w:i w:val="0"/>
          <w:caps w:val="0"/>
          <w:color w:val="000000"/>
          <w:spacing w:val="0"/>
          <w:kern w:val="0"/>
          <w:sz w:val="21"/>
          <w:szCs w:val="21"/>
          <w:bdr w:val="none" w:color="auto" w:sz="0" w:space="0"/>
          <w:lang w:val="en-US" w:eastAsia="zh-CN" w:bidi="ar"/>
        </w:rPr>
        <w:t>和室外用地不低于住宅建筑面积的</w:t>
      </w:r>
      <w:r>
        <w:rPr>
          <w:rFonts w:hint="default" w:ascii="Calibri" w:hAnsi="Calibri" w:eastAsia="宋体" w:cs="Calibri"/>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标准配建。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2.改建、扩建、重建居民住宅小区应当坚持原有公共文体设施先建后拆或者同建同拆，且不得少于原有面积。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3.公共文体设施应当布局在方便、安全、对生活休息干扰小的地段，宜结合健身广场、文化活动中心设置，形成社区文体综合服务中心，鼓励在社区文体综合服务中心设置小型的图书室、阅览室、艺术馆、博物馆等，积极营造旅游文化的特色氛围；体育设施也可与绿地结合设置</w:t>
      </w:r>
      <w:r>
        <w:rPr>
          <w:rFonts w:hint="default" w:ascii="Calibri" w:hAnsi="Calibri" w:eastAsia="宋体" w:cs="Calibri"/>
          <w:i w:val="0"/>
          <w:caps w:val="0"/>
          <w:color w:val="000000"/>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其用地可以作为绿地率计算，在不影响景观条件下，植草足球场按</w:t>
      </w:r>
      <w:r>
        <w:rPr>
          <w:rFonts w:hint="default" w:ascii="Calibri" w:hAnsi="Calibri" w:eastAsia="宋体" w:cs="Calibri"/>
          <w:i w:val="0"/>
          <w:caps w:val="0"/>
          <w:color w:val="000000"/>
          <w:spacing w:val="0"/>
          <w:kern w:val="0"/>
          <w:sz w:val="21"/>
          <w:szCs w:val="21"/>
          <w:bdr w:val="none" w:color="auto" w:sz="0" w:space="0"/>
          <w:lang w:val="en-US" w:eastAsia="zh-CN" w:bidi="ar"/>
        </w:rPr>
        <w:t>100%</w:t>
      </w:r>
      <w:r>
        <w:rPr>
          <w:rFonts w:hint="eastAsia" w:ascii="宋体" w:hAnsi="宋体" w:eastAsia="宋体" w:cs="宋体"/>
          <w:i w:val="0"/>
          <w:caps w:val="0"/>
          <w:color w:val="000000"/>
          <w:spacing w:val="0"/>
          <w:kern w:val="0"/>
          <w:sz w:val="21"/>
          <w:szCs w:val="21"/>
          <w:bdr w:val="none" w:color="auto" w:sz="0" w:space="0"/>
          <w:lang w:val="en-US" w:eastAsia="zh-CN" w:bidi="ar"/>
        </w:rPr>
        <w:t>计入绿地面积；游泳池、篮球场、排球场、网球场、羽毛球场等室外硬质体育场地计入绿地率的面积应控制在小区总绿地面积</w:t>
      </w:r>
      <w:r>
        <w:rPr>
          <w:rFonts w:hint="default" w:ascii="Calibri" w:hAnsi="Calibri" w:eastAsia="宋体" w:cs="Calibri"/>
          <w:i w:val="0"/>
          <w:caps w:val="0"/>
          <w:color w:val="000000"/>
          <w:spacing w:val="0"/>
          <w:kern w:val="0"/>
          <w:sz w:val="21"/>
          <w:szCs w:val="21"/>
          <w:bdr w:val="none" w:color="auto" w:sz="0" w:space="0"/>
          <w:lang w:val="en-US" w:eastAsia="zh-CN" w:bidi="ar"/>
        </w:rPr>
        <w:t>10%</w:t>
      </w:r>
      <w:r>
        <w:rPr>
          <w:rFonts w:hint="eastAsia" w:ascii="宋体" w:hAnsi="宋体" w:eastAsia="宋体" w:cs="宋体"/>
          <w:i w:val="0"/>
          <w:caps w:val="0"/>
          <w:color w:val="000000"/>
          <w:spacing w:val="0"/>
          <w:kern w:val="0"/>
          <w:sz w:val="21"/>
          <w:szCs w:val="21"/>
          <w:bdr w:val="none" w:color="auto" w:sz="0" w:space="0"/>
          <w:lang w:val="en-US" w:eastAsia="zh-CN" w:bidi="ar"/>
        </w:rPr>
        <w:t>以内；公共文体设施室内部分产权归开发企业所有，室外部分产权归业主共同所有，经验收合格后，统一无偿交由小区业主委员会管理。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（四）环卫设施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1.房地产开发项目建筑面积</w:t>
      </w:r>
      <w:r>
        <w:rPr>
          <w:rFonts w:hint="default" w:ascii="Calibri" w:hAnsi="Calibri" w:eastAsia="宋体" w:cs="Calibri"/>
          <w:i w:val="0"/>
          <w:caps w:val="0"/>
          <w:color w:val="000000"/>
          <w:spacing w:val="0"/>
          <w:kern w:val="0"/>
          <w:sz w:val="21"/>
          <w:szCs w:val="21"/>
          <w:bdr w:val="none" w:color="auto" w:sz="0" w:space="0"/>
          <w:lang w:val="en-US" w:eastAsia="zh-CN" w:bidi="ar"/>
        </w:rPr>
        <w:t>12</w:t>
      </w:r>
      <w:r>
        <w:rPr>
          <w:rFonts w:hint="eastAsia" w:ascii="宋体" w:hAnsi="宋体" w:eastAsia="宋体" w:cs="宋体"/>
          <w:i w:val="0"/>
          <w:caps w:val="0"/>
          <w:color w:val="000000"/>
          <w:spacing w:val="0"/>
          <w:kern w:val="0"/>
          <w:sz w:val="21"/>
          <w:szCs w:val="21"/>
          <w:bdr w:val="none" w:color="auto" w:sz="0" w:space="0"/>
          <w:lang w:val="en-US" w:eastAsia="zh-CN" w:bidi="ar"/>
        </w:rPr>
        <w:t>万平方米以上的至少应当设置一处建筑面积不少于</w:t>
      </w:r>
      <w:r>
        <w:rPr>
          <w:rFonts w:hint="default" w:ascii="Calibri" w:hAnsi="Calibri" w:eastAsia="宋体" w:cs="Calibri"/>
          <w:i w:val="0"/>
          <w:caps w:val="0"/>
          <w:color w:val="000000"/>
          <w:spacing w:val="0"/>
          <w:kern w:val="0"/>
          <w:sz w:val="21"/>
          <w:szCs w:val="21"/>
          <w:bdr w:val="none" w:color="auto" w:sz="0" w:space="0"/>
          <w:lang w:val="en-US" w:eastAsia="zh-CN" w:bidi="ar"/>
        </w:rPr>
        <w:t>120</w:t>
      </w:r>
      <w:r>
        <w:rPr>
          <w:rFonts w:hint="eastAsia" w:ascii="宋体" w:hAnsi="宋体" w:eastAsia="宋体" w:cs="宋体"/>
          <w:i w:val="0"/>
          <w:caps w:val="0"/>
          <w:color w:val="000000"/>
          <w:spacing w:val="0"/>
          <w:kern w:val="0"/>
          <w:sz w:val="21"/>
          <w:szCs w:val="21"/>
          <w:bdr w:val="none" w:color="auto" w:sz="0" w:space="0"/>
          <w:lang w:val="en-US" w:eastAsia="zh-CN" w:bidi="ar"/>
        </w:rPr>
        <w:t>平方米的垃圾收集站、一处不少于</w:t>
      </w:r>
      <w:r>
        <w:rPr>
          <w:rFonts w:hint="default" w:ascii="Calibri" w:hAnsi="Calibri" w:eastAsia="宋体" w:cs="Calibri"/>
          <w:i w:val="0"/>
          <w:caps w:val="0"/>
          <w:color w:val="000000"/>
          <w:spacing w:val="0"/>
          <w:kern w:val="0"/>
          <w:sz w:val="21"/>
          <w:szCs w:val="21"/>
          <w:bdr w:val="none" w:color="auto" w:sz="0" w:space="0"/>
          <w:lang w:val="en-US" w:eastAsia="zh-CN" w:bidi="ar"/>
        </w:rPr>
        <w:t>80</w:t>
      </w:r>
      <w:r>
        <w:rPr>
          <w:rFonts w:hint="eastAsia" w:ascii="宋体" w:hAnsi="宋体" w:eastAsia="宋体" w:cs="宋体"/>
          <w:i w:val="0"/>
          <w:caps w:val="0"/>
          <w:color w:val="000000"/>
          <w:spacing w:val="0"/>
          <w:kern w:val="0"/>
          <w:sz w:val="21"/>
          <w:szCs w:val="21"/>
          <w:bdr w:val="none" w:color="auto" w:sz="0" w:space="0"/>
          <w:lang w:val="en-US" w:eastAsia="zh-CN" w:bidi="ar"/>
        </w:rPr>
        <w:t>平方米的公厕（含管理用房，下同），垃圾收集站、公厕联建时每处不少于</w:t>
      </w:r>
      <w:r>
        <w:rPr>
          <w:rFonts w:hint="default" w:ascii="Calibri" w:hAnsi="Calibri" w:eastAsia="宋体" w:cs="Calibri"/>
          <w:i w:val="0"/>
          <w:caps w:val="0"/>
          <w:color w:val="000000"/>
          <w:spacing w:val="0"/>
          <w:kern w:val="0"/>
          <w:sz w:val="21"/>
          <w:szCs w:val="21"/>
          <w:bdr w:val="none" w:color="auto" w:sz="0" w:space="0"/>
          <w:lang w:val="en-US" w:eastAsia="zh-CN" w:bidi="ar"/>
        </w:rPr>
        <w:t>200</w:t>
      </w:r>
      <w:r>
        <w:rPr>
          <w:rFonts w:hint="eastAsia" w:ascii="宋体" w:hAnsi="宋体" w:eastAsia="宋体" w:cs="宋体"/>
          <w:i w:val="0"/>
          <w:caps w:val="0"/>
          <w:color w:val="000000"/>
          <w:spacing w:val="0"/>
          <w:kern w:val="0"/>
          <w:sz w:val="21"/>
          <w:szCs w:val="21"/>
          <w:bdr w:val="none" w:color="auto" w:sz="0" w:space="0"/>
          <w:lang w:val="en-US" w:eastAsia="zh-CN" w:bidi="ar"/>
        </w:rPr>
        <w:t>平方米；</w:t>
      </w:r>
      <w:r>
        <w:rPr>
          <w:rFonts w:hint="default" w:ascii="Calibri" w:hAnsi="Calibri" w:eastAsia="宋体" w:cs="Calibri"/>
          <w:i w:val="0"/>
          <w:caps w:val="0"/>
          <w:color w:val="000000"/>
          <w:spacing w:val="0"/>
          <w:kern w:val="0"/>
          <w:sz w:val="21"/>
          <w:szCs w:val="21"/>
          <w:bdr w:val="none" w:color="auto" w:sz="0" w:space="0"/>
          <w:lang w:val="en-US" w:eastAsia="zh-CN" w:bidi="ar"/>
        </w:rPr>
        <w:t>10</w:t>
      </w:r>
      <w:r>
        <w:rPr>
          <w:rFonts w:hint="eastAsia" w:ascii="宋体" w:hAnsi="宋体" w:eastAsia="宋体" w:cs="宋体"/>
          <w:i w:val="0"/>
          <w:caps w:val="0"/>
          <w:color w:val="000000"/>
          <w:spacing w:val="0"/>
          <w:kern w:val="0"/>
          <w:sz w:val="21"/>
          <w:szCs w:val="21"/>
          <w:bdr w:val="none" w:color="auto" w:sz="0" w:space="0"/>
          <w:lang w:val="en-US" w:eastAsia="zh-CN" w:bidi="ar"/>
        </w:rPr>
        <w:t>万平方米以下的也必须配建垃圾收集站和公厕，面积不做硬性要求。建筑面积超过</w:t>
      </w:r>
      <w:r>
        <w:rPr>
          <w:rFonts w:hint="default" w:ascii="Calibri" w:hAnsi="Calibri" w:eastAsia="宋体" w:cs="Calibri"/>
          <w:i w:val="0"/>
          <w:caps w:val="0"/>
          <w:color w:val="000000"/>
          <w:spacing w:val="0"/>
          <w:kern w:val="0"/>
          <w:sz w:val="21"/>
          <w:szCs w:val="21"/>
          <w:bdr w:val="none" w:color="auto" w:sz="0" w:space="0"/>
          <w:lang w:val="en-US" w:eastAsia="zh-CN" w:bidi="ar"/>
        </w:rPr>
        <w:t>20</w:t>
      </w:r>
      <w:r>
        <w:rPr>
          <w:rFonts w:hint="eastAsia" w:ascii="宋体" w:hAnsi="宋体" w:eastAsia="宋体" w:cs="宋体"/>
          <w:i w:val="0"/>
          <w:caps w:val="0"/>
          <w:color w:val="000000"/>
          <w:spacing w:val="0"/>
          <w:kern w:val="0"/>
          <w:sz w:val="21"/>
          <w:szCs w:val="21"/>
          <w:bdr w:val="none" w:color="auto" w:sz="0" w:space="0"/>
          <w:lang w:val="en-US" w:eastAsia="zh-CN" w:bidi="ar"/>
        </w:rPr>
        <w:t>万平方米的，根据实际需要，还应当增设垃圾收集站与公厕，按照采用人力收集的，服务半径宜为</w:t>
      </w:r>
      <w:r>
        <w:rPr>
          <w:rFonts w:hint="default" w:ascii="Calibri" w:hAnsi="Calibri" w:eastAsia="宋体" w:cs="Calibri"/>
          <w:i w:val="0"/>
          <w:caps w:val="0"/>
          <w:color w:val="000000"/>
          <w:spacing w:val="0"/>
          <w:kern w:val="0"/>
          <w:sz w:val="21"/>
          <w:szCs w:val="21"/>
          <w:bdr w:val="none" w:color="auto" w:sz="0" w:space="0"/>
          <w:lang w:val="en-US" w:eastAsia="zh-CN" w:bidi="ar"/>
        </w:rPr>
        <w:t>300m</w:t>
      </w:r>
      <w:r>
        <w:rPr>
          <w:rFonts w:hint="eastAsia" w:ascii="宋体" w:hAnsi="宋体" w:eastAsia="宋体" w:cs="宋体"/>
          <w:i w:val="0"/>
          <w:caps w:val="0"/>
          <w:color w:val="000000"/>
          <w:spacing w:val="0"/>
          <w:kern w:val="0"/>
          <w:sz w:val="21"/>
          <w:szCs w:val="21"/>
          <w:bdr w:val="none" w:color="auto" w:sz="0" w:space="0"/>
          <w:lang w:val="en-US" w:eastAsia="zh-CN" w:bidi="ar"/>
        </w:rPr>
        <w:t>，最大不宜超过</w:t>
      </w:r>
      <w:r>
        <w:rPr>
          <w:rFonts w:hint="default" w:ascii="Calibri" w:hAnsi="Calibri" w:eastAsia="宋体" w:cs="Calibri"/>
          <w:i w:val="0"/>
          <w:caps w:val="0"/>
          <w:color w:val="000000"/>
          <w:spacing w:val="0"/>
          <w:kern w:val="0"/>
          <w:sz w:val="21"/>
          <w:szCs w:val="21"/>
          <w:bdr w:val="none" w:color="auto" w:sz="0" w:space="0"/>
          <w:lang w:val="en-US" w:eastAsia="zh-CN" w:bidi="ar"/>
        </w:rPr>
        <w:t>600m</w:t>
      </w:r>
      <w:r>
        <w:rPr>
          <w:rFonts w:hint="eastAsia" w:ascii="宋体" w:hAnsi="宋体" w:eastAsia="宋体" w:cs="宋体"/>
          <w:i w:val="0"/>
          <w:caps w:val="0"/>
          <w:color w:val="000000"/>
          <w:spacing w:val="0"/>
          <w:kern w:val="0"/>
          <w:sz w:val="21"/>
          <w:szCs w:val="21"/>
          <w:bdr w:val="none" w:color="auto" w:sz="0" w:space="0"/>
          <w:lang w:val="en-US" w:eastAsia="zh-CN" w:bidi="ar"/>
        </w:rPr>
        <w:t>；采用小型机动车收集的，服务半径不宜超过</w:t>
      </w:r>
      <w:r>
        <w:rPr>
          <w:rFonts w:hint="default" w:ascii="Calibri" w:hAnsi="Calibri" w:eastAsia="宋体" w:cs="Calibri"/>
          <w:i w:val="0"/>
          <w:caps w:val="0"/>
          <w:color w:val="000000"/>
          <w:spacing w:val="0"/>
          <w:kern w:val="0"/>
          <w:sz w:val="21"/>
          <w:szCs w:val="21"/>
          <w:bdr w:val="none" w:color="auto" w:sz="0" w:space="0"/>
          <w:lang w:val="en-US" w:eastAsia="zh-CN" w:bidi="ar"/>
        </w:rPr>
        <w:t>1km</w:t>
      </w:r>
      <w:r>
        <w:rPr>
          <w:rFonts w:hint="eastAsia" w:ascii="宋体" w:hAnsi="宋体" w:eastAsia="宋体" w:cs="宋体"/>
          <w:i w:val="0"/>
          <w:caps w:val="0"/>
          <w:color w:val="000000"/>
          <w:spacing w:val="0"/>
          <w:kern w:val="0"/>
          <w:sz w:val="21"/>
          <w:szCs w:val="21"/>
          <w:bdr w:val="none" w:color="auto" w:sz="0" w:space="0"/>
          <w:lang w:val="en-US" w:eastAsia="zh-CN" w:bidi="ar"/>
        </w:rPr>
        <w:t>的原则，具体位置数量在规划方案审查时予以确定。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2.垃圾收集站与公厕宜共同设置，应当在小区内独立用地且设置在交通便利、方便垃圾收运车辆出入的地段，并对外开放；垃圾收集站、公厕建成后，对外开放使用的，经验收合格后，开发企业应当无偿交由环卫部门管理，其它的应当无偿交由小区业主委员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3.城管部门应当参与居住小区配建垃圾收集点、垃圾收集站和公厕的竣工验收。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（五）社区服务用房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1.新建住宅开发项目地上建筑面积</w:t>
      </w:r>
      <w:r>
        <w:rPr>
          <w:rFonts w:hint="default" w:ascii="Calibri" w:hAnsi="Calibri" w:eastAsia="宋体" w:cs="Calibri"/>
          <w:i w:val="0"/>
          <w:caps w:val="0"/>
          <w:color w:val="000000"/>
          <w:spacing w:val="0"/>
          <w:kern w:val="0"/>
          <w:sz w:val="21"/>
          <w:szCs w:val="21"/>
          <w:bdr w:val="none" w:color="auto" w:sz="0" w:space="0"/>
          <w:lang w:val="en-US" w:eastAsia="zh-CN" w:bidi="ar"/>
        </w:rPr>
        <w:t>12</w:t>
      </w:r>
      <w:r>
        <w:rPr>
          <w:rFonts w:hint="eastAsia" w:ascii="宋体" w:hAnsi="宋体" w:eastAsia="宋体" w:cs="宋体"/>
          <w:i w:val="0"/>
          <w:caps w:val="0"/>
          <w:color w:val="000000"/>
          <w:spacing w:val="0"/>
          <w:kern w:val="0"/>
          <w:sz w:val="21"/>
          <w:szCs w:val="21"/>
          <w:bdr w:val="none" w:color="auto" w:sz="0" w:space="0"/>
          <w:lang w:val="en-US" w:eastAsia="zh-CN" w:bidi="ar"/>
        </w:rPr>
        <w:t>万平方米以上或</w:t>
      </w:r>
      <w:r>
        <w:rPr>
          <w:rFonts w:hint="default" w:ascii="Calibri" w:hAnsi="Calibri" w:eastAsia="宋体" w:cs="Calibri"/>
          <w:i w:val="0"/>
          <w:caps w:val="0"/>
          <w:color w:val="000000"/>
          <w:spacing w:val="0"/>
          <w:kern w:val="0"/>
          <w:sz w:val="21"/>
          <w:szCs w:val="21"/>
          <w:bdr w:val="none" w:color="auto" w:sz="0" w:space="0"/>
          <w:lang w:val="en-US" w:eastAsia="zh-CN" w:bidi="ar"/>
        </w:rPr>
        <w:t>1000</w:t>
      </w:r>
      <w:r>
        <w:rPr>
          <w:rFonts w:hint="eastAsia" w:ascii="宋体" w:hAnsi="宋体" w:eastAsia="宋体" w:cs="宋体"/>
          <w:i w:val="0"/>
          <w:caps w:val="0"/>
          <w:color w:val="000000"/>
          <w:spacing w:val="0"/>
          <w:kern w:val="0"/>
          <w:sz w:val="21"/>
          <w:szCs w:val="21"/>
          <w:bdr w:val="none" w:color="auto" w:sz="0" w:space="0"/>
          <w:lang w:val="en-US" w:eastAsia="zh-CN" w:bidi="ar"/>
        </w:rPr>
        <w:t>户以上的，需配建社区办公与服务用房，包括社区居委会办公用房（社区管理服务站）、文化活动室、居家养老服务站、社区卫生服务站、警务室等设施，其建筑面积老城区不小于</w:t>
      </w:r>
      <w:r>
        <w:rPr>
          <w:rFonts w:hint="default" w:ascii="Calibri" w:hAnsi="Calibri" w:eastAsia="宋体" w:cs="Calibri"/>
          <w:i w:val="0"/>
          <w:caps w:val="0"/>
          <w:color w:val="000000"/>
          <w:spacing w:val="0"/>
          <w:kern w:val="0"/>
          <w:sz w:val="21"/>
          <w:szCs w:val="21"/>
          <w:bdr w:val="none" w:color="auto" w:sz="0" w:space="0"/>
          <w:lang w:val="en-US" w:eastAsia="zh-CN" w:bidi="ar"/>
        </w:rPr>
        <w:t>1000</w:t>
      </w:r>
      <w:r>
        <w:rPr>
          <w:rFonts w:hint="eastAsia" w:ascii="宋体" w:hAnsi="宋体" w:eastAsia="宋体" w:cs="宋体"/>
          <w:i w:val="0"/>
          <w:caps w:val="0"/>
          <w:color w:val="000000"/>
          <w:spacing w:val="0"/>
          <w:kern w:val="0"/>
          <w:sz w:val="21"/>
          <w:szCs w:val="21"/>
          <w:bdr w:val="none" w:color="auto" w:sz="0" w:space="0"/>
          <w:lang w:val="en-US" w:eastAsia="zh-CN" w:bidi="ar"/>
        </w:rPr>
        <w:t>平方米，新城区不小于</w:t>
      </w:r>
      <w:r>
        <w:rPr>
          <w:rFonts w:hint="default" w:ascii="Calibri" w:hAnsi="Calibri" w:eastAsia="宋体" w:cs="Calibri"/>
          <w:i w:val="0"/>
          <w:caps w:val="0"/>
          <w:color w:val="000000"/>
          <w:spacing w:val="0"/>
          <w:kern w:val="0"/>
          <w:sz w:val="21"/>
          <w:szCs w:val="21"/>
          <w:bdr w:val="none" w:color="auto" w:sz="0" w:space="0"/>
          <w:lang w:val="en-US" w:eastAsia="zh-CN" w:bidi="ar"/>
        </w:rPr>
        <w:t>1400</w:t>
      </w:r>
      <w:r>
        <w:rPr>
          <w:rFonts w:hint="eastAsia" w:ascii="宋体" w:hAnsi="宋体" w:eastAsia="宋体" w:cs="宋体"/>
          <w:i w:val="0"/>
          <w:caps w:val="0"/>
          <w:color w:val="000000"/>
          <w:spacing w:val="0"/>
          <w:kern w:val="0"/>
          <w:sz w:val="21"/>
          <w:szCs w:val="21"/>
          <w:bdr w:val="none" w:color="auto" w:sz="0" w:space="0"/>
          <w:lang w:val="en-US" w:eastAsia="zh-CN" w:bidi="ar"/>
        </w:rPr>
        <w:t>平方米。其中，警务室面积不少于</w:t>
      </w:r>
      <w:r>
        <w:rPr>
          <w:rFonts w:hint="default" w:ascii="Calibri" w:hAnsi="Calibri" w:eastAsia="宋体" w:cs="Calibri"/>
          <w:i w:val="0"/>
          <w:caps w:val="0"/>
          <w:color w:val="000000"/>
          <w:spacing w:val="0"/>
          <w:kern w:val="0"/>
          <w:sz w:val="21"/>
          <w:szCs w:val="21"/>
          <w:bdr w:val="none" w:color="auto" w:sz="0" w:space="0"/>
          <w:lang w:val="en-US" w:eastAsia="zh-CN" w:bidi="ar"/>
        </w:rPr>
        <w:t>50</w:t>
      </w:r>
      <w:r>
        <w:rPr>
          <w:rFonts w:hint="eastAsia" w:ascii="宋体" w:hAnsi="宋体" w:eastAsia="宋体" w:cs="宋体"/>
          <w:i w:val="0"/>
          <w:caps w:val="0"/>
          <w:color w:val="000000"/>
          <w:spacing w:val="0"/>
          <w:kern w:val="0"/>
          <w:sz w:val="21"/>
          <w:szCs w:val="21"/>
          <w:bdr w:val="none" w:color="auto" w:sz="0" w:space="0"/>
          <w:lang w:val="en-US" w:eastAsia="zh-CN" w:bidi="ar"/>
        </w:rPr>
        <w:t>平方米（原则上应有独立的房间，有条件的，警务室内可分别设置民警办公室、辅助人员办公室、纠纷调解室、值班室和卫生间等功能用房）。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2.原则上一个社区控制在</w:t>
      </w:r>
      <w:r>
        <w:rPr>
          <w:rFonts w:hint="default" w:ascii="Calibri" w:hAnsi="Calibri" w:eastAsia="宋体" w:cs="Calibri"/>
          <w:i w:val="0"/>
          <w:caps w:val="0"/>
          <w:color w:val="000000"/>
          <w:spacing w:val="0"/>
          <w:kern w:val="0"/>
          <w:sz w:val="21"/>
          <w:szCs w:val="21"/>
          <w:bdr w:val="none" w:color="auto" w:sz="0" w:space="0"/>
          <w:lang w:val="en-US" w:eastAsia="zh-CN" w:bidi="ar"/>
        </w:rPr>
        <w:t>5000</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default" w:ascii="Calibri" w:hAnsi="Calibri" w:eastAsia="宋体" w:cs="Calibri"/>
          <w:i w:val="0"/>
          <w:caps w:val="0"/>
          <w:color w:val="000000"/>
          <w:spacing w:val="0"/>
          <w:kern w:val="0"/>
          <w:sz w:val="21"/>
          <w:szCs w:val="21"/>
          <w:bdr w:val="none" w:color="auto" w:sz="0" w:space="0"/>
          <w:lang w:val="en-US" w:eastAsia="zh-CN" w:bidi="ar"/>
        </w:rPr>
        <w:t>12000</w:t>
      </w:r>
      <w:r>
        <w:rPr>
          <w:rFonts w:hint="eastAsia" w:ascii="宋体" w:hAnsi="宋体" w:eastAsia="宋体" w:cs="宋体"/>
          <w:i w:val="0"/>
          <w:caps w:val="0"/>
          <w:color w:val="000000"/>
          <w:spacing w:val="0"/>
          <w:kern w:val="0"/>
          <w:sz w:val="21"/>
          <w:szCs w:val="21"/>
          <w:bdr w:val="none" w:color="auto" w:sz="0" w:space="0"/>
          <w:lang w:val="en-US" w:eastAsia="zh-CN" w:bidi="ar"/>
        </w:rPr>
        <w:t>人（</w:t>
      </w:r>
      <w:r>
        <w:rPr>
          <w:rFonts w:hint="default" w:ascii="Calibri" w:hAnsi="Calibri" w:eastAsia="宋体" w:cs="Calibri"/>
          <w:i w:val="0"/>
          <w:caps w:val="0"/>
          <w:color w:val="000000"/>
          <w:spacing w:val="0"/>
          <w:kern w:val="0"/>
          <w:sz w:val="21"/>
          <w:szCs w:val="21"/>
          <w:bdr w:val="none" w:color="auto" w:sz="0" w:space="0"/>
          <w:lang w:val="en-US" w:eastAsia="zh-CN" w:bidi="ar"/>
        </w:rPr>
        <w:t>1800</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default" w:ascii="Calibri" w:hAnsi="Calibri" w:eastAsia="宋体" w:cs="Calibri"/>
          <w:i w:val="0"/>
          <w:caps w:val="0"/>
          <w:color w:val="000000"/>
          <w:spacing w:val="0"/>
          <w:kern w:val="0"/>
          <w:sz w:val="21"/>
          <w:szCs w:val="21"/>
          <w:bdr w:val="none" w:color="auto" w:sz="0" w:space="0"/>
          <w:lang w:val="en-US" w:eastAsia="zh-CN" w:bidi="ar"/>
        </w:rPr>
        <w:t>4000</w:t>
      </w:r>
      <w:r>
        <w:rPr>
          <w:rFonts w:hint="eastAsia" w:ascii="宋体" w:hAnsi="宋体" w:eastAsia="宋体" w:cs="宋体"/>
          <w:i w:val="0"/>
          <w:caps w:val="0"/>
          <w:color w:val="000000"/>
          <w:spacing w:val="0"/>
          <w:kern w:val="0"/>
          <w:sz w:val="21"/>
          <w:szCs w:val="21"/>
          <w:bdr w:val="none" w:color="auto" w:sz="0" w:space="0"/>
          <w:lang w:val="en-US" w:eastAsia="zh-CN" w:bidi="ar"/>
        </w:rPr>
        <w:t>户），对于范围较大、人口较多的住宅开发项目，可结合实际情况分成多个社区，并按规定分别配建相应的社区办公与服务用房。对于范围较小、人口较少的住宅开发项目，可根据街道办事处的实际需求，配建社区居委会办公用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3.新建住宅开发项目配建的社区办公与服务用房，由街道办事处根据实际需求，除留足社区居委会办公用房外，其余统筹安排作为街道级或社区级文化、体育、养老、医疗卫生等公共服务设施，并报县市相关部门备案。配建的社区服务用房经验收合格后，开发企业将其产权无偿移交给街道办事处的，其社区服务用房建筑面积可不计容积率，不收取相关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4.以下用房不得作为社区办公与服务用房：设备用房、地下室、门卫用房、技术层、设备层、架空层、夹层、车库、公共卫生间等。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（六）物业管理用房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按照地上总建筑面积不少于2‰的比例配置，除老旧住宅区外，总面积不应少于</w:t>
      </w:r>
      <w:r>
        <w:rPr>
          <w:rFonts w:hint="default" w:ascii="Calibri" w:hAnsi="Calibri" w:eastAsia="宋体" w:cs="Calibri"/>
          <w:i w:val="0"/>
          <w:caps w:val="0"/>
          <w:color w:val="000000"/>
          <w:spacing w:val="0"/>
          <w:kern w:val="0"/>
          <w:sz w:val="21"/>
          <w:szCs w:val="21"/>
          <w:bdr w:val="none" w:color="auto" w:sz="0" w:space="0"/>
          <w:lang w:val="en-US" w:eastAsia="zh-CN" w:bidi="ar"/>
        </w:rPr>
        <w:t>300</w:t>
      </w:r>
      <w:r>
        <w:rPr>
          <w:rFonts w:hint="eastAsia" w:ascii="宋体" w:hAnsi="宋体" w:eastAsia="宋体" w:cs="宋体"/>
          <w:i w:val="0"/>
          <w:caps w:val="0"/>
          <w:color w:val="000000"/>
          <w:spacing w:val="0"/>
          <w:kern w:val="0"/>
          <w:sz w:val="21"/>
          <w:szCs w:val="21"/>
          <w:bdr w:val="none" w:color="auto" w:sz="0" w:space="0"/>
          <w:lang w:val="en-US" w:eastAsia="zh-CN" w:bidi="ar"/>
        </w:rPr>
        <w:t>平方米；物业服务用房分处设置的，单处建筑面积不小于</w:t>
      </w:r>
      <w:r>
        <w:rPr>
          <w:rFonts w:hint="default" w:ascii="Calibri" w:hAnsi="Calibri" w:eastAsia="宋体" w:cs="Calibri"/>
          <w:i w:val="0"/>
          <w:caps w:val="0"/>
          <w:color w:val="000000"/>
          <w:spacing w:val="0"/>
          <w:kern w:val="0"/>
          <w:sz w:val="21"/>
          <w:szCs w:val="21"/>
          <w:bdr w:val="none" w:color="auto" w:sz="0" w:space="0"/>
          <w:lang w:val="en-US" w:eastAsia="zh-CN" w:bidi="ar"/>
        </w:rPr>
        <w:t>50</w:t>
      </w:r>
      <w:r>
        <w:rPr>
          <w:rFonts w:hint="eastAsia" w:ascii="宋体" w:hAnsi="宋体" w:eastAsia="宋体" w:cs="宋体"/>
          <w:i w:val="0"/>
          <w:caps w:val="0"/>
          <w:color w:val="000000"/>
          <w:spacing w:val="0"/>
          <w:kern w:val="0"/>
          <w:sz w:val="21"/>
          <w:szCs w:val="21"/>
          <w:bdr w:val="none" w:color="auto" w:sz="0" w:space="0"/>
          <w:lang w:val="en-US" w:eastAsia="zh-CN" w:bidi="ar"/>
        </w:rPr>
        <w:t>平方米。物业管理用房经验收合格后，开发企业应当无偿移交给小区业主委员会。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（七）便民生活服务店（应急生活保障直销点）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住宅类房地产开发项目应当配建便民生活服务店（应急生活保障直销点），按照地上建筑面积不少于2‰的比例配置，单个建筑面积原则上不超过</w:t>
      </w:r>
      <w:r>
        <w:rPr>
          <w:rFonts w:hint="default" w:ascii="Calibri" w:hAnsi="Calibri" w:eastAsia="宋体" w:cs="Calibri"/>
          <w:i w:val="0"/>
          <w:caps w:val="0"/>
          <w:color w:val="000000"/>
          <w:spacing w:val="0"/>
          <w:kern w:val="0"/>
          <w:sz w:val="21"/>
          <w:szCs w:val="21"/>
          <w:bdr w:val="none" w:color="auto" w:sz="0" w:space="0"/>
          <w:lang w:val="en-US" w:eastAsia="zh-CN" w:bidi="ar"/>
        </w:rPr>
        <w:t>200</w:t>
      </w:r>
      <w:r>
        <w:rPr>
          <w:rFonts w:hint="eastAsia" w:ascii="宋体" w:hAnsi="宋体" w:eastAsia="宋体" w:cs="宋体"/>
          <w:i w:val="0"/>
          <w:caps w:val="0"/>
          <w:color w:val="000000"/>
          <w:spacing w:val="0"/>
          <w:kern w:val="0"/>
          <w:sz w:val="21"/>
          <w:szCs w:val="21"/>
          <w:bdr w:val="none" w:color="auto" w:sz="0" w:space="0"/>
          <w:lang w:val="en-US" w:eastAsia="zh-CN" w:bidi="ar"/>
        </w:rPr>
        <w:t>平方米，服务半径不大于</w:t>
      </w:r>
      <w:r>
        <w:rPr>
          <w:rFonts w:hint="default" w:ascii="Calibri" w:hAnsi="Calibri" w:eastAsia="宋体" w:cs="Calibri"/>
          <w:i w:val="0"/>
          <w:caps w:val="0"/>
          <w:color w:val="000000"/>
          <w:spacing w:val="0"/>
          <w:kern w:val="0"/>
          <w:sz w:val="21"/>
          <w:szCs w:val="21"/>
          <w:bdr w:val="none" w:color="auto" w:sz="0" w:space="0"/>
          <w:lang w:val="en-US" w:eastAsia="zh-CN" w:bidi="ar"/>
        </w:rPr>
        <w:t>500</w:t>
      </w:r>
      <w:r>
        <w:rPr>
          <w:rFonts w:hint="eastAsia" w:ascii="宋体" w:hAnsi="宋体" w:eastAsia="宋体" w:cs="宋体"/>
          <w:i w:val="0"/>
          <w:caps w:val="0"/>
          <w:color w:val="000000"/>
          <w:spacing w:val="0"/>
          <w:kern w:val="0"/>
          <w:sz w:val="21"/>
          <w:szCs w:val="21"/>
          <w:bdr w:val="none" w:color="auto" w:sz="0" w:space="0"/>
          <w:lang w:val="en-US" w:eastAsia="zh-CN" w:bidi="ar"/>
        </w:rPr>
        <w:t>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（八）警务站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警务站按照沿路沿线配置，由房地产开发企业配建，原则上地上建筑面积超过20万平方米的必须配建。配建警务站建筑面积不少于</w:t>
      </w:r>
      <w:r>
        <w:rPr>
          <w:rFonts w:hint="default" w:ascii="Calibri" w:hAnsi="Calibri" w:eastAsia="宋体" w:cs="Calibri"/>
          <w:i w:val="0"/>
          <w:caps w:val="0"/>
          <w:color w:val="000000"/>
          <w:spacing w:val="0"/>
          <w:kern w:val="0"/>
          <w:sz w:val="21"/>
          <w:szCs w:val="21"/>
          <w:bdr w:val="none" w:color="auto" w:sz="0" w:space="0"/>
          <w:lang w:val="en-US" w:eastAsia="zh-CN" w:bidi="ar"/>
        </w:rPr>
        <w:t>120</w:t>
      </w:r>
      <w:r>
        <w:rPr>
          <w:rFonts w:hint="eastAsia" w:ascii="宋体" w:hAnsi="宋体" w:eastAsia="宋体" w:cs="宋体"/>
          <w:i w:val="0"/>
          <w:caps w:val="0"/>
          <w:color w:val="000000"/>
          <w:spacing w:val="0"/>
          <w:kern w:val="0"/>
          <w:sz w:val="21"/>
          <w:szCs w:val="21"/>
          <w:bdr w:val="none" w:color="auto" w:sz="0" w:space="0"/>
          <w:lang w:val="en-US" w:eastAsia="zh-CN" w:bidi="ar"/>
        </w:rPr>
        <w:t>平米，应满足功能区设置和日常勤务工作实际需要，内部设置接待区、监控指挥室、备勤室、装备区和卫生间，条件允许的增设多功能室（综合调解、会议、餐厅）等功能区，确保通水、通电、通暖。经验收合格后，开发企业应当无偿交由公安部门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九）智慧社区。利用5G技术优势，综合运用物联网、云计算、人工智能等前沿技术，推进社区道路、垃圾处理、供水、供气、供热、排水等市政基础设施管理智能化，新建房地产开发项目配建一体化智慧社区管理平台。通过智慧门禁系统、智慧视频监控系统、智慧车辆管理系统、智慧高空抛物监测系统等应用，实现直接有效管理社区、实时监控生活场景，解决智慧社区建设过程中面临的服务转型、人员管理等问题。将绿色发展贯穿于社区设计、建设、管理和服务等活动的全过程，使人居环境更加整洁、舒适、安全、美丽。新建房地产开发项目要因地制宜、推广应用绿色技术和绿色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四、配建要求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房地产开发项目配建的公共服务设施，必须与项目同步规划，同步建设，同步验收并交付使用。对分期开发建设的项目，应在设计文件和设计图纸中明确分期项目范围和公共服务配套设施内容，社区服务用房和教育设施应当按开发建设总量统一规划，须安排在首期建设。房地产开发项目还应当按有关要求做好小区亮化工程和电子监控设施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积极引导房地产开发项目中建设装配式建筑，2021年</w:t>
      </w:r>
      <w:r>
        <w:rPr>
          <w:rFonts w:hint="default" w:ascii="Calibri" w:hAnsi="Calibri" w:eastAsia="宋体" w:cs="Calibri"/>
          <w:i w:val="0"/>
          <w:caps w:val="0"/>
          <w:color w:val="000000"/>
          <w:spacing w:val="0"/>
          <w:kern w:val="0"/>
          <w:sz w:val="21"/>
          <w:szCs w:val="21"/>
          <w:bdr w:val="none" w:color="auto" w:sz="0" w:space="0"/>
          <w:lang w:val="en-US" w:eastAsia="zh-CN" w:bidi="ar"/>
        </w:rPr>
        <w:t>-2025</w:t>
      </w:r>
      <w:r>
        <w:rPr>
          <w:rFonts w:hint="eastAsia" w:ascii="宋体" w:hAnsi="宋体" w:eastAsia="宋体" w:cs="宋体"/>
          <w:i w:val="0"/>
          <w:caps w:val="0"/>
          <w:color w:val="000000"/>
          <w:spacing w:val="0"/>
          <w:kern w:val="0"/>
          <w:sz w:val="21"/>
          <w:szCs w:val="21"/>
          <w:bdr w:val="none" w:color="auto" w:sz="0" w:space="0"/>
          <w:lang w:val="en-US" w:eastAsia="zh-CN" w:bidi="ar"/>
        </w:rPr>
        <w:t>年装配式建筑建设比例为</w:t>
      </w:r>
      <w:r>
        <w:rPr>
          <w:rFonts w:hint="default" w:ascii="Calibri" w:hAnsi="Calibri" w:eastAsia="宋体" w:cs="Calibri"/>
          <w:i w:val="0"/>
          <w:caps w:val="0"/>
          <w:color w:val="000000"/>
          <w:spacing w:val="0"/>
          <w:kern w:val="0"/>
          <w:sz w:val="21"/>
          <w:szCs w:val="21"/>
          <w:bdr w:val="none" w:color="auto" w:sz="0" w:space="0"/>
          <w:lang w:val="en-US" w:eastAsia="zh-CN" w:bidi="ar"/>
        </w:rPr>
        <w:t>10%-30%</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default" w:ascii="Calibri" w:hAnsi="Calibri" w:eastAsia="宋体" w:cs="Calibri"/>
          <w:i w:val="0"/>
          <w:caps w:val="0"/>
          <w:color w:val="000000"/>
          <w:spacing w:val="0"/>
          <w:kern w:val="0"/>
          <w:sz w:val="21"/>
          <w:szCs w:val="21"/>
          <w:bdr w:val="none" w:color="auto" w:sz="0" w:space="0"/>
          <w:lang w:val="en-US" w:eastAsia="zh-CN" w:bidi="ar"/>
        </w:rPr>
        <w:t>2025</w:t>
      </w:r>
      <w:r>
        <w:rPr>
          <w:rFonts w:hint="eastAsia" w:ascii="宋体" w:hAnsi="宋体" w:eastAsia="宋体" w:cs="宋体"/>
          <w:i w:val="0"/>
          <w:caps w:val="0"/>
          <w:color w:val="000000"/>
          <w:spacing w:val="0"/>
          <w:kern w:val="0"/>
          <w:sz w:val="21"/>
          <w:szCs w:val="21"/>
          <w:bdr w:val="none" w:color="auto" w:sz="0" w:space="0"/>
          <w:lang w:val="en-US" w:eastAsia="zh-CN" w:bidi="ar"/>
        </w:rPr>
        <w:t>年以后装配式建筑建设比例不低于</w:t>
      </w:r>
      <w:r>
        <w:rPr>
          <w:rFonts w:hint="default" w:ascii="Calibri" w:hAnsi="Calibri" w:eastAsia="宋体" w:cs="Calibri"/>
          <w:i w:val="0"/>
          <w:caps w:val="0"/>
          <w:color w:val="000000"/>
          <w:spacing w:val="0"/>
          <w:kern w:val="0"/>
          <w:sz w:val="21"/>
          <w:szCs w:val="21"/>
          <w:bdr w:val="none" w:color="auto" w:sz="0" w:space="0"/>
          <w:lang w:val="en-US" w:eastAsia="zh-CN" w:bidi="ar"/>
        </w:rPr>
        <w:t>30%</w:t>
      </w:r>
      <w:r>
        <w:rPr>
          <w:rFonts w:hint="eastAsia" w:ascii="宋体" w:hAnsi="宋体" w:eastAsia="宋体" w:cs="宋体"/>
          <w:i w:val="0"/>
          <w:caps w:val="0"/>
          <w:color w:val="000000"/>
          <w:spacing w:val="0"/>
          <w:kern w:val="0"/>
          <w:sz w:val="21"/>
          <w:szCs w:val="21"/>
          <w:bdr w:val="none" w:color="auto" w:sz="0" w:space="0"/>
          <w:lang w:val="en-US" w:eastAsia="zh-CN" w:bidi="ar"/>
        </w:rPr>
        <w:t>；鼓励房地产开发企业在完整商品房开发项目中使用装配式建筑，合理提高装配式建筑比例。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五、组织保障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一）自然资源部门在核定住宅开发项目宗地规划条件时，应当明确规定公共服务设施的种类、设置标准等要求，并在国有土地使用权出让合同中明确土地使用权竞得者应当承担的配建公共服务设施义务。土地出让后，在工程许可阶段核定配建公共服务设施的具体规模和位置，在竣工规划核实阶段应当按照开发项目或分期项目进行竣工规划核实，凡公共服务配套设施未按审定的建设工程设计方案建设完成的，不予核发《建设工程竣工规划认可书》。开发企业应当按照规划条件规定的种类、规模等设置标准和核定位置建设公共服务设施，未经自然资源部门批准，不得改变配建公共服务设施规模和位置。房地产开发项目未按规划要求配建公共服务设施的，自然资源部门不予建设工程规划许可；未按标准建设的，自然资源部门不予规划核实和办理不动产登记并依法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二）住房城乡建设部门要结合城镇老旧小区改造、绿色社区创建、棚户区改造等同步推进居住社区建设补短板行动，建立居住社区建设项目审批绿色通道，加强对托幼、养老等基本公共服务设施的设计、建设、验收、移交的监管，提高物业管理覆盖率，推动城市管理进社区。在施工图审查及综合验收阶段，应当严格把关，确保公共服务设施按规划要求建设到位；房地产开发项目未按规划要求配建公共服务设施的，不予综合竣工验收备案并将开发企业不良记录登记在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三）教育部门要配合有关部门做好居住社区配套幼儿园规划、建设、验收、移交等工作。工业和信息化部门要加快光纤入户和多网融合。公安机关要加强社区警务工作及警务室建设，推进社区智能安防设施及系统建设。商务部门要支持便民商业服务设施建设，鼓励小店“一店多能”提供多样化便民服务，引导连锁企业进社区提供优质服务。文化和旅游部门要支持社区文化设施建设。卫生健康部门要协调有关部门加强社区卫生服务机构建设，完善婴幼儿照护服务政策规范。税务部门要落实社区服务税收优惠政策。市场监管部门要依法对住宅电梯实施监督检验和使用登记。体育部门要加强对社区健身场地设施建设的指导和支持，协调有关资金向居住社区倾斜。发改、能源部门要支持居住社区充电桩等设施建设。邮政管理部门要加强对居住社区快递末端网点的监督管理。残联要积极组织残疾人代表开展体验活动，配合推进社区无障碍环境建设和改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1"/>
          <w:szCs w:val="21"/>
          <w:bdr w:val="none" w:color="auto" w:sz="0" w:space="0"/>
          <w:lang w:val="en-US" w:eastAsia="zh-CN" w:bidi="ar"/>
        </w:rPr>
        <w:t>（四）配套公共服务设施投入使用后，任何单位和个人不得以任何名义侵占，也不得改变使用性质或者挪作他用。违反上述规定的，由相关部门依法查处。发改、财政、自然资源、住建、教育、民政、商务、文化旅游体育、卫生健康、城管等部门应当认真履行职责，依法加强房地产开发项目配建公共服务设施的监督和管理工作；对玩忽职守、滥用职权、徇私舞弊的，将依法依规严肃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 </w:t>
      </w:r>
    </w:p>
    <w:tbl>
      <w:tblPr>
        <w:tblW w:w="8532" w:type="dxa"/>
        <w:jc w:val="center"/>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01"/>
        <w:gridCol w:w="766"/>
        <w:gridCol w:w="1512"/>
        <w:gridCol w:w="5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1" w:hRule="atLeast"/>
          <w:jc w:val="center"/>
        </w:trPr>
        <w:tc>
          <w:tcPr>
            <w:tcW w:w="8532" w:type="dxa"/>
            <w:gridSpan w:val="4"/>
            <w:tcBorders>
              <w:top w:val="nil"/>
              <w:left w:val="nil"/>
              <w:bottom w:val="single" w:color="000000" w:sz="8" w:space="0"/>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textAlignment w:val="center"/>
            </w:pPr>
            <w:r>
              <w:rPr>
                <w:rFonts w:ascii="仿宋_GB2312" w:hAnsi="宋体" w:eastAsia="仿宋_GB2312" w:cs="仿宋_GB2312"/>
                <w:b w:val="0"/>
                <w:i w:val="0"/>
                <w:color w:val="00000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ascii="方正小标宋简体" w:hAnsi="方正小标宋简体" w:eastAsia="方正小标宋简体" w:cs="方正小标宋简体"/>
                <w:b/>
                <w:i w:val="0"/>
                <w:color w:val="000000"/>
                <w:kern w:val="0"/>
                <w:sz w:val="32"/>
                <w:szCs w:val="32"/>
                <w:bdr w:val="none" w:color="auto" w:sz="0" w:space="0"/>
                <w:lang w:val="en-US" w:eastAsia="zh-CN" w:bidi="ar"/>
              </w:rPr>
              <w:t>完整居住社区建设标准（试行）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jc w:val="center"/>
        </w:trPr>
        <w:tc>
          <w:tcPr>
            <w:tcW w:w="1101"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ascii="黑体" w:hAnsi="宋体" w:eastAsia="黑体" w:cs="黑体"/>
                <w:i w:val="0"/>
                <w:color w:val="000000"/>
                <w:kern w:val="0"/>
                <w:sz w:val="32"/>
                <w:szCs w:val="32"/>
                <w:bdr w:val="none" w:color="auto" w:sz="0" w:space="0"/>
                <w:lang w:val="en-US" w:eastAsia="zh-CN" w:bidi="ar"/>
              </w:rPr>
              <w:t>目标</w:t>
            </w:r>
          </w:p>
        </w:tc>
        <w:tc>
          <w:tcPr>
            <w:tcW w:w="766"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黑体" w:hAnsi="宋体" w:eastAsia="黑体" w:cs="黑体"/>
                <w:i w:val="0"/>
                <w:color w:val="000000"/>
                <w:kern w:val="0"/>
                <w:sz w:val="32"/>
                <w:szCs w:val="32"/>
                <w:bdr w:val="none" w:color="auto" w:sz="0" w:space="0"/>
                <w:lang w:val="en-US" w:eastAsia="zh-CN" w:bidi="ar"/>
              </w:rPr>
              <w:t>序号</w:t>
            </w:r>
          </w:p>
        </w:tc>
        <w:tc>
          <w:tcPr>
            <w:tcW w:w="151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黑体" w:hAnsi="宋体" w:eastAsia="黑体" w:cs="黑体"/>
                <w:i w:val="0"/>
                <w:color w:val="000000"/>
                <w:kern w:val="0"/>
                <w:sz w:val="32"/>
                <w:szCs w:val="32"/>
                <w:bdr w:val="none" w:color="auto" w:sz="0" w:space="0"/>
                <w:lang w:val="en-US" w:eastAsia="zh-CN" w:bidi="ar"/>
              </w:rPr>
              <w:t>建设内容</w:t>
            </w:r>
          </w:p>
        </w:tc>
        <w:tc>
          <w:tcPr>
            <w:tcW w:w="515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黑体" w:hAnsi="宋体" w:eastAsia="黑体" w:cs="黑体"/>
                <w:i w:val="0"/>
                <w:color w:val="000000"/>
                <w:kern w:val="0"/>
                <w:sz w:val="32"/>
                <w:szCs w:val="32"/>
                <w:bdr w:val="none" w:color="auto" w:sz="0" w:space="0"/>
                <w:lang w:val="en-US" w:eastAsia="zh-CN" w:bidi="ar"/>
              </w:rPr>
              <w:t>建设要求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63" w:hRule="atLeast"/>
          <w:jc w:val="center"/>
        </w:trPr>
        <w:tc>
          <w:tcPr>
            <w:tcW w:w="11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ascii="楷体_GB2312" w:hAnsi="宋体" w:eastAsia="楷体_GB2312" w:cs="楷体_GB2312"/>
                <w:i w:val="0"/>
                <w:color w:val="000000"/>
                <w:kern w:val="0"/>
                <w:sz w:val="32"/>
                <w:szCs w:val="32"/>
                <w:bdr w:val="none" w:color="auto" w:sz="0" w:space="0"/>
                <w:lang w:val="en-US" w:eastAsia="zh-CN" w:bidi="ar"/>
              </w:rPr>
              <w:t>一、基本公共服务设施完善</w:t>
            </w: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一个社区综合服务站</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建筑面积以800平方米为宜，设置社区服务大厅、警务室、社区居委会办公室、居民活动用房、阅览室、党群活动中心等。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7"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2</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一个幼儿园</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不小于6班，建筑面积不小于2200平方米，用地面积不小于3500平方米，为3—6岁幼儿提供普惠性学前教育服务。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9"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3</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一个托儿所</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建筑面积不小于200平方米，为0—3岁婴幼儿提供安全可靠的托育服务。可以结合社区综合服务站、社区卫生服务站、住宅楼、企事业单位办公楼等建设托儿所等婴幼儿照护服务设施。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5"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4</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一个老年服务站</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与社区综合服务站统筹建设，为老年人、残疾人提供居家日间生活辅助照料、助餐、保健、文化娱乐等服务。具备条件的居住社区，可以建设1个建筑面积不小于350平方米的老年人日间照料中心，为生活不能完全自理的老年人、残疾人提供膳食供应、保健康复、交通接送等日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8"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5</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一个社区卫生服务站</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建筑面积不小于120平方米，提供预防、医疗、计生、康复、防疫等服务。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9" w:hRule="atLeast"/>
          <w:jc w:val="center"/>
        </w:trPr>
        <w:tc>
          <w:tcPr>
            <w:tcW w:w="11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楷体_GB2312" w:hAnsi="宋体" w:eastAsia="楷体_GB2312" w:cs="楷体_GB2312"/>
                <w:i w:val="0"/>
                <w:color w:val="000000"/>
                <w:kern w:val="0"/>
                <w:sz w:val="32"/>
                <w:szCs w:val="32"/>
                <w:bdr w:val="none" w:color="auto" w:sz="0" w:space="0"/>
                <w:lang w:val="en-US" w:eastAsia="zh-CN" w:bidi="ar"/>
              </w:rPr>
              <w:t>二、便民商业服务设施健全</w:t>
            </w: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6</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一个综合超市</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建筑面积不小于300平方米，提供蔬菜、水果、生鲜、日常生活用品等销售服务。城镇老旧小区等受场地条件约束的既有居住社区，可以建设2—3个50—100平方米的便利店提供相应服务。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0"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7</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多个邮件和快件寄递服务设施</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设多组智能信包箱、智能快递箱，提供邮件快件收寄、投递服务，格口数量为社区日均投递量的1—1.3倍。新建居住社区应建设使用面积不小于15平方米的邮政快递末端综合服务站。城镇老旧小区等受场地条件约束的既有居住社区，因地制宜建设邮政快递末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3"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8</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其他便民商业网点</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建设理发店、洗衣店、药店、维修点、家政服务网点、餐饮店等便民商业网点。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2" w:hRule="atLeast"/>
          <w:jc w:val="center"/>
        </w:trPr>
        <w:tc>
          <w:tcPr>
            <w:tcW w:w="11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楷体_GB2312" w:hAnsi="宋体" w:eastAsia="楷体_GB2312" w:cs="楷体_GB2312"/>
                <w:i w:val="0"/>
                <w:color w:val="000000"/>
                <w:kern w:val="0"/>
                <w:sz w:val="32"/>
                <w:szCs w:val="32"/>
                <w:bdr w:val="none" w:color="auto" w:sz="0" w:space="0"/>
                <w:lang w:val="en-US" w:eastAsia="zh-CN" w:bidi="ar"/>
              </w:rPr>
              <w:t>三、市政配套基础设施完备</w:t>
            </w: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9</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水、电、路、气、热、信等设施</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建设供水、排水、供电、道路、供气、供热（集中供热地区）、通信等设施，达到设施完好、运行安全等要求。实现光纤入户和多网融合，推动5G网络进社区。建设社区智能安防设施及系统。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5"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10</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停车及充电设施</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新建居住社区按照不低于1车位/户配建机动车停车位，100%停车位建设充电设施或者预留建设安装条件。既有居住社区统筹空间资源和管理措施，协调解决停车问题，防止乱停车和占用消防通道现象。建设非机动车停车棚、停放架等设施。具备条件的居住社区，建设电动车集中停放和充电场所，并做好消防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4"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11</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慢行系统</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建设联贯各类配套设施、公共活动空间与住宅的慢行系统，与城市慢行系统相衔接。社区居民步行10分钟可以到达公交站点。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6"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12</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无障碍设施</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住宅和公共建筑出入口设置轮椅坡道和扶手，公共活动场地、道路等户外环境建设符合无障碍设计要求。具备条件的居住社区，实施加装电梯等适老化改造。对有条件的服务设施，设置低位服务柜台、信息屏幕显示系统、盲文或有声提示标识和无障碍厕所（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3"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13</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环境卫生设施</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实行生活垃圾分类，设置多处垃圾分类收集点，新建居住社区宜建设一个用地面积不小于120平方米的生活垃圾收集站。建设一个建筑面积不小于30平方米的公共厕所，城镇老旧小区等受场地条件约束的既有居住社区，可以采用集成箱体式公共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11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楷体_GB2312" w:hAnsi="宋体" w:eastAsia="楷体_GB2312" w:cs="楷体_GB2312"/>
                <w:i w:val="0"/>
                <w:color w:val="000000"/>
                <w:kern w:val="0"/>
                <w:sz w:val="32"/>
                <w:szCs w:val="32"/>
                <w:bdr w:val="none" w:color="auto" w:sz="0" w:space="0"/>
                <w:lang w:val="en-US" w:eastAsia="zh-CN" w:bidi="ar"/>
              </w:rPr>
              <w:t>四、公共活动空间充足</w:t>
            </w:r>
          </w:p>
        </w:tc>
        <w:tc>
          <w:tcPr>
            <w:tcW w:w="766"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14</w:t>
            </w:r>
          </w:p>
        </w:tc>
        <w:tc>
          <w:tcPr>
            <w:tcW w:w="151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公共活动场地</w:t>
            </w:r>
          </w:p>
        </w:tc>
        <w:tc>
          <w:tcPr>
            <w:tcW w:w="515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至少有一片公共活动场地（含室外综合健身场地），用地面积不小于150平方米，配置健身器材、健身步道、休息座椅等设施以及沙坑等儿童娱乐设施。新建居住社区建设一片不小于800平方米的多功能运动场地，配置5人制足球、篮球、排球、乒乓球、门球等球类场地，在紧急情况下可以转换为应急避难场所。既有居住社区要因地制宜改造宅间绿地、空地等，增加公共活动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1"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vMerge w:val="continue"/>
            <w:tcBorders>
              <w:top w:val="nil"/>
              <w:left w:val="nil"/>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1512" w:type="dxa"/>
            <w:vMerge w:val="continue"/>
            <w:tcBorders>
              <w:top w:val="nil"/>
              <w:left w:val="nil"/>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5153" w:type="dxa"/>
            <w:vMerge w:val="continue"/>
            <w:tcBorders>
              <w:top w:val="nil"/>
              <w:left w:val="nil"/>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10"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15</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公共绿地</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至少有一片开放的公共绿地。新建居住社区至少建设一个不小于4000平方米的社区游园，设置10%—15%的体育活动场地。既有居住社区应结合边角地、废弃地、闲置地等改造建设“口袋公园”、“袖珍公园”等。社区公共绿地应配备休憩设施，景观环境优美，体现文化内涵，在紧急情况下可转换为应急避难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84" w:hRule="atLeast"/>
          <w:jc w:val="center"/>
        </w:trPr>
        <w:tc>
          <w:tcPr>
            <w:tcW w:w="11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楷体_GB2312" w:hAnsi="宋体" w:eastAsia="楷体_GB2312" w:cs="楷体_GB2312"/>
                <w:i w:val="0"/>
                <w:color w:val="000000"/>
                <w:kern w:val="0"/>
                <w:sz w:val="32"/>
                <w:szCs w:val="32"/>
                <w:bdr w:val="none" w:color="auto" w:sz="0" w:space="0"/>
                <w:lang w:val="en-US" w:eastAsia="zh-CN" w:bidi="ar"/>
              </w:rPr>
              <w:t>五、物业管理全覆盖</w:t>
            </w: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16</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物业服务</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鼓励引入专业化物业服务，暂不具备条件的，通过社区托管、社会组织代管或居民自管等方式，提高物业管理覆盖率。新建居住社区按照不低于物业总建筑面积2‰比例且不低于50平方米配置物业管理用房，既有居住社区因地制宜配置物业管理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14"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17</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物业管理服务平台</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建立物业管理服务平台，推动物业服务企业发展线上线下社区服务业，实现数字化、智能化、精细化管理和服务。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3" w:hRule="atLeast"/>
          <w:jc w:val="center"/>
        </w:trPr>
        <w:tc>
          <w:tcPr>
            <w:tcW w:w="1101"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楷体_GB2312" w:hAnsi="宋体" w:eastAsia="楷体_GB2312" w:cs="楷体_GB2312"/>
                <w:i w:val="0"/>
                <w:color w:val="000000"/>
                <w:kern w:val="0"/>
                <w:sz w:val="32"/>
                <w:szCs w:val="32"/>
                <w:bdr w:val="none" w:color="auto" w:sz="0" w:space="0"/>
                <w:lang w:val="en-US" w:eastAsia="zh-CN" w:bidi="ar"/>
              </w:rPr>
              <w:t>六、社区管理机制健全</w:t>
            </w: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18</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管理机制</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建立“党委领导、政府组织、业主参与、企业服务”的居住社区管理机制。推动城市管理进社区，将城市综合管理服务平台与物业管理服务平台相衔接，提高城市管理覆盖面。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7"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19</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综合管理服务</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依法依规查处私搭乱建等违法违规行为。组织引导居民参与社区环境整治、生活垃圾分类等活动。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3" w:hRule="atLeast"/>
          <w:jc w:val="center"/>
        </w:trPr>
        <w:tc>
          <w:tcPr>
            <w:tcW w:w="1101" w:type="dxa"/>
            <w:vMerge w:val="continue"/>
            <w:tcBorders>
              <w:top w:val="nil"/>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sz w:val="18"/>
                <w:szCs w:val="18"/>
              </w:rPr>
            </w:pPr>
          </w:p>
        </w:tc>
        <w:tc>
          <w:tcPr>
            <w:tcW w:w="76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20</w:t>
            </w:r>
          </w:p>
        </w:tc>
        <w:tc>
          <w:tcPr>
            <w:tcW w:w="15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社区文化</w:t>
            </w:r>
          </w:p>
        </w:tc>
        <w:tc>
          <w:tcPr>
            <w:tcW w:w="51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center"/>
            </w:pPr>
            <w:r>
              <w:rPr>
                <w:rFonts w:hint="eastAsia" w:ascii="仿宋_GB2312" w:hAnsi="宋体" w:eastAsia="仿宋_GB2312" w:cs="仿宋_GB2312"/>
                <w:i w:val="0"/>
                <w:color w:val="000000"/>
                <w:kern w:val="0"/>
                <w:sz w:val="32"/>
                <w:szCs w:val="32"/>
                <w:bdr w:val="none" w:color="auto" w:sz="0" w:space="0"/>
                <w:lang w:val="en-US" w:eastAsia="zh-CN" w:bidi="ar"/>
              </w:rPr>
              <w:t>举办文化活动，制定发布社区居民公约，营造富有特色的社区文化。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说明：完整居住社区是指为群众日常生活提供基本服务和设施的生活单元，也是社区治理的基本单元。本标准以0.5</w:t>
      </w:r>
      <w:r>
        <w:rPr>
          <w:rFonts w:hint="eastAsia" w:ascii="仿宋_GB2312" w:hAnsi="宋体" w:eastAsia="仿宋_GB2312" w:cs="仿宋_GB2312"/>
          <w:i w:val="0"/>
          <w:caps w:val="0"/>
          <w:color w:val="000000"/>
          <w:spacing w:val="0"/>
          <w:kern w:val="0"/>
          <w:sz w:val="32"/>
          <w:szCs w:val="32"/>
          <w:bdr w:val="none" w:color="auto" w:sz="0" w:space="0"/>
          <w:lang w:val="en-US" w:eastAsia="zh-CN" w:bidi="ar"/>
        </w:rPr>
        <w:t>—</w:t>
      </w: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1.2万人口规模的完整居住社区为基本单元，依据《城市居住区规划设计标准》等有关标准规范和政策文件编制。若干个完整居住社区构成街区，统筹配建中小学、养老院、社区医院、运动场馆、公园等设施，与十五分钟生活圈相衔接，为居民提供更加完善的公共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9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2022-03-14T05:24:43Z</dcterms:created>
  <dc:creator>Administrator</dc:creator>
  <cp:lastModifiedBy>Administrator</cp:lastModifiedBy>
  <dcterms:modified xsi:type="dcterms:W3CDTF">2022-03-14T05:25:04Z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