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对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《喀什地区生态环境保护“十四五”规划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》的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政策解读</w:t>
      </w:r>
    </w:p>
    <w:bookmarkEnd w:id="0"/>
    <w:p>
      <w:pPr>
        <w:pStyle w:val="4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喀什地区行政公署办公室于2022年5月24日印发了《关于印发〈喀什地区生态环境保护“十四五”规划〉的通知》（以下简称《规划》）。现就本规划解读如下：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一、背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景及依据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为着力解决生态环境突出问题，大力推进生态文明建设，协同推进经济高质量发展与生态环境高水平保护，实现生态环境总体改善，按照喀什地区行政公署的安排部署，根据《中华人民共和国环境保护法》，结合《新疆生态环境保护“十四五”规划》《喀什地区国民经济和社会发展第十四个五年规划和2035年远景目标纲要》，喀什地区生态环境局组织编制了《喀什地区生态环境保护“十四五”规划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《规划》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制定过程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70" w:lineRule="exact"/>
        <w:ind w:firstLine="566" w:firstLineChars="177"/>
        <w:textAlignment w:val="auto"/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2021年8月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地区生态环境局启动</w:t>
      </w: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《规划》编制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工作。先后分3次向各县市、第三师图木舒克市生态环境局及</w:t>
      </w: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地区发改委、工信局、财政局等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45</w:t>
      </w: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个单位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征求</w:t>
      </w: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意见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建议</w:t>
      </w: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，共收到反馈意见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35</w:t>
      </w: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邀请相关行业专家和上级主管部门对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规划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文本进行了技术审查，共提出审查意见17条，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对收到的意见</w:t>
      </w: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全部进行了采纳修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改完善后，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提交行政公署常务会议研究同意后，以行政公署办公室名义向各县、市人民政府，行政公署相关部门印发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《规划》共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五部分。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第一部分基础与形势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对喀什地区“十三五”时期生态环境保护工作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进行总结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，对存在的主要问题及“十四五”时期生态环境保护工作面临的机遇和挑战进行了分析预测。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第二部分指导思想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主要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目标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明确“十四五”时期生态环境保护指导思想、基本原则和目标任务。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部分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主要任务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从推动绿色低碳发展、控制温室气体排放、改善大气环境、提升水生态环境、保障土壤环境安全、筑牢生态安全屏障、强化风险防控、提升环境监管水平、建设现代环境治理体系、兵地联合10个方面39项任务。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第四部分重点工程。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包括应对气候变化、大气污染防治、水污染防治、土壤污染防治、生态保护修复、环境风险防控、环境监管能力提升7大类24项重点工程。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第五部分保障措施。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从加强组织领导、加大资金投入、营造社会氛围、严格考核评估4个方面提出保障措施。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四、重要意义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《规划》的实施，对推动喀什地区经济社会高质量发展，深入打好污染防治攻坚战，持续改善生态环境质量，建设天蓝地绿水清的“美丽喀什”具有重要意义。</w:t>
      </w:r>
    </w:p>
    <w:p>
      <w:pPr>
        <w:pStyle w:val="3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喀什地区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生态环境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120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2022年5月31日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ZTMwOGU1NGVmNDgzMWQxMjc5MGJiNmQyYjZjYmYifQ=="/>
  </w:docVars>
  <w:rsids>
    <w:rsidRoot w:val="4E5F45CE"/>
    <w:rsid w:val="03606F33"/>
    <w:rsid w:val="100C1AC3"/>
    <w:rsid w:val="1D13244B"/>
    <w:rsid w:val="223C4092"/>
    <w:rsid w:val="2A692D9A"/>
    <w:rsid w:val="32C20171"/>
    <w:rsid w:val="357400CB"/>
    <w:rsid w:val="39276F80"/>
    <w:rsid w:val="39750149"/>
    <w:rsid w:val="3BF67377"/>
    <w:rsid w:val="41971004"/>
    <w:rsid w:val="4562595D"/>
    <w:rsid w:val="4B3317B5"/>
    <w:rsid w:val="4E5F45CE"/>
    <w:rsid w:val="4EF92D15"/>
    <w:rsid w:val="58DB3C34"/>
    <w:rsid w:val="60A62FEE"/>
    <w:rsid w:val="714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kern w:val="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unhideWhenUsed/>
    <w:qFormat/>
    <w:uiPriority w:val="99"/>
    <w:pPr>
      <w:widowControl w:val="0"/>
      <w:spacing w:line="560" w:lineRule="exact"/>
      <w:ind w:firstLine="640" w:firstLineChars="200"/>
      <w:contextualSpacing/>
      <w:jc w:val="both"/>
    </w:pPr>
    <w:rPr>
      <w:rFonts w:hAnsi="Courier New" w:cs="Courier New" w:asciiTheme="minorEastAsia" w:eastAsiaTheme="minorEastAsia"/>
      <w:kern w:val="2"/>
      <w:sz w:val="32"/>
      <w:szCs w:val="32"/>
    </w:rPr>
  </w:style>
  <w:style w:type="paragraph" w:styleId="5">
    <w:name w:val="List"/>
    <w:basedOn w:val="1"/>
    <w:qFormat/>
    <w:uiPriority w:val="99"/>
    <w:pPr>
      <w:ind w:left="200" w:hanging="200" w:hangingChars="200"/>
    </w:pPr>
    <w:rPr>
      <w:rFonts w:ascii="宋体" w:hAnsi="Calibri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1877</Words>
  <Characters>1927</Characters>
  <Lines>0</Lines>
  <Paragraphs>0</Paragraphs>
  <TotalTime>2</TotalTime>
  <ScaleCrop>false</ScaleCrop>
  <LinksUpToDate>false</LinksUpToDate>
  <CharactersWithSpaces>1958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2022-05-26T03:36:00Z</dcterms:created>
  <dc:creator>奥特曼张家豪</dc:creator>
  <cp:lastModifiedBy>Administrator</cp:lastModifiedBy>
  <dcterms:modified xsi:type="dcterms:W3CDTF">2022-05-31T05:09:41Z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DF26B5C2E82B442C8935A9CEF4230CFF</vt:lpwstr>
  </property>
</Properties>
</file>