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both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方正小标宋_GBK" w:hAnsi="华文中宋" w:eastAsia="方正小标宋_GBK" w:cs="宋体"/>
          <w:b/>
          <w:kern w:val="0"/>
          <w:sz w:val="44"/>
          <w:szCs w:val="44"/>
        </w:rPr>
      </w:pPr>
      <w:r>
        <w:rPr>
          <w:rFonts w:hint="eastAsia" w:ascii="方正小标宋_GBK" w:hAnsi="华文中宋" w:eastAsia="方正小标宋_GBK" w:cs="宋体"/>
          <w:b/>
          <w:kern w:val="0"/>
          <w:sz w:val="44"/>
          <w:szCs w:val="44"/>
        </w:rPr>
        <w:t xml:space="preserve"> 部门单位项目支出绩效评价报告</w:t>
      </w: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</w:t>
      </w:r>
      <w:r>
        <w:rPr>
          <w:rStyle w:val="18"/>
          <w:rFonts w:hint="eastAsia" w:ascii="仿宋_GB2312" w:hAnsi="楷体" w:eastAsia="仿宋_GB2312"/>
          <w:spacing w:val="-4"/>
          <w:sz w:val="32"/>
          <w:szCs w:val="32"/>
        </w:rPr>
        <w:t>2023</w:t>
      </w:r>
      <w:r>
        <w:rPr>
          <w:rFonts w:hint="eastAsia" w:ascii="方正仿宋_GBK" w:hAnsi="宋体" w:eastAsia="方正仿宋_GBK" w:cs="宋体"/>
          <w:kern w:val="0"/>
          <w:sz w:val="36"/>
          <w:szCs w:val="36"/>
        </w:rPr>
        <w:t xml:space="preserve"> 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年度）</w:t>
      </w: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项目名称：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全民健身设施补短板工程(喀什体育公园建设)项目</w:t>
      </w:r>
    </w:p>
    <w:p>
      <w:pPr>
        <w:spacing w:line="57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实施单位（公章）：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新疆维吾尔自治区喀什地区体育局</w:t>
      </w:r>
    </w:p>
    <w:p>
      <w:pPr>
        <w:spacing w:line="540" w:lineRule="exact"/>
        <w:ind w:firstLine="360" w:firstLineChars="100"/>
        <w:rPr>
          <w:rFonts w:hint="eastAsia"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主管部门（公章）：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新疆维吾尔自治区喀什地区体育局</w:t>
      </w:r>
    </w:p>
    <w:p>
      <w:pPr>
        <w:spacing w:line="570" w:lineRule="exact"/>
        <w:ind w:firstLine="360" w:firstLineChars="100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项目负责人（签章）：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宋林军</w:t>
      </w:r>
    </w:p>
    <w:p>
      <w:pPr>
        <w:spacing w:line="540" w:lineRule="exact"/>
        <w:ind w:firstLine="360" w:firstLineChars="10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填报时间：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2024年03月31日</w:t>
      </w:r>
    </w:p>
    <w:p>
      <w:pP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page"/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一、基本情况</w:t>
      </w:r>
    </w:p>
    <w:p>
      <w:pPr>
        <w:spacing w:line="570" w:lineRule="exact"/>
        <w:ind w:firstLine="627" w:firstLineChars="200"/>
        <w:rPr>
          <w:rStyle w:val="18"/>
          <w:rFonts w:ascii="方正楷体_GBK" w:hAnsi="方正楷体_GBK" w:eastAsia="方正楷体_GBK" w:cs="方正楷体_GBK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（一）项目概况。包括项目背景、主要内容及实施情况、资金投入和使用情况等。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项目背景</w:t>
        <w:br/>
        <w:t>本项目遵循财政部《项目支出绩效评价管理办法》（财预〔2020〕10号）和自治区财政厅《自治区财政支出绩效评价管理暂行办法》（新财预〔2018〕189号）等相关政策文件与规定，旨在评价喀什体育公园项目实施前期、过程及效果，评价财政预算资金使用的效率及效益。通过该项目的实施，建成后推动群众身边的健身场地有效供给扩大，户外运动公共服务设施有效完善，全民健身产品和服务更加丰富，供给丰富、布局合理、功能完善的建设设施网络逐步形成。</w:t>
        <w:br/>
        <w:t>2. 主要内容及实施情况</w:t>
        <w:br/>
        <w:t>本项目建设主要服务于喀什地区的体育发展。主要建设内容为新建10万平方米集球类（足球、排球、篮球、网球等）、健身步道、儿童活动类设施等多项体育活动于一体的的大型体育健身公园。项目的实施对丰富我区群众体育生活，扩大我市体育场地设施有效供给，进一步落实自治区“体育强区”战略目标具有重要作用。</w:t>
        <w:br/>
        <w:t>3.项目实施主体</w:t>
        <w:br/>
        <w:t>喀什市文化体育广播电视和旅游局为行政单位，纳入2023年部门决算编制范围的有8个办公室：喀什市文体旅游局机关、歌舞团、文化市场稽查队、文物保护管理所、图书馆、文化馆、杂技团、美术馆。</w:t>
        <w:br/>
        <w:t>编制人数18人，其中：行政人员编制18人、工勤0人、参公0人、事业编制0人。实有在职人数249人，其中：行政在职19人、工勤1人、参公0人、事业在职0人。离退休人员0人，其中：行政退休人员0人、事业退休0人。</w:t>
        <w:br/>
        <w:t>4. 资金投入和使用情况</w:t>
        <w:br/>
        <w:t>《关于解决喀什地区体育公园建设项目尾款的报告》（喀财专报〔2023〕441号）共安排下达资金293.5万元，为一般公共预算资金，最终确定项目资金总数为293.5万元。</w:t>
        <w:br/>
        <w:t>截至2022年12月31日，实际支出293.5万元，预算执行率100%。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（二）项目绩效目标。包括总体目标和阶段性目标。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1.项目绩效总目标</w:t>
        <w:br/>
        <w:t>推动群众身边的健身场地有效供给扩大，户外运动公共服务设施有效完善，全民健身产品和服务更加丰富，供给丰富、布局合理、功能完善的建设设施网络逐步形成。</w:t>
        <w:br/>
        <w:t>2.阶段性目标</w:t>
        <w:br/>
        <w:t>项目实施前先编制项目预算，完成项目立项批复，办理项目前期必要的审批手续，完成项目招投标。</w:t>
        <w:br/>
        <w:t>项目主要完成喀什体育公园建设建设基础设施。在工程施工期间解决当地农民群众就业，发放农民群众投工投劳报酬，提高本地群众就业率和劳务增收。验收阶段的具体工作。项目完工后，第一时间组织各方对项目进行验收。项目建成后有效完善公共体育健身基础场地，为群众提供休闲、娱乐和健身于一体的综合场所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二、绩效评价工作开展情况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（一）绩效评价目的、对象</w:t>
      </w: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  <w:lang w:eastAsia="zh-CN"/>
        </w:rPr>
        <w:t>、时间和</w:t>
      </w: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范围。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绩效评价目的</w:t>
        <w:br/>
        <w:t>本次绩效评价遵循财政部《项目支出绩效评价管理办法》（财预〔2020〕10号）、《关于印发〈中央部门项目支出核心绩效目标和指标设置及取值指引（试行）〉的通知》（财预〔2021〕101号）、以及自治区财政厅《关于印发〈自治区项目支出绩效目标设置指引〉的通知》（新财预〔2022〕42号）、《自治区财政支出绩效评价管理暂行办法》（新财预〔2018〕189号）等相关政策文件与规定，旨在评价财政项目实施前期、过程及效果，评价财政预算资金使用的效率及效益。</w:t>
        <w:br/>
        <w:t>通过此次绩效评价，发现预算资金在项目立项、执行管理中制度保障、实际操作方面的缺陷和薄弱环节，总结项目管理经验，完善项目管理办法，提高项目管理水平和资金使用效益。同时可根据绩效评价中发现的问题，调整工作计划，完善绩效目标，加强项目管理，提高管理水平，为下一年预算编制与评审提供充分有效的依据，以达到改进预算管理、优化资源配置、提高预算资金使用效益的目的。</w:t>
        <w:br/>
        <w:t>2. 绩效评价对象</w:t>
        <w:br/>
        <w:t>本次绩效评价遵循财政部《项目支出绩效评价管理办法》（财预〔2020〕10号）和《自治区财政支出绩效评价管理暂行办法》（新财预〔2018〕189号）等相关政策文件与规定，以项目支出为对象所对应的预算资金，以项目实施所带来的产出和效果为主要内容，以促进预算单位完成特定工作任务目标所组织开展的绩效评价。</w:t>
        <w:br/>
        <w:t>3. 绩效评价范围</w:t>
        <w:br/>
        <w:t>本次评价范围涵盖项目总体绩效目标、各项绩效指标完成情况以及预算执行情况。覆盖项目预算资金支出的所有内容进行评价。包括项目决策、项目实施和项目成果验收流程等。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（二）绩效评价原则、评价指标体系（附表说明）、评价方法、评价标准等。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绩效评价原则</w:t>
        <w:br/>
        <w:t>本次绩效评价遵循的原则包括：</w:t>
        <w:br/>
        <w:t>（1）科学公正。绩效评价应当运用科学合理的方法，按照规范的程序，对项目绩效进行客观、公正的反映。</w:t>
        <w:br/>
        <w:t>（2）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</w:t>
        <w:br/>
        <w:t>（3）激励约束。绩效评价结果应与预算安排、政策调整、改进管理实质性挂钩，体现奖优罚劣和激励相容导向，有效要安排、低效要压减、无效要问责。</w:t>
        <w:br/>
        <w:t>（4）公开透明。绩效评价结果应依法依规公开，并自觉接受社会监督。</w:t>
        <w:br/>
        <w:t>2. 绩效评价指标体系</w:t>
        <w:br/>
        <w:t>本项目绩效评价体系根据《关于印发〈项目支出绩效评价管理办法〉的通知》（财预﹝2020﹞10号）文件中共性指标及个性化指标设置，主要分为共性指标和个性指标两大类。共性指标下设决策与过程2个一级指标，其中：项目决策下设项目立项、绩效目标、资金投入3个二级指标；过程下设资金管理和组织实施2个二级指标。个性指标下设产出和效益2个一级指标，其中：产出下设产出数量、产出质量、产出时效、产出成本4个2级指标，效益下设项目效益及满意度2个二级指标。项目绩效评价体系详见附件1。</w:t>
        <w:br/>
        <w:t>3. 绩效评价方法</w:t>
        <w:br/>
        <w:t>本次评价采用定量与定性评价相结合的比较法，总分由各项指标得分汇总形成。</w:t>
        <w:br/>
        <w:t>比较法：是指通过对绩效目标与实施效果、历史与当期情况、不同部门和地区同类支出的比较，综合分析绩效目标实现程度。</w:t>
        <w:br/>
        <w:t>4. 绩效评价标准</w:t>
        <w:br/>
        <w:t>绩效评价标准通常包括计划标准等，用于对绩效指标完成情况进行比较、分析、评价。本次评价主要采用了计划标准。</w:t>
        <w:br/>
        <w:t>计划标准：指以预先制定的目标、计划、预算、定额等作为评价标准。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（三）绩效评价工作过程。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第一阶段：前期准备。</w:t>
        <w:br/>
        <w:t>我单位绩效评价人员根据《项目支出绩效评价管理办法》（财预〔2020〕10号）文件精神认真学习相关要求与规定，成立绩效评价工作组，作为绩效评价工作具体实施机构。成员构成如下：</w:t>
        <w:br/>
        <w:t>王琳任评价组组长，绩效评价工作职责为负责全盘工作。</w:t>
        <w:br/>
        <w:t>张倬铭任评价组副组长，绩效评价工作职责为为对项目实施情况进行实地调查。</w:t>
        <w:br/>
        <w:t>杜金任评价组成员，绩效评价工作职责为负责资料审核等工作。</w:t>
        <w:br/>
        <w:t>第二阶段：组织实施。</w:t>
        <w:br/>
        <w:t>经评价组通过实地调研、查阅资料等方式，采用综合分析法对项目的决策、管理、绩效进行的综合评价分析。</w:t>
        <w:br/>
        <w:t>第三阶段：分析评价。</w:t>
        <w:br/>
        <w:t>首先按照指标体系进行定量、定性分析。其次开展量化打分、综合评价工作，形成初步评价结论。最后归纳整体项目情况与存在问题，撰写部门绩效评价报告。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三、综合评价情况及评价结论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（一）综合评价情况</w:t>
        <w:br/>
        <w:t>通过实施全民健身设施补短板工程(喀什体育公园建设)项目，完善了我区体育场地建设，提高了我区全民健身运动水平，展示了我区全民健身运动的成果。项目实施主要通过项目决策、项目过程、项目产出以及项目效益等方面进行评价，其中：</w:t>
        <w:br/>
        <w:t>项目决策：该项目主要通过《关于解决喀什地区体育公园建设项目尾款的报告》（喀财专报〔2023〕441号）文件立项，项目实施符合体育局职能要求，项目立项依据充分，立项程序规范。 </w:t>
        <w:br/>
        <w:t>项目过程：全民健身设施补短板工程(喀什体育公园建设)项目预算安排 293.5万元，实际支出 293.5万元，预算执行率100%。项目资金使用合规，项目财务管理制度健全，财务监控到位，所有资金支付均按照国库集中支付制度严格执行，现有项目管理制度执行情况良好。</w:t>
        <w:br/>
        <w:t>该项目新建1个全民健身设施，项目建设验收合格率100%，资金使用合规率100%。</w:t>
        <w:br/>
        <w:t>通过实施此项目完善了我区体育场地建设，提高了我区全民健身运动水平，展示了我区全民健身运动的成果。</w:t>
        <w:br/>
        <w:t>（二）综合评价结论</w:t>
        <w:br/>
        <w:t>依据《中共中央国务院关于全面实施预算绩效管理的意见》《项目支出绩效评价管理办法》（财预〔2020〕10号）以及《关于进一步加强和规范喀什地区项目支出“全过程”预算绩效管理结果应用的通知》（喀地财绩〔2022〕2号）文件，绩效评价总分设置为100分，划分为四档：90（含）-100分为“优”、80（含）-90分为“良”、70（含）-80分为“中”、70分以下为“差”。经对全民健身设施补短板工程(喀什体育公园建设)项目进行客观评价，最终评分结果：评价总分100分，绩效等级为“优”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 xml:space="preserve">四、绩效评价指标分析 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（一）项目决策情况。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项目决策类指标包括项目立项、绩效目标和资金投入三方面的内容，由6个三级指标构成，权重分为15分，实际得分15分，得分率为100%。</w:t>
        <w:br/>
        <w:t>（1）立项依据充分性：根据《关于解决喀什地区体育公园建设项目尾款的报告》（喀财专报〔2023〕441号）文件立项，结合体育局三定方案职责，并组织实施。围绕2023年度工作重点和工作计划制定经费预算，根据评分标准，该指标不扣分，得3分。</w:t>
        <w:br/>
        <w:t>（2）立项程序规范性：根据《关于解决喀什地区体育公园建设项目尾款的报告》（喀财专报〔2023〕441号）文件立项，根据决策依据编制工作计划和经费预算，经过与地区体育局分管领导进行沟通、筛选确定经费预算计划，上党委会研究确定最终预算方案，根据评分标准，该指标不扣分，得2分。</w:t>
        <w:br/>
        <w:t>（3）绩效目标合理性：制定了《全民健身设施补短板工程(喀什体育公园建设)项目实施方案》，明确了总体思路及目标、并对任务进行了详细分解，对目标进行了细化，根据评分标准，该指标不扣分，得3分。</w:t>
        <w:br/>
        <w:t>（4）绩效指标明确性： 将项目绩效目标细化分解为具体的绩效指标，其中，支持全民健身设施项目数量、项目建设验收合格率、资金使用合规率、资金支付及时率等指标构成。根据评分标准，该指标不扣分，得2分。</w:t>
        <w:br/>
        <w:t>（5）预算编制科学性： 该项目根据《关于解决喀什地区体育公园建设项目尾款的报告》（喀财专报〔2023〕441号）文件，进行预算编制，预算编制经过科学论证，内容与项目内容匹配，根据评分标准，该指标不扣分，得3分。</w:t>
        <w:br/>
        <w:t>（6）资金分配合理性：该项目根据《关于解决喀什地区体育公园建设项目尾款的报告》（喀财专报〔2023〕441号）文件资金分配表进行项目资金分配，资金分配与实际相适应，根据评分标准，该指标不扣分，得2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（二）项目过程情况。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项目过程类指标包括资金管理和组织实施两方面的内容，由 5个三级指标构成，权重分为15分，实际得分15分，得分率为100%。</w:t>
        <w:br/>
        <w:t>（1）资金到位率：资金到位率=（实际到位资金/预算资金）×100%，预算资金293.5万元，实际到位资金293.5万元，财政资金足额拨付到位，牵头单位能够及时足额按照合同约定将专项资金拨付给单位，根据评分标准，该指标不扣分，得3分。   </w:t>
        <w:br/>
        <w:t>（2）预算执行率：预算执行率=（实际支出资金/实际到位资金）×100%，该项目实际到位资金293.5万元，实际支出资金为293.5万元，资金执行率100%，预算编制较为详细，项目资金支出总体能够按照预算执行，根据评分标准，该指标不扣分，得3分。</w:t>
        <w:br/>
        <w:t>（3）资金使用合规性：我单位制定了《喀什地区体育局财务收支管理制度》对经费使用进行规范管理，财务制度健全、执行严格，根据评分标准，该指标不扣分，得4分。</w:t>
        <w:br/>
        <w:t>（4）管理制度健全性：制定了喀什地区体育局相关管理办法，对财政专项资金进行严格管理，基本做到了专款专用，根据评分标准，该指标不扣分，得2分。</w:t>
        <w:br/>
        <w:t>（5）制度执行有效性：由我单位提出经费预算支出可行性方案，经过与体育局分管领导沟通后，报党组会议研究执行，财务对资金的使用合法合规性进行监督，年底对资金使用效果进行自评，根据评分标准，该指标不扣分，得3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（三）项目产出情况。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项目产出类指标包括产出数量、产出质量、产出时效三方面的内容，由3个三级指标构成，权重分为50分，实际得分50分，得分率为100%。</w:t>
        <w:br/>
        <w:t>（1）对于“产出数量”</w:t>
        <w:br/>
        <w:t>支持全民健身设施项目数量指标，预期指标值为1个，实际完成值为1个，指标完成率为100%，印证资料为全民健身设施补短板工程(喀什体育公园建设)项目工作总结，与预期目标一致，根据评分标准，该指标不扣分，得10分。</w:t>
        <w:br/>
        <w:t>合计得10分。</w:t>
        <w:br/>
        <w:t>（2）对于“产出质量”：</w:t>
        <w:br/>
        <w:t>项目建设验收合格率指标，预期指标值为100%，实际完成值为100%，指标完成率为100%，印证资料为全民健身设施补短板工程(喀什体育公园建设)项目工作总结，与预期目标一致，根据评分标准，该指标不扣分，得5分。</w:t>
        <w:br/>
        <w:t>资金使用合规率指标，预期指标值为100%，实际完成值为100%，指标完成率为100%，印证资料为体育公园总银行回单，与预期目标一致，根据评分标准，该指标不扣分，得5分。</w:t>
        <w:br/>
        <w:t>合计得10分。</w:t>
        <w:br/>
        <w:t>（3）对于“产出时效”：</w:t>
        <w:br/>
        <w:t>资金支付及时率指标，预期指标值为100%，实际完成值为100%，指标完成率为100%，印证资料为体育公园总银行回单，与预期目标一致，根据评分标准，该指标不扣分，得10分。</w:t>
        <w:br/>
        <w:t>合计得10分。</w:t>
        <w:br/>
        <w:t>（4）对于“经济成本”：</w:t>
        <w:br/>
        <w:t>工程施工尾款指标，预期指标值为小于等于274.35万元，实际完成值为274.35万元，指标完成率为100%，印证资料为工程尾款银行回单，与预期目标一致，根据评分标准，该指标不扣分，得4分。</w:t>
        <w:br/>
        <w:t>监理费指标，预期指标值为小于等于11.99万元，实际完成值为11.99万元，指标完成率为100%，印证资料为监理费银行回单，与预期目标一致，根据评分标准，该指标不扣分，得3分。</w:t>
        <w:br/>
        <w:t>工程结算审计费指标，预期指标值为小于等于7.16万元，实际完成值为17.16万元，指标完成率为100%，印证资料为工程结算审计费银行回单，与预期目标一致，根据评分标准，该指标不扣分，得3分。</w:t>
        <w:br/>
        <w:t>合计得10分。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（四）项目效益情况。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项目效益类指标包括项目效益1个方面的内容，由2个三级指标构成，权重分为20分，实际得分20分，得分率为100%。</w:t>
        <w:br/>
        <w:t>（1）对于“社会效益指标”：</w:t>
        <w:br/>
        <w:t>提高我区全民健身运动水平指标，该指标预期指标值为提高，实际完成值为提高，指标完成率为100%，印证资料为全民健身设施补短板工程(喀什体育公园建设)项目工作总结，与预期指标一致，根据评分标准，该指标不扣分，得10分。</w:t>
        <w:br/>
        <w:t>（2）对于“经济效益指标”：</w:t>
        <w:br/>
        <w:t>无。 </w:t>
        <w:br/>
        <w:t>（3）对于“生态效益指标”：</w:t>
        <w:br/>
        <w:t>无。</w:t>
        <w:br/>
        <w:t>（4）满意度指标：</w:t>
        <w:br/>
        <w:t>对于“满意度指标：使用全民健身设施群众满意度95%，该指标预期指标值为≥95%，实际完成值为95%，指标完成率为100%，印证资料为满意度资料，与预期目标一致，根据评分标准，该指标不扣分,得10分。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五、预算执行进度与绩效指标偏差</w:t>
      </w:r>
    </w:p>
    <w:p>
      <w:pPr>
        <w:spacing w:line="540" w:lineRule="exact"/>
        <w:ind w:firstLine="567"/>
        <w:rPr>
          <w:rFonts w:ascii="仿宋" w:hAnsi="仿宋" w:eastAsia="仿宋" w:cs="仿宋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全民健身设施补短板工程(喀什体育公园建设)项目预算293.5万元，到位293.5万元，实际支出293.5万元，预算执行率为100%，项目绩效指标总体完成率为100%，偏差率为0%。</w:t>
      </w:r>
    </w:p>
    <w:p>
      <w:pPr>
        <w:spacing w:line="570" w:lineRule="exact"/>
        <w:ind w:firstLine="624" w:firstLineChars="200"/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六、主要经验及做法、存在的问题及原因分析</w:t>
      </w: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  <w:lang w:eastAsia="zh-CN"/>
        </w:rPr>
        <w:t>、下一步改进措施</w:t>
      </w:r>
      <w:bookmarkStart w:id="0" w:name="_GoBack"/>
      <w:bookmarkEnd w:id="0"/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（一）主要经验及做法</w:t>
        <w:br/>
        <w:t>通过该项目的实施，新建10万平方米集球类（足球、排球、篮球、网球等）、健身步道、儿童活动类设施等，项目的实施丰富了我区群众体育生活，扩大了我市体育场地设施有效供给，进一步落实了自治区“体育强区”战略目标。</w:t>
        <w:br/>
        <w:t>（二）存在问题及原因分析</w:t>
        <w:br/>
        <w:t>由于之前受疫情因素影响，项目未能按期完工投入使用，导致项目拖拉，不能及时完成竣工决算。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七、有关建议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1、项目前期做好可行性研究报告，更加细化实施方案，严格执行资金管理办法和财政资金管理制度，严格按照项目实施方案、招投标管理办法等稳步推进工作。</w:t>
        <w:br/>
        <w:t>2、在预算安排阶段,应当根据项目的特点和目标,制定出明确的绩效指标,并且为每个指标设定合理的达成目标。这样可以让预算的执行过程更加有针对性。在预算执行过程中,需要建立完善的绩效评估体系,包括数据收集、数据整理、数据分析等环节。只有通过科学的数据分析,才能对项目的绩效进行客观的评估。</w:t>
        <w:br/>
        <w:t>3.一是严格按照《财务管理制度》使用项目资金，确保资金支付合规合法。二是严格执行资金拨付审批流程，确保资金支付手续合规。</w:t>
        <w:br/>
        <w:t>4.项目启动时同步做好档案的归纳与整理，及时整理、收集、汇总，健全档案资料。项目后续管理有待进一步加强和跟踪。通过绩效管理，发现实施中存在漏洞，以后加强管理，及时掌握与之相关的各类信息，减少成本，使资金效益最大化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八、其他需要说明的问题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我单位对上述项目支出绩效评价报告内反映内容的真实性、完整性负责，接受上级部门及社会公众监督。</w:t>
      </w: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0110C4"/>
    <w:rsid w:val="00037D50"/>
    <w:rsid w:val="0005416C"/>
    <w:rsid w:val="00056465"/>
    <w:rsid w:val="000E0F73"/>
    <w:rsid w:val="001028C5"/>
    <w:rsid w:val="00102DFF"/>
    <w:rsid w:val="00121AE4"/>
    <w:rsid w:val="0014601B"/>
    <w:rsid w:val="00146AAD"/>
    <w:rsid w:val="00150F05"/>
    <w:rsid w:val="00187874"/>
    <w:rsid w:val="001B3A40"/>
    <w:rsid w:val="001F78EB"/>
    <w:rsid w:val="00273CCD"/>
    <w:rsid w:val="00291BC0"/>
    <w:rsid w:val="002A6E1A"/>
    <w:rsid w:val="002E53FC"/>
    <w:rsid w:val="00311DBE"/>
    <w:rsid w:val="00345DD7"/>
    <w:rsid w:val="00351EFF"/>
    <w:rsid w:val="003B0577"/>
    <w:rsid w:val="003B4B1E"/>
    <w:rsid w:val="003D114D"/>
    <w:rsid w:val="003E7E58"/>
    <w:rsid w:val="003F5180"/>
    <w:rsid w:val="00414C3A"/>
    <w:rsid w:val="004366A8"/>
    <w:rsid w:val="004A05EE"/>
    <w:rsid w:val="004C38BC"/>
    <w:rsid w:val="004F1F3C"/>
    <w:rsid w:val="00502BA7"/>
    <w:rsid w:val="005136F0"/>
    <w:rsid w:val="005162F1"/>
    <w:rsid w:val="00535153"/>
    <w:rsid w:val="00554F82"/>
    <w:rsid w:val="0056390D"/>
    <w:rsid w:val="005719B0"/>
    <w:rsid w:val="005A4F2E"/>
    <w:rsid w:val="005A5018"/>
    <w:rsid w:val="005C51DF"/>
    <w:rsid w:val="005D10D6"/>
    <w:rsid w:val="005E7C5E"/>
    <w:rsid w:val="006A1CC4"/>
    <w:rsid w:val="0075584F"/>
    <w:rsid w:val="0076216D"/>
    <w:rsid w:val="007A3C1F"/>
    <w:rsid w:val="007C0EA3"/>
    <w:rsid w:val="00810970"/>
    <w:rsid w:val="00855E3A"/>
    <w:rsid w:val="008C6C26"/>
    <w:rsid w:val="008F4CA9"/>
    <w:rsid w:val="0091457F"/>
    <w:rsid w:val="00922CB9"/>
    <w:rsid w:val="00925D36"/>
    <w:rsid w:val="00944DD1"/>
    <w:rsid w:val="00954232"/>
    <w:rsid w:val="009757D2"/>
    <w:rsid w:val="009B5C22"/>
    <w:rsid w:val="009E5CD9"/>
    <w:rsid w:val="009F4373"/>
    <w:rsid w:val="00A256D5"/>
    <w:rsid w:val="00A26421"/>
    <w:rsid w:val="00A34588"/>
    <w:rsid w:val="00A4017F"/>
    <w:rsid w:val="00A413B8"/>
    <w:rsid w:val="00A4293B"/>
    <w:rsid w:val="00A67D50"/>
    <w:rsid w:val="00A8691A"/>
    <w:rsid w:val="00A972DF"/>
    <w:rsid w:val="00AC1946"/>
    <w:rsid w:val="00AC3A96"/>
    <w:rsid w:val="00AD5E52"/>
    <w:rsid w:val="00AF683C"/>
    <w:rsid w:val="00B2343E"/>
    <w:rsid w:val="00B40063"/>
    <w:rsid w:val="00B41F61"/>
    <w:rsid w:val="00B425C7"/>
    <w:rsid w:val="00B53D26"/>
    <w:rsid w:val="00B74D04"/>
    <w:rsid w:val="00BA187C"/>
    <w:rsid w:val="00BA46E6"/>
    <w:rsid w:val="00BB5015"/>
    <w:rsid w:val="00C34DD1"/>
    <w:rsid w:val="00C56C72"/>
    <w:rsid w:val="00C62CB9"/>
    <w:rsid w:val="00CA5AD1"/>
    <w:rsid w:val="00CA6457"/>
    <w:rsid w:val="00CA6DC2"/>
    <w:rsid w:val="00CD37A4"/>
    <w:rsid w:val="00CE2FD9"/>
    <w:rsid w:val="00D032EA"/>
    <w:rsid w:val="00D17F2E"/>
    <w:rsid w:val="00D30354"/>
    <w:rsid w:val="00D40DCC"/>
    <w:rsid w:val="00D52B7C"/>
    <w:rsid w:val="00D80C1E"/>
    <w:rsid w:val="00D967F5"/>
    <w:rsid w:val="00DA4559"/>
    <w:rsid w:val="00DB1661"/>
    <w:rsid w:val="00DD3412"/>
    <w:rsid w:val="00DF42A0"/>
    <w:rsid w:val="00E30E91"/>
    <w:rsid w:val="00E655F7"/>
    <w:rsid w:val="00E7612A"/>
    <w:rsid w:val="00E769FE"/>
    <w:rsid w:val="00E774CE"/>
    <w:rsid w:val="00E96D03"/>
    <w:rsid w:val="00EA2CBE"/>
    <w:rsid w:val="00EB10A0"/>
    <w:rsid w:val="00F32FEE"/>
    <w:rsid w:val="00FB10BB"/>
    <w:rsid w:val="00FF3B44"/>
    <w:rsid w:val="2AE11386"/>
    <w:rsid w:val="2D4C6AD2"/>
    <w:rsid w:val="2D5A6638"/>
    <w:rsid w:val="340D5924"/>
    <w:rsid w:val="43B04001"/>
    <w:rsid w:val="4609551D"/>
    <w:rsid w:val="4D2606A1"/>
    <w:rsid w:val="4DD42C22"/>
    <w:rsid w:val="503863D1"/>
    <w:rsid w:val="50796DE0"/>
    <w:rsid w:val="5DA70C36"/>
    <w:rsid w:val="716B6B6A"/>
    <w:rsid w:val="7A780714"/>
    <w:rsid w:val="7C7B6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字符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字符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字符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字符"/>
    <w:basedOn w:val="17"/>
    <w:link w:val="5"/>
    <w:qFormat/>
    <w:uiPriority w:val="9"/>
    <w:rPr>
      <w:b/>
      <w:bCs/>
      <w:sz w:val="28"/>
      <w:szCs w:val="28"/>
    </w:rPr>
  </w:style>
  <w:style w:type="character" w:customStyle="1" w:styleId="24">
    <w:name w:val="标题 5 字符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字符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字符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字符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字符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字符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字符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字符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字符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字符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字符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字符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footer1.xml" Type="http://schemas.openxmlformats.org/officeDocument/2006/relationships/footer"/>
<Relationship Id="rId4" Target="theme/theme1.xml" Type="http://schemas.openxmlformats.org/officeDocument/2006/relationships/theme"/>
<Relationship Id="rId5" Target="../customXml/item1.xml" Type="http://schemas.openxmlformats.org/officeDocument/2006/relationships/customXml"/>
<Relationship Id="rId6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110</Words>
  <Characters>633</Characters>
  <Lines>5</Lines>
  <Paragraphs>1</Paragraphs>
  <TotalTime>1</TotalTime>
  <ScaleCrop>false</ScaleCrop>
  <LinksUpToDate>false</LinksUpToDate>
  <CharactersWithSpaces>742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2022-01-14T05:11:00Z</dcterms:created>
  <dc:creator>赵 恺（预算处）</dc:creator>
  <cp:lastModifiedBy>admin</cp:lastModifiedBy>
  <cp:lastPrinted>2018-12-31T10:56:00Z</cp:lastPrinted>
  <dcterms:modified xsi:type="dcterms:W3CDTF">2023-08-14T08:17:32Z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