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2023年中央补助地方公共文化服务体系建设补助资金项目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喀什地区文化馆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葛晓</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通过该项目的实施，开展线上线下“文彩会”、公共文化云“赶大集”线上店铺创建，创建店铺10个。展示展览文创产品上百件。初步构建了现代公共文化服务体系，促进基层公共文化服务标准化、均等化，保障广大群众文化爱好者的基本文化权益。</w:t>
        <w:br/>
        <w:t>2. 主要内容及实施情况</w:t>
        <w:br/>
        <w:t>本项目主要用于建设公共文化云平台。搭建了公共文化云建设平台，初步构建了现代公共文化服务体系。目前，公共文化云建设平台已创建店铺10个，加载文创类产品百余种，开展了线上线下“文彩会”，促进了基层公共文化服务标准化、均等化，保障了广大群众文化爱好者的基本文化权益。</w:t>
        <w:br/>
        <w:t>3.项目实施主体</w:t>
        <w:br/>
        <w:t>喀什地区文化馆为全额事业单位，纳入2023年部门决算编制范围的有3个办公室，分别为：办公室、美术部、文艺部。</w:t>
        <w:br/>
        <w:t>编制人数25人，其中：行政人员编制0人、工勤0人、参公0人、事业编制25人。实有在职人数20人，其中：行政在职0人、工勤0人、参公0人、事业在职20人。离退休人员15人，其中：行政退休人员0人、事业退休15人。</w:t>
        <w:br/>
        <w:t>4. 资金投入和使用情况</w:t>
        <w:br/>
        <w:t>根据自治区《关于提前下达2023年中央补助地方公共文化服务体系建设补助资金预算的通知》（新财教【2022】188号）共安排下达资金50万元，为转移支付资金，最终确定项目资金总数为50万元。</w:t>
        <w:br/>
        <w:t>截至2023年12月31日，实际支出49.8万元，预算执行率99.6%。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通过该项目的实施，开展了线上线下“文彩会”、开展了公共文化云“赶大集”线上店铺创建，创建店铺10个。展示展览文创产品171个。初步构建了现代公共文化服务体系，促进了基层公共文化服务标准化、均等化，保障了广大群众文化爱好者的基本文化权益。</w:t>
        <w:br/>
        <w:t>2.阶段性目标</w:t>
        <w:br/>
        <w:t>实施的前期准备工作：2023年年初，我单位根据公共文化云平台创建要求，对照国家公共文化云平台建设要求，制定了2023年公共文化云平台建设方案。</w:t>
        <w:br/>
        <w:t>具体实施工作：项目在实施过程中，主要由文化馆办公室统筹，文艺部与美术部负责具体活动实施。活动实施之前先行提交活动方案至支委会研究，活动预算超过一万元的事项，经支委会研究通过后，报请局党组审议通过后实施。</w:t>
        <w:br/>
        <w:t>验收阶段的具体工作：项目结束后，由责任部室及责任人组织验收小组进行验收，撰写总结信息，并通过官方媒体发布。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刘晓玉任评价组组长，绩效评价工作职责为负责全盘工作。</w:t>
        <w:br/>
        <w:t>葛晓任评价组副组长，绩效评价工作职责为为对项目实施情况进行实地调查。</w:t>
        <w:br/>
        <w:t>徐鑫任评价组成员，绩效评价工作职责为负责资料审核等工作。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通过实施2023年中央补助地方公共文化服务体系建设补助资金项目产生公共文化服务资源均等化效益。项目实施主要通过项目决策、项目过程、项目产出以及项目效益等方面进行评价，其中：</w:t>
        <w:br/>
        <w:t>项目决策：该项目主要通过《关于提前下达2023年中央补助地方公共文化服务体系建设补助资金预算的通知》（新财教〔2022〕188号）文件立项，项目实施符合文件要求，项目立项依据充分，立项程序规范。 </w:t>
        <w:br/>
        <w:t>项目过程：2023年中央补助地方公共文化服务体系建设补助资金项目预算安排50万元，实际支出49.8万元，预算执行率99.6%。项目资金使用合规，项目财务管理制度健全，财务监控到位，所有资金支付均按照国库集中支付制度严格执行，现有项目管理制度执行情况良好。</w:t>
        <w:br/>
        <w:t>项目产出：此项目的实施，文创产品展示种类100个;“赶大集”板块店铺开设10个;活动考评率（%）达到100%。</w:t>
        <w:br/>
        <w:t>项目效益：通过实施此项目产生基层群众文化服务能力提高的效益。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补助地方公共文化服务体系建设补助资金项目进行客观评价，最终评分结果：评价总分96.5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</w:t>
        <w:br/>
        <w:t>该项目根据自治区《关于提前下达2023年中央补助地方公共文化服务体系建设补助资金预算的通知》（新财教【2022】188号）、新疆维吾尔自治区喀什地区机构编制委员会文件《关于喀什地区群艺馆机构编制方案的通知》（喀机编字[2007]111号）等文件设立，符合国家法律法规、国民经济发展规划和相关政策；符合行业发展规划和政策要求。</w:t>
        <w:br/>
        <w:t>根据新疆维吾尔自治区喀什地区机构编制委员会文件《关于喀什地区群艺馆机构编制方案的通知》（喀机编字[2007]111号）文件，该项目与喀什地区文化馆主要职责：“开展各类健康有益的群众文化活动；组织群众文艺作品创作和文化理论研究，收集、整理、研究、开发民间优秀文化，挖掘保护和继承民间文化遗产；培养各类特别是青少年艺术人才，开展对外社会文化交流，弘扬中华民族优秀文化”等核心任务职能相关。根据评分标准，该指标不扣分，得3分。</w:t>
        <w:br/>
        <w:t>（2）立项程序规范性：</w:t>
        <w:br/>
        <w:t>经了解该项目属于一次性项目，主要依据《关于提前下达2023年中央补助地方公共文化服务体系建设补助资金预算的通知》（喀地财教【2022】78号）文件立项根据评分标准，该指标不扣分，得2分。</w:t>
        <w:br/>
        <w:t>（3）绩效目标合理性：</w:t>
        <w:br/>
        <w:t>本项目有明确的工作任务目标，通过查看《项目支出绩效目标表》该项目绩效目标与实际工作内容具有相关性。项目预期产出效益和效果较完成业绩水平较低，根据评分标准，减0.5分，得2.5分。</w:t>
        <w:br/>
        <w:t>（4）绩效指标明确性：</w:t>
        <w:br/>
        <w:t>通过查看《项目支出绩效目标表》显示，项目绩效目标细化分解为6个二级指标、7个三级指标，工作任务明确，但在项目实际执行过程中，项目实际完成数量大于指标预期完成数量，指标准确性有待加强。根据评分标准，减0.5分，得1.5分。</w:t>
        <w:br/>
        <w:t>（5）预算编制科学性：</w:t>
        <w:br/>
        <w:t>中央补助地方公共文化服务体系建设专项项目预算金额为50万元，主要用于保障公共文化云平台建设，根据《关于提前下达2023年中央补助地方公共文化服务体系建设补助资金预算的通知》（喀地财教【2022】78号）文件下拨预算。根据评分标准，该指标不扣分，得3分。</w:t>
        <w:br/>
        <w:t>（6）资金分配合理性：</w:t>
        <w:br/>
        <w:t>本项目根据《关于提前下达2023年中央补助地方公共文化服务体系建设补助资金预算的通知》（喀地财教【2022】78号）文件要求，符合《喀什地区文化馆预算项目管理办法》、《喀什地区文化馆资金管理办法》等相关管理办法、规划和法律法规。该项目于2023年开始实施，主要用于保障公共文化云数字平台建设，资金分配合理。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</w:t>
        <w:br/>
        <w:t>本项目预算资金50万元，截止2023年12月31日，资金到位50万元，资金到位率100%。根据评分标准，该指标不扣分，得3分。   </w:t>
        <w:br/>
        <w:t>（2）预算执行率：</w:t>
        <w:br/>
        <w:t>本项目资金执行率=（截止2023年12月31日支出的资金总和/50万元）*100%，即：49.8万元/50万元*100%=99.6%。根据评分标准，该指标不扣分，得3分。</w:t>
        <w:br/>
        <w:t>（3）资金使用合规性：</w:t>
        <w:br/>
        <w:t>本项目根据《关于提前下达2023年中央补助地方公共文化服务体系建设补助资金预算的通知》（喀地财教【2022】78号）文件下达，符合国家、自治区以及喀什地区等相关政策、规划和法律法规。本次检查，未发现违规使用情况：经检查，该项目资金全部用于保障公共文化云平台建设，符合资金下达规定用途，不存在截留、挤占、挪用、虚列支出等，根据评分标准，该指标不扣分，得4分。</w:t>
        <w:br/>
        <w:t>（4）管理制度健全性：</w:t>
        <w:br/>
        <w:t>为保障项目顺利实施，我馆制订了《喀什地区文化馆预算项目管理办法》、《喀什地区文化馆资金管理办法》等管理办法，相关管理办法符合国家、自治区及地区的相关法律法规。根据评分标准，该指标不扣分，得5分。</w:t>
        <w:br/>
        <w:t>（5）制度执行有效性：</w:t>
        <w:br/>
        <w:t>项目在执行过程中遵守国家、自治区及地区相关法律法规严格按照《喀什地区文化馆预算项目管理办法》、《喀什地区文化馆资金管理办法》执行。项目实施过程中，明确负责人，所有活动开展前均制定详细的实施方案，确保人员、场地、物资等均保障到位，项目实施结束后，由活动负责人负责活动资料收集与整理并及时归档。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项目产出类指标包括产出数量、产出质量、产出时效、产出成本四方面的内容，由4个三级指标构成，权重分为45分，实际得分42.5分，得分率为94.44%。</w:t>
        <w:br/>
        <w:t>（1）对于“产出数量”</w:t>
        <w:br/>
        <w:t>文创产品展示种类指标，预期指标值为&gt;=80个，实际完成值为100个，指标完成率为125%，偏差原因：项目实施结果高于预期，商家提供超额服务；整改措施：项目实施前，因多方面了解，将计划做实做细。与预期目标不一致，根据评分标准，该指标扣0.5分，得4.5分</w:t>
        <w:br/>
        <w:t>“赶大集”板块店铺开设指标，预期指标值为&gt;=5个，实际完成值为10个，指标完成率为200%，偏差原因：项目实施结果高于预期，商家提供超额服务；整改措施：项目实施前，因多方面了解，将计划做实做细。与预期目标不一致，根据评分标准，该指标扣0.5分，得4.5分。</w:t>
        <w:br/>
        <w:t>合计得9分。</w:t>
        <w:br/>
        <w:t>（2）对于“产出质量”：</w:t>
        <w:br/>
        <w:t>活动考评率（%）指标，预期指标值为&gt;=90%，实际完成值为100%，指标完成率为111%，偏差原因：项目实施结果高于预期预期目标，前期指标设置不准确；整改措施：项目实施前，因多方面了解，将计划做实做细。高于预期目标，根据评分标准，该指标扣0.5分，得9.5分。</w:t>
        <w:br/>
        <w:t>合计得9.5分。</w:t>
        <w:br/>
        <w:t>（3）对于“产出时效”：</w:t>
        <w:br/>
        <w:t>活动开展及时率（%）指标，预期指标值为&gt;=95%，实际完成值为100%，指标完成率为105%，偏差原因：项目实施结果高于预期预期目标，前期指标设置不准确；整改措施：项目实施前，因多方面了解，将计划做实做细。高于预期目标，根据评分标准，该指标扣0.5分，得9.5分。</w:t>
        <w:br/>
        <w:t>合计得9.5分。</w:t>
        <w:br/>
        <w:t>（4）对于“产出成本”：</w:t>
        <w:br/>
        <w:t>项目预算控制率（%）指标，预期指标值为&lt;=100%，实际完成值为99.6%，指标完成率为99.6%，偏差原因：项目在实施过程中紧压资金，压缩成本，成本较预期有所节约；整改措施：无。根据评分标准，该指标扣0.5分，得14.5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提升基层群众文化服务能力指标，该指标预期指标值为提高，实际完成值为提高，指标完成率为100%，与预期指标一致，根据评分标准，该指标不扣分，得10分。</w:t>
        <w:br/>
        <w:t>实施效益指标合计得10分。</w:t>
        <w:br/>
        <w:t>（2）满意度指标分析</w:t>
        <w:br/>
        <w:t>对于“满意度指标：参加活动人员满意度，该指标预期指标值为&gt;=95%，实际完成值为99.3%，指标完成率为105%，偏差原因：项目实施过程中满意度较预期较好；整改措施：综合考虑各项因素，指标设定应做实做细。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补助地方公共文化服务体系建设补助资金项目预算50万元，到位50万元，实际支出49.8万元，预算执行率为99.6%，项目绩效指标总体完成率为118.5%，偏差率为18.9%,偏差原因活动实际完成效果高于预期，采取的措施在日后绩效工作开展过程中，将事前工作做实做细，降低指标值与实际工作中存在的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1、项目管理不规范，在项目执行过程中，可能存在变更管理不到位、资料归档不及时等问题，导致尾款结算时缺乏必要依据。</w:t>
        <w:br/>
        <w:t>2、合同条款不明确，对各项指标和指标值要进一步优化、完善，主要在细化、量化上改进。</w:t>
        <w:br/>
        <w:t>3、合同管理不严谨，在合同签订阶段，对于尾款支付的具体条款和条件未进行明确约定，导致后期执行过程中存在歧义。</w:t>
        <w:br/>
        <w:t>4、沟通协调不畅，单位项目管理人员在办理前期手续和采购手续时因不熟悉流程影响工程及采购项目的进程。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1、加强项目管理，建立健全项目管理制度，确保项目变更管理到位、资料归档及时。</w:t>
        <w:br/>
        <w:t>2、完善合同条款，在合同签订阶段，应明确尾款支付的具体条款和条件。</w:t>
        <w:br/>
        <w:t>3、加强合同管理，在合同签订阶段，应明确尾款支付的具体条款和条件，避免后期执行过程中产生歧义。</w:t>
        <w:br/>
        <w:t>4、强化沟通协调，及时交流项目进展情况，共同解决尾款支付过程中遇到的问题。对于结算争议，应主动沟通、协商解决，避免影响项目整体进度。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