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工信局单位结余收入项目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新疆维吾尔自治区喀什地区工业和信息化局（本级）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新疆维吾尔自治区喀什地区工业和信息化局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付玉军、刘洪波、姚元福</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工信局单位结余收入项目实施前期、过程及效果，评价财政预算资金使用的效率及效益。通过该项目的实施，保障2名援疆柔性人才、2辆公车、在职在编37人日常办公，组织实施企业经营管理创新人才培养，工业经济管理骨干人才培养，地区组织振兴、人才振兴，深入县市企业开展上门指导不少于2次，编制十四五中期评估及任务目标修订，开展山东文旅频道市场援疆及媒体宣传、招商引资，大仓东移，鲁喀两地三交活动、组织实施1场“鲁喀杯”工业设计大赛等工作，以此推进喀什地区工业十大产业健康发展。</w:t>
        <w:br/>
        <w:t>2. 主要内容及实施情况</w:t>
        <w:br/>
        <w:t>本项目建设主要服务于当地工业产业的发展。组织实施企业经营管理创新人才培养，工业经济管理骨干人才培养，地区组织振兴、人才振兴，深入县市企业开展上门指导不少于2次，编制十四五中期评估及任务目标修订，开展山东文旅频道市场援疆及媒体宣传、招商引资，大仓东移，鲁喀两地三交活动、组织实施1场“鲁喀杯”工业设计大赛等工作，把高质量发展的要求贯穿新型工业化全过程”指示精神，全面落实自治区加快打造以“八大产业集群”为支撑的现代产业体系战略部署和地委“12345”战略和发展“十大产业”工作安排。夯实工业经济发展基础，打造产业发展四梁八柱，全力推进工业经济高质量发展。</w:t>
        <w:br/>
        <w:t>3.项目实施主体</w:t>
        <w:br/>
        <w:t>新疆维吾尔自治区喀什地区工业和信息化局为行政单位，纳入2023年部门决算编制范围的有1个：新疆维吾尔自治区喀什地区工业和信息化局（本级）。</w:t>
        <w:br/>
        <w:t>编制人数44人，其中：行政人员编制24人、工勤0人、参公0人、事业编制20人。实有在职人数37人，其中：行政在职24人、工勤0人、参公0人、事业在职13人。离退休人员70人，其中：行政离休人员2人，行政退休人员47人、事业退休21人。</w:t>
        <w:br/>
        <w:t>4. 资金投入和使用情况</w:t>
        <w:br/>
        <w:t>本项目根据广东前指《关于拨付工作经费的通知》（粤援疆前指〔2022〕23号）、广东前指《关于拨付组建喀什地区特色农产品加工业协会启动资金的通知》（粤援疆前指〔2022〕37号）、山东前指《关于拨付编制喀什地区“十四五”工业和信息化产业发展规划项目资金的通知》（鲁援疆指财〔2020〕33号）、山东前指《关于拨付2021年“大仓东移”工程首批项目资金的通知》（鲁援疆指财〔2021〕43号）、《关于拨付2021年“大仓东移”工程剩余项目资金的通知》（鲁援疆指财〔2021〕90号）、山东前指《关于拨付2022年“大仓东移”项目资金的通知》（鲁援疆指财〔2022〕50号）、山东前指《关于拨付2022年山东文旅频道市场援疆及媒体宣传、招商引资项目资金的通知》（鲁援疆指财〔2022〕185号）、山东前指《关于拨付鲁喀两地三交活动资金的通知》（鲁援疆指财〔2022〕43号）、山东前指《关于拨付2022年引进的援疆柔性人才管理保障资金的通知》（鲁援疆指财〔2022〕78号）等文件共安排下达资金2185.44万元，为援疆资金，最终确定项目资金总数为2185.44万元。</w:t>
        <w:br/>
        <w:t>截至2022年12月31日，实际支出2152.61万元，预算执行率98.5%。</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工信局单位结余收入项目通过保障2名援疆柔性人才、4辆公车、在职在编38人日常办公，组织实施企业经营管理创新人才培养，工业经济管理骨干人才培养，地区组织振兴、人才振兴，深入县市企业开展上门指导不少于2次，编制十四五中期评估及任务目标修订，开展山东文旅频道市场援疆及媒体宣传、招商引资，大仓东移，鲁喀两地三交活动、组织实施1场“鲁喀杯”工业设计大赛等工作，以此推进喀什地区工业十大产业健康发展。</w:t>
        <w:br/>
        <w:t>2.阶段性目标</w:t>
        <w:br/>
        <w:t>实施的前期准备工作：根据项目资金使用方案对各县市开展摸底调研工作，制定符合本县实际的人才培养计划及指导内容；对接上海市业余科技学院（上海科学会堂服务中心）喀什地区工业产业园管理者及企业经营管理者培训班前期准备工作等事宜。</w:t>
        <w:br/>
        <w:t>具体实施工作：2023年4月完成援疆柔性人才管理保障费用支付工作；2023年8月完成山东援疆“鲁喀杯”工业设计暨研发创新大赛工作；2023年12月前完成不少于2次的深入县市企业开展上门指导工作，喀什地区工业“十四五”发展规划中期评估及任务目标修订编制成果审验工作，大仓东移项目相关工作，鲁喀两地三交活动，山东文旅频道市场援疆及媒体宣传工作。</w:t>
        <w:br/>
        <w:t>验收阶段的具体工作：根据各项目实施情况及审计报告对项目资金验收付款。</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刘其宝任评价组组长，绩效评价工作职责为负责全盘工作。</w:t>
        <w:br/>
        <w:t>刘洪波、付玉军、姚元福、康丽华任评价组副组长，绩效评价工作职责为为对项目实施情况进行实地调查。</w:t>
        <w:br/>
        <w:t>帕提古丽·艾山、米尔阿力木、沈信儒、亚森任评价组成员，绩效评价工作职责为负责资料审核等工作。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刘其宝任评价组组长，绩效评价工作职责为负责全盘工作。</w:t>
        <w:br/>
        <w:t>刘洪波、付玉军、姚元福、康丽华任评价组副组长，绩效评价工作职责为为对项目实施情况进行实地调查。</w:t>
        <w:br/>
        <w:t>帕提古丽·艾山、米尔阿力木、沈信儒、亚森任评价组成员，绩效评价工作职责为负责资料审核等工作。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项目决策类指标包括项目立项、绩效目标和资金投入三方面的内容，由6个三级指标构成，权重分为15分，实际得分14分，得分率为93.33%。</w:t>
        <w:br/>
        <w:t>（1）立项依据充分性：本项目根据广东前指《关于拨付工作经费的通知》（粤援疆前指〔2022〕23号）、广东前指《关于拨付组建喀什地区特色农产品加工业协会启动资金的通知》（粤援疆前指〔2022〕37号）、山东前指《关于拨付编制喀什地区“十四五”工业和信息化产业发展规划项目资金的通知》（鲁援疆指财〔2020〕33号）、山东前指《关于拨付2021年“大仓东移”工程首批项目资金的通知》（鲁援疆指财〔2021〕43号）、《关于拨付2021年“大仓东移”工程剩余项目资金的通知》（鲁援疆指财〔2021〕90号）、山东前指《关于拨付2022年“大仓东移”项目资金的通知》（鲁援疆指财〔2022〕50号）、山东前指《关于拨付2022年山东文旅频道市场援疆及媒体宣传、招商引资项目资金的通知》（鲁援疆指财〔2022〕185号）、山东前指《关于拨付鲁喀两地三交活动资金的通知》（鲁援疆指财〔2022〕43号）、山东前指《关于拨付2022年引进的援疆柔性人才管理保障资金的通知》（鲁援疆指财〔2022〕78号）等文件要求，牢牢把握高质量发展首要任务，谋划产业布局、做好企业服务，提高产业承载能力，着力夯实工业经济发展基础，打造产业发展四梁八柱，全力推进工业经济高质量发展。围绕2023年度工作重点和工作计划制定经费预算，根据评分标准，该指标不扣分，得3分。</w:t>
        <w:br/>
        <w:t>（2）立项程序规范性：根据《工信局单位结余收入项目实施方案》编制工作计划和经费预算，经过与工信局分管领导进行沟通、筛选确定经费预算计划，各业务科室开会研究确定最终预算方案，根据评分标准，该指标不扣分，得2分。</w:t>
        <w:br/>
        <w:t>（3）绩效目标合理性：制定了《工信局单位结余收入项目实施方案》，明确了总体思路及目标、并对任务进行了详细分解，对目标进行了细化，根据评分标准，该指标不扣分，得3分。</w:t>
        <w:br/>
        <w:t>（4）绩效指标明确性：将工信局单位结余收入项目绩效目标细化分解为具体的绩效指标，一级指标4个，二级指标6个，三级指标24个，根据评分标准，该指标不扣分，得2分。</w:t>
        <w:br/>
        <w:t>（5）预算编制科学性：预算编制经过科学论证，通过组织实施通过保障2名援疆柔性人才、4辆公车、在职在编38人日常办公，组织实施企业经营管理创新人才培养，工业经济管理骨干人才培养，地区组织振兴、人才振兴，深入县市企业开展上门指导不少于2次，编制十四五中期评估及任务目标修订，开展山东文旅频道市场援疆及媒体宣传、招商引资，大仓东移，鲁喀两地三交活动、组织实施1场“鲁喀杯”工业设计大赛等工作，以此推进喀什地区工业十大产业健康发展。但数量指标中公务保障用车数量指标、支持协会数量指标未完成，经济成本指标中指导费用成本、编制费用成本指标未完成，根据评分标准，该指标扣1分，得2分。</w:t>
        <w:br/>
        <w:t>（6）资金分配合理性：资金分配与实际相适应，根据评分标准，该指标不扣分，得2分。</w:t>
        <w:br/>
        <w:t>资金分配与援疆工作补贴成本、编制费用成本、大仓东移项目成本、鲁喀两地三交活动成本、山东文旅频道市场援疆及媒体宣传成本、“鲁喀杯”工业设计暨研发创新大赛项目成本资金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5个三级指标构成，权重分为20分，实际得分19.89分，得分率为99.45%。</w:t>
        <w:br/>
        <w:t>（1）资金到位率：援疆资金足额拨付到位，预算金额2185.44万元，实际到位资金2185.44万元，到位率100%，援工信局能够及时足额按照合同约定将专项资金拨付给相关单位，根据评分标准，该指标不扣分，得3分。   </w:t>
        <w:br/>
        <w:t>（2）预算执行率：实际到位资金2185.44万元，实际支出金额2152.61万元，预算执行率为98.5%，预算编制较为详细，项目资金支出总体能够按照预算执行，因本年度未公务保障用车数量指标、支持协会数量指标、指导费用成本指标、指导费用成本指标未完成，根据评分标准，该指标扣0.11分，得2.89分。</w:t>
        <w:br/>
        <w:t>（3）资金使用合规性：根据《工信局收入支出管理制度》，对经费使用进行规范管理，财务制度健全、执行严格，根据评分标准，该指标不扣分，得4分。</w:t>
        <w:br/>
        <w:t>（4）管理制度健全性：根据《工信局收入支出管理制度》，对财政专项资金进行严格管理，基本做到了专款专用，根据评分标准，该指标不扣分，得5分。</w:t>
        <w:br/>
        <w:t>（5）制度执行有效性：由企业科、轻工办、产业科等业务科室提出经费预算支出申请，经与局分管领导沟通后，报党组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项目产出类指标包括产出数量、产出质量、产出时效三方面的内容，由3个三级指标构成，权重分为45分，实际得分33.74分，得分率为84.35%。</w:t>
        <w:br/>
        <w:t>（1）对于“产出数量”</w:t>
        <w:br/>
        <w:t>发放（补助）人数（人）指标，预期指标值为等于2人，实际完成值为2人，指标完成率为100%，与预期目标一致，根据评分标准，该指标不扣分，得2分。</w:t>
        <w:br/>
        <w:t>公务保障用车数量（辆）指标，预期指标值为等于4辆，实际完成值为2辆，指标完成率为50%，偏差率50%，偏差原因：2023年度报废公务用车2辆。改进措施：合理设置指标值。根据评分标准，该指标不得分，得0分。</w:t>
        <w:br/>
        <w:t>保障办公人员数量（人）指标，预期指标值为大于等于38人，实际完成值为37人，指标完成率为97.36%偏差率0.64%，偏差原因：2023年度人员调出1人。改进措施：合理设置指标值。根据评分标准，该指标不得分，得0分。</w:t>
        <w:br/>
        <w:t>举办活动场次（次）指标，预期指标值为大于等于1次，实际完成值为1次，指标完成率为100%，与预期目标一致，根据评分标准，该指标不扣分，得1分。</w:t>
        <w:br/>
        <w:t>深入县市企业开展上门指导次数（次）指标，预期指标值为大于等于2次，实际完成值为2次，指标完成率为100%，与预期目标一致，根据评分标准，该指标不扣分，得1分。</w:t>
        <w:br/>
        <w:t>喀什地区工业“十四五”发展规划中期评估及任务目标修订编制成果（套）指标，预期指标值为等于1套，实际完成值为1套，指标完成率为100%，与预期目标一致，根据评分标准，该指标不扣分，得1分。</w:t>
        <w:br/>
        <w:t>“鲁喀杯”工业设计大赛（场）指标，预期指标值为1场，实际完成值为1场，指标完成率为100%，与预期目标一致，根据评分标准，该指标不扣分，得1分。</w:t>
        <w:br/>
        <w:t>支持协会数量（个）指标，预期指标值为1个，实际完成率为0%，偏差率100%，偏差原因：农副产品协会已成立，故启动资金已全额退回广东前指。改进措施：根据实际情况合理设置指标值。根据评分标准，该指标不得分，得0分。</w:t>
        <w:br/>
        <w:t>工业企业综合创新管理服务平台开发（个）指标，预期指标值为1个，实际完成值为1个，指标完成率为100%，与预期目标一致，根据评分标准，该指标不扣分，得1分。</w:t>
        <w:br/>
        <w:t>合计得7分。</w:t>
        <w:br/>
        <w:t>（2）对于“产出质量”：</w:t>
        <w:br/>
        <w:t>项目资金使用合规率（%）指标，预期指标值为等于100%，实际完成值为100%，指标完成率为100%，与预期目标一致，根据评分标准，该指标不扣分，得10分。</w:t>
        <w:br/>
        <w:t>合计得10分。</w:t>
        <w:br/>
        <w:t>（3）对于“产出时效”：</w:t>
        <w:br/>
        <w:t>资金发放（补助）及时率（%）指标，预期指标值为等于100%，实际完成值为100%，指标完成率为100%，与预期目标一致，根据评分标准，该指标不扣分，得10分。</w:t>
        <w:br/>
        <w:t>合计得10分。</w:t>
        <w:br/>
        <w:t>（4）对于“产出成本”：</w:t>
        <w:br/>
        <w:t>生活补助成本（万元/月/人）指标，预期指标值为小于等于0.35万元/月/人，实际完成值为0.35万元/月/人，指标完成率为100%，与预期目标一致，根据评分标准，该指标不扣分，得4分。</w:t>
        <w:br/>
        <w:t>援疆工作补贴成本（万元/月/人）指标，预期指标值为小于等于0.15万元/月/人，实际完成值为0.15万元/月/人，指标完成率为100%，与预期目标一致，根据评分标准，该指标不扣分，得4分。</w:t>
        <w:br/>
        <w:t>指导费用成本（万元）指标，预期指标值为小于等于18万元，实际完成值为6.15万元，指标完成率为34.16%，偏差率65.84%，偏差原因：人才培养项目已实施完成，因该项目审计报告尚未编制完成，故部分资金未支出。改进措施：根据实际情况合理设置指标值。根据评分标准，该指标不得分，得0分。</w:t>
        <w:br/>
        <w:t>编制费用成本（万元）指标，预期指标值为小于等于8万元，实际完成值为4.8万元，指标完成率为60%，偏差率40%，偏差原因：十四五规划中期调整项目已实施完成，造成资金结余。改进措施：合理设置指标值。根据评分标准，该指标不得分，得0分。</w:t>
        <w:br/>
        <w:t>大仓东移项目成本（万元）指标，预期指标值为小于等于1860.80万元，实际完成值为1848.01万元，指标完成率为99.31%，偏差率为0.69%，偏差原因：大仓东移项目已全部实施完成，按照审计报告支付资金，出现资金结余。改进措施：合理设置指标值。根据评分标准，该指标不得分，得0分。</w:t>
        <w:br/>
        <w:t>鲁喀两地三交活动成本（万元）指标，预期指标值为小于等于89.4万元，实际完成值为88.78万元，指标完成率为99.31%，偏差率0.69%，偏差原因：鲁喀两地三交活动已实施完成，实际产生费用低于预算金额，造成资金结余。改进措施：合理设置指标值。根据评分标准，该指标不得分，得0分。</w:t>
        <w:br/>
        <w:t>山东文旅频道市场援疆及媒体宣传成本（万元）指标，预期指标值为小于等于62.21万元，实际完成值为59.06万元，指标完成率为94.94%，偏差率5.06%，偏差原因：项目实施完成，按照实际费用支付资金，项目资金结余。改进措施：合理设置指标值。根据评分标准，该指标不得分，得0分。</w:t>
        <w:br/>
        <w:t>其他支出成本（万元）指标，预期指标值为小于等于45.03万元，实际完成值为45.03万元，指标完成率为100%，与预期目标一致，根据评分标准，该指标不扣分，得1分。</w:t>
        <w:br/>
        <w:t>“鲁喀杯”工业设计暨研发创新大赛项目成本（万元）指标，预期指标值为小于等于100万元，实际完成值为98.78万元，指标完成率为98.78%，偏差率1.22%，偏差原因：本着厉行节俭节约的原则，项目实施完成，导致资金结余。改进措施：合理设置指标值。根据评分标准，该指标不得分，得0分。</w:t>
        <w:br/>
        <w:t>合计得9分。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</w:t>
        <w:br/>
        <w:t>（1）对于“社会效益指标”：</w:t>
        <w:br/>
        <w:t>推进工业十大产业健康发展指标，该指标预期指标值为提高，实际完成值为提高，指标完成率为100%，与预期指标一致，根据评分标准，该指标不扣分，得10分。</w:t>
        <w:br/>
        <w:t>（2）对于“经济效益指标”：</w:t>
        <w:br/>
        <w:t>无。</w:t>
        <w:br/>
        <w:t>（3）对于“生态效益指标”：</w:t>
        <w:br/>
        <w:t>无。</w:t>
        <w:br/>
        <w:t>实施效益指标合计得10分。</w:t>
        <w:br/>
        <w:t>（4）满意度指标分析</w:t>
        <w:br/>
        <w:t>对于“满意度指标：受益人员满意度（%）指标，预期指标值为等于100%，实际完成值为100%，指标完成率为100%，与预期目标一致，根据评分标准，该指标不扣9分,得3分。</w:t>
        <w:br/>
        <w:t>活动参与人员满意度（%）指标，预期指标值为等于100%，实际完成值为100%，指标完成率为100%，与预期目标一致，根据评分标准，该指标不扣分,得3分。</w:t>
        <w:br/>
        <w:t>服务企业满意度（%）指标，预期指标值为等于100%，实际完成值为100%，指标完成率为100%，与预期目标一致，根据评分标准，该指标不扣分,得4分。</w:t>
        <w:br/>
        <w:t>合计得20分。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工信局单位结余收入项目预算2185.44万元，到位2185.44万元，实际支出2152.61万元，预算执行率为98.5%，项目绩效指标总体完成率为88.8%，偏差率为11.2%,偏差原因为①部分项目未实施，资金原路退回援疆指挥部；②部分项目已实施完成，资金出现结余，导致项目目标值和实际值有偏差；③部分项目已实施完成，审计报告未编制完成，故无法支付资金。采取的措施：根据项目实际情况，积极与财政、援疆指挥部对接，以便上级部门统筹使用该项目未使用的资金，对需根据申报及报告支付资金的项目，督促项目负责人对接审计机构尽快编制完成报告，及时根据报告支付资金。</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财务管理制度健全。按照财务管理制度的要求严格遵循使用范围，资金到位后及时开展项目和资金投入。我单位目前对资金的管理按照支出涉及的经济科目规定，根据财务管理办法的相关制度执行，资金使用情况及时公开，有力保证了工作推进和资金安全、合规、高效使用。   </w:t>
        <w:br/>
        <w:t>二是资金拨付审批手续完整。根据制定的工作计划，按程序报相关领导审批，申请国库集中支付。各项资金全部实现国库集中支付、专款专用，不存在支出依据不合规、虚列项目支出、截留、挤占、挪用和超标准支出等现象，使资金的运用得到了合理的控制，工作进度和质量得到了切实的保障。   </w:t>
        <w:br/>
        <w:t>三是会计信息质量真实。严格执行《会计法》等财经法规，严格按照相关会计制度办理会计业务，进行会计核算，并做好会计记录，真实的反映资金管理情况，并接受市级财政、审批部门及相关部门的检查、监督。</w:t>
        <w:br/>
        <w:t>四是加强沟通协调，我单位及时向分管领导汇报项目进度，加强与企业的沟通，确保项目按期完成。</w:t>
        <w:br/>
        <w:t>（二）存在问题及原因分析</w:t>
        <w:br/>
        <w:t>一是绩效评价方面还有待加强，对各项指标和指标值要进一步优化、完善，主要在细化、量化上改进。对单位的绩效评价报告质量还有待提高，绩效目标值中数量指标和成本指标设置不精准，数量指标中公务保障用车数量指标因2023年报废2辆车故未完成、支持协会数量指标因前期协会启动工作已完成故未支付启动资金，经济成本指标中指导费用成本因项目实施完成审计报告未完成故无法支付尾款、编制费用成本指标因编制规划节约成本故产生资金结余。</w:t>
        <w:br/>
        <w:t>二是绩效管理经验不足。业务人员绩效管理意识有待增强，未能全面深入认识理解绩效管理工作的意义。绩效管理经验不足，预算绩效管理工作有待进一步落实。</w:t>
        <w:br/>
        <w:t>三是绩效指标的明确性、可衡量性、相关性还需进一步提升。预算精细化管理还需完善，预算编制管理水平仍有进一步提升的空间。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完善绩效考评体系，使考评有据可依。加强项目资金管理，保证项目资金使用管理的规范性、安全性和有效性，在项目实施前精准制定目标值，加强规范管理，提高绩效人员业务素质，学习与财务工作相关的知识，扩大知识面、拓宽视野、开阔思路，在业务上不断提高。在项目实施过程中，针对偏差较大的指标及时调整，使项目资金产生最大的效益。</w:t>
        <w:br/>
        <w:t>二是提高业务人员绩效管理意识，全面深入认识绩效管理工作的意义，进一步规范项目实施的程序。项目严格执行《喀什地区工信局收入支出管理制度》，严格按照项目实施方案稳步推进工信各项工作。</w:t>
        <w:br/>
        <w:t>三是项目启动时同步做好档案的归纳与整理，及时整理、收集、汇总，健全档案资料。项目后续管理有待进一步加强和跟踪，持续完善预算绩效管理相关工作，建立全过程预算绩效管理链条，有效贯彻落实全面实施绩效管理的精神。</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