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b/>
          <w:color w:val="2D66A5"/>
          <w:sz w:val="42"/>
          <w:szCs w:val="42"/>
        </w:rPr>
      </w:pPr>
      <w:bookmarkStart w:id="0" w:name="_GoBack"/>
      <w:r>
        <w:rPr>
          <w:rFonts w:hint="eastAsia" w:ascii="微软雅黑" w:hAnsi="微软雅黑" w:eastAsia="微软雅黑" w:cs="微软雅黑"/>
          <w:b/>
          <w:i w:val="0"/>
          <w:caps w:val="0"/>
          <w:color w:val="2D66A5"/>
          <w:spacing w:val="0"/>
          <w:sz w:val="42"/>
          <w:szCs w:val="42"/>
          <w:shd w:val="clear" w:fill="FFFFFF"/>
        </w:rPr>
        <w:t>《新疆维吾尔自治区人民政府办公厅关于加快推进居家养老服务工作的实施意见》（新政办发〔2015〕138号）的解读</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b w:val="0"/>
          <w:i w:val="0"/>
          <w:caps w:val="0"/>
          <w:color w:val="333333"/>
          <w:spacing w:val="0"/>
          <w:sz w:val="24"/>
          <w:szCs w:val="24"/>
          <w:shd w:val="clear" w:fill="FFFFFF"/>
        </w:rPr>
        <w:t>一、制定《实施意见》的背景和重要意义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一是积极应对人口老龄化的要求。我国是发展中国家中人口老龄化最严峻的国家。随着全区人口老龄化进程的加快，“421家庭”模式逐渐增多，家庭养老功能日益弱化，高龄老人、“空巢”、独居老人不断增多，各族老年人不同层次、多样化的养老服务需求日益凸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二是解决当前养老服务业突出矛盾和问题的需要。近年来，我区养老服务业稳步发展，但全区“以居家养老为基础、社区养老为依托、机构养老为支撑”的养老服务体系尚未全面建立，居家养老服务需求尚未得到及时满足。解决好当前养老服务领域的突出矛盾和问题，进一步加快发展养老服务业已成为全社会的共同呼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三是推进经济持续健康发展的需要。养老服务业涉及长期照料、医疗康复、居家支持、精神慰藉乃至饮食服装、营养保健、休闲旅游、</w:t>
      </w: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instrText xml:space="preserve"> HYPERLINK "https://baike.baidu.com/item/%E6%96%87%E5%8C%96%E4%BC%A0%E5%AA%92/4437100" </w:instrText>
      </w: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fldChar w:fldCharType="separate"/>
      </w:r>
      <w:r>
        <w:rPr>
          <w:rStyle w:val="6"/>
          <w:rFonts w:hint="eastAsia" w:ascii="宋体" w:hAnsi="宋体" w:eastAsia="宋体" w:cs="宋体"/>
          <w:b w:val="0"/>
          <w:i w:val="0"/>
          <w:caps w:val="0"/>
          <w:color w:val="333333"/>
          <w:spacing w:val="0"/>
          <w:sz w:val="24"/>
          <w:szCs w:val="24"/>
          <w:u w:val="none"/>
          <w:shd w:val="clear" w:fill="FFFFFF"/>
        </w:rPr>
        <w:t>文化传媒</w:t>
      </w:r>
      <w:r>
        <w:rPr>
          <w:rFonts w:hint="eastAsia" w:ascii="微软雅黑" w:hAnsi="微软雅黑" w:eastAsia="微软雅黑" w:cs="微软雅黑"/>
          <w:i w:val="0"/>
          <w:caps w:val="0"/>
          <w:color w:val="333333"/>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333333"/>
          <w:spacing w:val="0"/>
          <w:kern w:val="0"/>
          <w:sz w:val="24"/>
          <w:szCs w:val="24"/>
          <w:shd w:val="clear" w:fill="FFFFFF"/>
          <w:lang w:val="en-US" w:eastAsia="zh-CN" w:bidi="ar"/>
        </w:rPr>
        <w:t>、金融地产等方方面面，蕴含着巨大的老年消费市场。发展养老服务业是应对老龄化问题的长久之计，亦是当前扩内需、增就业的巨大潜力所在。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二、《实施意见》的主要任务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一是在统筹规划发展城市养老服务设施方面，提出地方对新建城区和新建居住（小）区要按人均用地不少于0.1平方米的标准配套建设养老服务设施，与住宅同步规划、同步建设、同步验收、同步交付使用，老城区和已建成居住（小）区要限期通过购置、置换、租赁等方式开辟养老服务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二是在强调综合发挥各种多种设施作用方面，要求各地发挥社区卫生、文化、体育等公共服务设施为老年人服务的功能。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三是在建立完善居家养老便捷服务网络方面，提出政府要支持建立以企业和机构为主体、社区为纽带、满足老年人各种服务需求的居家养老服务网络。支持社区引入社会组织和家政、物业等企业，兴办或运营老年供餐、社区日间照料、老年活动中心等养老服务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四是在发展老年人文体娱乐服务方面，提出政府加大资助力度，加强社区为老服务专业人才培训，为基层老年性群众组织配备必要的文体娱乐器材，鼓励专业养老服务机构利用自身资源优势，培训和指导社区养老服务组织和人员，提升其组织开展文体娱乐活动的能力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五是在发展居家养老信息服务方面。提出采取社会力量投资、市场化运作、政府购买服务和资助监管的方式，支持企业和机构运用互联网、物联网等技术手段创新居家养老服务模式，发展老年电子商务，建设居家养老服务网络平台，提供紧急呼叫、家政预约、健康咨询、物品代购、服务缴费等适合老年人的服务项目。有条件的地方要为重点优抚对象、省级以上劳动模范中的老年人和散居“五保”、“三无”老人和低收入的高龄老人、失能老人免费配置电子呼叫等服务器材和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三、《实施意见》的主要措施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从五个方面提出了一些新的有针对性和操作性的政策措施：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一是完善投融资政策。提出各地要逐步加大投入，安排财政性资金支持居家养老服务体系建设，积极支持居家养老服务设施和无障碍设施改造，鼓励和支持社会力量参与、兴办居家养老服务业。积极利用财政贴息、小额贷款等方式，加大对居家养老服务业的信贷投入。鼓励居家养老服务机构投保责任保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二是完善税收优惠政策。对养老院类的养老服务机构提供的居家养老服务免征营业税，对非营利性养老机构自用房产、土地免征房产税、城镇土地使用税，对符合条件的非营利性养老机构按规定免征企业所得税。各地对非营利性居家养老机构建设要免征有关事业性收费，对营利性居家养老服务机构建设要减半征收有关行政事业性收费，对养老机构提供居家养老服务也要减免行政事业性收费，居家养老机构用电、用水、用气、用热按居民生活类价格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三是完善补贴支持政策。落实对居家养老服务企业、机构的建设资助和运营补贴。可根据居家养老服务的实际需要，通过补助投资、贷款贴息、购买服务等方式，支持社会力量举办居家养老服务机构，开展居家养老服务。进一步完善政府向社会力量购买养老服务的政策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四是完善人才培养和就业政策。依托院校和养老机构建立养老服务实训基地，加强对居家养老服务人员的培训。居家养老机构应当积极改善养老护理员工作条件，加强劳动保护和职业防护，依法缴纳养老保险等社会保险费，提高从业人员的工资福利待遇。对在居家养老机构就业的专业技术人员，执行与医疗机构、福利机构相同的执业资格、注册考核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五是鼓励公益慈善组织支持居家养老服务。积极培育发展为老服务公益慈善组织，使之成为居家养老服务的重要力量。积极扶持发展各类为老服务志愿组织，开展志愿服务活动。倡导机关干部和企事业单位职工、大中小学学生参加养老服务志愿活动。支持老年群众组织开展自我管理、自我服务和服务社会活动。探索建立健康老人参与志愿互助服务的工作机制，建立为老志愿服务登记制度，鼓励国家机关、企业、事业单位在同等条件下优先录用、聘用和录取有相关志愿服务经历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四、《实施意见》的组织领导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提出了健全工作机制，明确发展思路，强化行业监督，营造发展环境，加强行业监管工作，并明确督促检查的责任部门和要求。</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7488F"/>
    <w:rsid w:val="0B27488F"/>
    <w:rsid w:val="45F1391E"/>
    <w:rsid w:val="6B657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2023-10-24T03:09:00Z</dcterms:created>
  <dc:creator>Administrator</dc:creator>
  <cp:lastModifiedBy>Administrator</cp:lastModifiedBy>
  <dcterms:modified xsi:type="dcterms:W3CDTF">2023-10-24T08:27:47Z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