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bookmarkStart w:id="8" w:name="_GoBack"/>
      <w:bookmarkEnd w:id="8"/>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w:t>
      </w:r>
      <w:r>
        <w:rPr>
          <w:rFonts w:hint="eastAsia" w:ascii="方正小标宋简体" w:eastAsia="方正小标宋简体"/>
          <w:sz w:val="44"/>
          <w:szCs w:val="44"/>
          <w:lang w:eastAsia="zh-CN"/>
        </w:rPr>
        <w:t>国际博览中心工作经费</w:t>
      </w:r>
      <w:r>
        <w:rPr>
          <w:rFonts w:hint="eastAsia" w:ascii="方正小标宋简体" w:eastAsia="方正小标宋简体"/>
          <w:sz w:val="44"/>
          <w:szCs w:val="44"/>
        </w:rPr>
        <w:t>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eastAsia="zh-CN"/>
        </w:rPr>
        <w:t>办公经费</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喀什国际博览中心</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喀什国际博览中心</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2"/>
        <w:numPr>
          <w:ilvl w:val="0"/>
          <w:numId w:val="2"/>
        </w:numPr>
        <w:ind w:firstLineChars="0"/>
        <w:rPr>
          <w:lang w:bidi="ar"/>
        </w:rPr>
      </w:pPr>
      <w:r>
        <w:rPr>
          <w:rFonts w:hint="eastAsia"/>
          <w:lang w:bidi="ar"/>
        </w:rPr>
        <w:t>基本情况</w:t>
      </w:r>
    </w:p>
    <w:p>
      <w:pPr>
        <w:pStyle w:val="24"/>
        <w:ind w:left="0" w:firstLine="643" w:firstLineChars="200"/>
        <w:rPr>
          <w:lang w:bidi="ar"/>
        </w:rPr>
      </w:pPr>
      <w:bookmarkStart w:id="0" w:name="_Toc26401549"/>
      <w:r>
        <w:rPr>
          <w:rFonts w:hint="eastAsia"/>
          <w:lang w:bidi="ar"/>
        </w:rPr>
        <w:t>项目概况</w:t>
      </w:r>
      <w:bookmarkEnd w:id="0"/>
    </w:p>
    <w:p>
      <w:pPr>
        <w:snapToGrid w:val="0"/>
        <w:spacing w:line="52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 w:hAnsi="仿宋" w:eastAsia="仿宋" w:cs="仿宋_GB2312"/>
          <w:color w:val="000000"/>
          <w:sz w:val="32"/>
          <w:szCs w:val="32"/>
          <w:shd w:val="clear" w:color="auto" w:fill="FFFFFF"/>
        </w:rPr>
        <w:t>我单位主要</w:t>
      </w:r>
      <w:r>
        <w:rPr>
          <w:rFonts w:hint="eastAsia" w:ascii="仿宋_GB2312" w:hAnsi="仿宋_GB2312" w:eastAsia="仿宋_GB2312" w:cs="仿宋_GB2312"/>
          <w:color w:val="000000"/>
          <w:sz w:val="32"/>
          <w:szCs w:val="32"/>
          <w:shd w:val="clear" w:color="auto" w:fill="FFFFFF"/>
        </w:rPr>
        <w:t>负责地区会展业促进与发展工作，对地区各类展会进行总体策划、统筹协调、组织实施以及形象设计、宣传推介、展区规划等相关工作。承办协办其他各类国际、国内博览会、展览会、展销会、洽谈会和各种论坛、公益类展览、展会等活动，并做好相关工作。完成地委和行署交办的其他任务。</w:t>
      </w:r>
    </w:p>
    <w:p>
      <w:pPr>
        <w:snapToGrid w:val="0"/>
        <w:spacing w:line="52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sz w:val="32"/>
          <w:szCs w:val="32"/>
        </w:rPr>
        <w:t>喀什国际博览中心为行署直属正县级事业单位，公益一类，核定全额事业编制人数10人，其中：县级领导职数3名（1正2副）科级领导职数5名，本年</w:t>
      </w:r>
      <w:r>
        <w:rPr>
          <w:rFonts w:hint="eastAsia" w:ascii="仿宋_GB2312" w:hAnsi="仿宋_GB2312" w:eastAsia="仿宋_GB2312" w:cs="仿宋_GB2312"/>
          <w:color w:val="000000"/>
          <w:sz w:val="32"/>
          <w:szCs w:val="32"/>
        </w:rPr>
        <w:t>末实有人数10人。</w:t>
      </w:r>
    </w:p>
    <w:p>
      <w:pPr>
        <w:pStyle w:val="18"/>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before="156"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本项目</w:t>
      </w:r>
      <w:r>
        <w:rPr>
          <w:rFonts w:hint="eastAsia" w:ascii="仿宋" w:hAnsi="仿宋" w:eastAsia="仿宋" w:cs="仿宋"/>
          <w:sz w:val="32"/>
          <w:szCs w:val="32"/>
        </w:rPr>
        <w:t>根据“关于调整喀什地区行政服务中心、喀什国际博览中心隶属关系的通知”（喀党编办【2019】19号）文件，2019年6月，喀什国际博览中心财政、人事关系转入地区单位，因此申请下半年工作经费，符合国家、自治区以及喀什地区等相关财经政策、规划和法律法规。</w:t>
      </w:r>
    </w:p>
    <w:p>
      <w:pPr>
        <w:pStyle w:val="18"/>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tabs>
          <w:tab w:val="left" w:pos="7770"/>
        </w:tabs>
        <w:spacing w:before="156" w:beforeLines="50" w:line="600" w:lineRule="exact"/>
        <w:ind w:firstLine="645"/>
        <w:rPr>
          <w:rFonts w:hint="eastAsia" w:ascii="仿宋_GB2312" w:hAnsi="仿宋" w:eastAsia="仿宋_GB2312"/>
          <w:bCs/>
          <w:spacing w:val="-4"/>
          <w:sz w:val="32"/>
          <w:szCs w:val="32"/>
        </w:rPr>
      </w:pPr>
      <w:r>
        <w:rPr>
          <w:rFonts w:hint="eastAsia" w:ascii="仿宋" w:hAnsi="仿宋" w:eastAsia="仿宋" w:cs="仿宋"/>
          <w:sz w:val="32"/>
          <w:szCs w:val="32"/>
          <w:lang w:val="zh-CN" w:eastAsia="zh-CN"/>
        </w:rPr>
        <w:t>该项目自201</w:t>
      </w:r>
      <w:r>
        <w:rPr>
          <w:rFonts w:hint="eastAsia" w:ascii="仿宋" w:hAnsi="仿宋" w:eastAsia="仿宋" w:cs="仿宋"/>
          <w:sz w:val="32"/>
          <w:szCs w:val="32"/>
          <w:lang w:val="en-US" w:eastAsia="zh-CN"/>
        </w:rPr>
        <w:t>9</w:t>
      </w:r>
      <w:r>
        <w:rPr>
          <w:rFonts w:hint="eastAsia" w:ascii="仿宋" w:hAnsi="仿宋" w:eastAsia="仿宋" w:cs="仿宋"/>
          <w:sz w:val="32"/>
          <w:szCs w:val="32"/>
          <w:lang w:val="zh-CN" w:eastAsia="zh-CN"/>
        </w:rPr>
        <w:t>年</w:t>
      </w:r>
      <w:r>
        <w:rPr>
          <w:rFonts w:hint="eastAsia" w:ascii="仿宋" w:hAnsi="仿宋" w:eastAsia="仿宋" w:cs="仿宋"/>
          <w:sz w:val="32"/>
          <w:szCs w:val="32"/>
          <w:lang w:val="en-US" w:eastAsia="zh-CN"/>
        </w:rPr>
        <w:t>6</w:t>
      </w:r>
      <w:r>
        <w:rPr>
          <w:rFonts w:hint="eastAsia" w:ascii="仿宋" w:hAnsi="仿宋" w:eastAsia="仿宋" w:cs="仿宋"/>
          <w:sz w:val="32"/>
          <w:szCs w:val="32"/>
          <w:lang w:val="zh-CN" w:eastAsia="zh-CN"/>
        </w:rPr>
        <w:t>月启动，</w:t>
      </w:r>
      <w:r>
        <w:rPr>
          <w:rFonts w:hint="eastAsia" w:ascii="仿宋_GB2312" w:hAnsi="仿宋" w:eastAsia="仿宋_GB2312"/>
          <w:bCs/>
          <w:spacing w:val="-4"/>
          <w:sz w:val="32"/>
          <w:szCs w:val="32"/>
        </w:rPr>
        <w:t>根据中央和自治区项目资金管理办法的要求，喀什国际博览中心严格按照项目资金规定的资金支持的项目条件和范围要求，严格按照有关规定使用管理项目资金。</w:t>
      </w:r>
    </w:p>
    <w:p>
      <w:pPr>
        <w:tabs>
          <w:tab w:val="left" w:pos="7770"/>
        </w:tabs>
        <w:spacing w:before="156"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val="en-US" w:eastAsia="zh-CN" w:bidi="ar"/>
        </w:rPr>
        <w:t>3.项目负责人为肖浪涛，主要职责为对整个项目的成本、质量、进度、安全文明、经济合同审核签字、财务等总负责。</w:t>
      </w:r>
    </w:p>
    <w:p>
      <w:pPr>
        <w:pStyle w:val="24"/>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adjustRightInd w:val="0"/>
        <w:snapToGrid w:val="0"/>
        <w:spacing w:line="360" w:lineRule="auto"/>
        <w:ind w:firstLine="640" w:firstLineChars="200"/>
        <w:rPr>
          <w:rFonts w:hint="eastAsia" w:ascii="仿宋" w:hAnsi="仿宋" w:eastAsia="仿宋"/>
          <w:bCs/>
          <w:spacing w:val="-4"/>
          <w:sz w:val="32"/>
          <w:szCs w:val="32"/>
        </w:rPr>
      </w:pPr>
      <w:r>
        <w:rPr>
          <w:rFonts w:hint="eastAsia" w:ascii="仿宋_GB2312" w:hAnsi="仿宋" w:eastAsia="仿宋_GB2312" w:cs="仿宋"/>
          <w:sz w:val="32"/>
          <w:szCs w:val="32"/>
        </w:rPr>
        <w:t>根据喀财专报【2019】397号文件，</w:t>
      </w:r>
      <w:r>
        <w:rPr>
          <w:rFonts w:hint="eastAsia" w:ascii="仿宋_GB2312" w:hAnsi="仿宋" w:eastAsia="仿宋_GB2312"/>
          <w:bCs/>
          <w:spacing w:val="-4"/>
          <w:sz w:val="32"/>
          <w:szCs w:val="32"/>
        </w:rPr>
        <w:t>下达2.88资金办公经费的请示，到位</w:t>
      </w:r>
      <w:r>
        <w:rPr>
          <w:rFonts w:hint="eastAsia" w:ascii="仿宋" w:hAnsi="仿宋" w:eastAsia="仿宋"/>
          <w:bCs/>
          <w:spacing w:val="-4"/>
          <w:sz w:val="32"/>
          <w:szCs w:val="32"/>
        </w:rPr>
        <w:t>资金2.88万元，本项目实际支付资金2.88万元，预算执行率100%，项目资金主要用于支付基本公用办公支出1.84万元（9人*3500/人*7月/12月），购置一套办公桌椅0.15万元、电脑0.5万元（1台）、档案柜0.11万元（2个）、一体机0.28万元（1台），结余0万元。”</w:t>
      </w:r>
      <w:bookmarkStart w:id="2" w:name="_Toc26401551"/>
    </w:p>
    <w:p>
      <w:pPr>
        <w:adjustRightInd w:val="0"/>
        <w:snapToGrid w:val="0"/>
        <w:spacing w:line="360" w:lineRule="auto"/>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本项目资金严格按照喀什国际博览中心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adjustRightInd w:val="0"/>
        <w:snapToGrid w:val="0"/>
        <w:spacing w:line="360" w:lineRule="auto"/>
        <w:ind w:firstLine="624" w:firstLineChars="200"/>
      </w:pPr>
      <w:r>
        <w:rPr>
          <w:rStyle w:val="15"/>
          <w:rFonts w:hint="eastAsia" w:ascii="仿宋" w:hAnsi="仿宋" w:eastAsia="仿宋"/>
          <w:b w:val="0"/>
          <w:spacing w:val="-4"/>
          <w:sz w:val="32"/>
          <w:szCs w:val="32"/>
        </w:rPr>
        <w:t>项目实施过程中，我单位建立了《财务管理制度》保障项目的顺利实施。项目的实施遵守相关法律法规和业务管理规定，项目资料齐全并及时装订、归档。已建立《财务管理制度》，不定期对项目进度情况进行督导检查，对检查过程中发现的问题及时督促整改，确保了项目按时保质完成。</w:t>
      </w:r>
    </w:p>
    <w:p>
      <w:pPr>
        <w:pStyle w:val="24"/>
        <w:ind w:left="0" w:firstLine="643" w:firstLineChars="200"/>
        <w:rPr>
          <w:lang w:bidi="ar"/>
        </w:rPr>
      </w:pPr>
      <w:r>
        <w:rPr>
          <w:rFonts w:hint="eastAsia"/>
          <w:lang w:bidi="ar"/>
        </w:rPr>
        <w:t>绩效目标</w:t>
      </w:r>
      <w:bookmarkEnd w:id="2"/>
    </w:p>
    <w:p>
      <w:pPr>
        <w:spacing w:line="540" w:lineRule="exact"/>
        <w:ind w:firstLine="624" w:firstLineChars="200"/>
        <w:rPr>
          <w:rStyle w:val="15"/>
          <w:rFonts w:ascii="黑体" w:hAnsi="黑体" w:eastAsia="仿宋_GB2312"/>
          <w:b w:val="0"/>
          <w:spacing w:val="-4"/>
          <w:sz w:val="32"/>
          <w:szCs w:val="32"/>
        </w:rPr>
      </w:pPr>
      <w:r>
        <w:rPr>
          <w:rStyle w:val="15"/>
          <w:rFonts w:hint="eastAsia" w:ascii="仿宋" w:hAnsi="仿宋" w:eastAsia="仿宋" w:cs="仿宋"/>
          <w:b w:val="0"/>
          <w:color w:val="000000" w:themeColor="text1"/>
          <w:spacing w:val="-4"/>
          <w:sz w:val="32"/>
          <w:szCs w:val="32"/>
          <w:highlight w:val="none"/>
          <w14:textFill>
            <w14:solidFill>
              <w14:schemeClr w14:val="tx1"/>
            </w14:solidFill>
          </w14:textFill>
        </w:rPr>
        <w:t>本项目的主要产出和效果：一是</w:t>
      </w:r>
      <w:r>
        <w:rPr>
          <w:rStyle w:val="15"/>
          <w:rFonts w:hint="eastAsia" w:ascii="仿宋" w:hAnsi="仿宋" w:eastAsia="仿宋" w:cs="仿宋"/>
          <w:b w:val="0"/>
          <w:color w:val="000000" w:themeColor="text1"/>
          <w:spacing w:val="-4"/>
          <w:sz w:val="32"/>
          <w:szCs w:val="32"/>
          <w:highlight w:val="none"/>
          <w:lang w:val="en-US" w:eastAsia="zh-CN"/>
          <w14:textFill>
            <w14:solidFill>
              <w14:schemeClr w14:val="tx1"/>
            </w14:solidFill>
          </w14:textFill>
        </w:rPr>
        <w:t>该项目实施后，单位运转顺畅，干部的工作质量和效率得到提高。</w:t>
      </w:r>
      <w:r>
        <w:rPr>
          <w:rStyle w:val="15"/>
          <w:rFonts w:hint="eastAsia" w:ascii="仿宋" w:hAnsi="仿宋" w:eastAsia="仿宋" w:cs="仿宋"/>
          <w:b w:val="0"/>
          <w:color w:val="000000" w:themeColor="text1"/>
          <w:spacing w:val="-4"/>
          <w:sz w:val="32"/>
          <w:szCs w:val="32"/>
          <w:highlight w:val="none"/>
          <w14:textFill>
            <w14:solidFill>
              <w14:schemeClr w14:val="tx1"/>
            </w14:solidFill>
          </w14:textFill>
        </w:rPr>
        <w:t>二是</w:t>
      </w:r>
      <w:r>
        <w:rPr>
          <w:rStyle w:val="15"/>
          <w:rFonts w:hint="eastAsia" w:ascii="仿宋" w:hAnsi="仿宋" w:eastAsia="仿宋" w:cs="仿宋"/>
          <w:b w:val="0"/>
          <w:color w:val="000000" w:themeColor="text1"/>
          <w:spacing w:val="-4"/>
          <w:sz w:val="32"/>
          <w:szCs w:val="32"/>
          <w:highlight w:val="none"/>
          <w:lang w:val="en-US" w:eastAsia="zh-CN"/>
          <w14:textFill>
            <w14:solidFill>
              <w14:schemeClr w14:val="tx1"/>
            </w14:solidFill>
          </w14:textFill>
        </w:rPr>
        <w:t>单位工作人员的干事创业的热情度不断提高，开展各类展会成效显著。</w:t>
      </w:r>
      <w:r>
        <w:rPr>
          <w:rFonts w:hint="eastAsia" w:ascii="仿宋_GB2312" w:hAnsi="仿宋" w:eastAsia="仿宋_GB2312"/>
          <w:bCs/>
          <w:spacing w:val="-4"/>
          <w:sz w:val="32"/>
          <w:szCs w:val="32"/>
        </w:rPr>
        <w:t>主要用于办公桌椅1套0.15万</w:t>
      </w:r>
      <w:r>
        <w:rPr>
          <w:rFonts w:hint="eastAsia" w:ascii="仿宋_GB2312" w:hAnsi="仿宋" w:eastAsia="仿宋_GB2312"/>
          <w:bCs/>
          <w:spacing w:val="-4"/>
          <w:sz w:val="32"/>
          <w:szCs w:val="32"/>
          <w:lang w:val="en-US" w:eastAsia="zh-CN"/>
        </w:rPr>
        <w:t>元</w:t>
      </w:r>
      <w:r>
        <w:rPr>
          <w:rFonts w:hint="eastAsia" w:ascii="仿宋_GB2312" w:hAnsi="仿宋" w:eastAsia="仿宋_GB2312"/>
          <w:bCs/>
          <w:spacing w:val="-4"/>
          <w:sz w:val="32"/>
          <w:szCs w:val="32"/>
        </w:rPr>
        <w:t>，电脑1台0.5万元，档案柜2个0.11万元，一体机1台0.28万元，为确保我单位工作能够正常运转，各项业务工作顺利进行</w:t>
      </w:r>
      <w:r>
        <w:rPr>
          <w:rStyle w:val="15"/>
          <w:rFonts w:hint="eastAsia" w:ascii="仿宋_GB2312" w:hAnsi="仿宋" w:eastAsia="仿宋_GB2312"/>
          <w:b w:val="0"/>
          <w:color w:val="000000" w:themeColor="text1"/>
          <w:spacing w:val="-4"/>
          <w:sz w:val="32"/>
          <w:szCs w:val="32"/>
          <w14:textFill>
            <w14:solidFill>
              <w14:schemeClr w14:val="tx1"/>
            </w14:solidFill>
          </w14:textFill>
        </w:rPr>
        <w:t>。</w:t>
      </w:r>
      <w:r>
        <w:rPr>
          <w:rStyle w:val="15"/>
          <w:rFonts w:hint="eastAsia" w:ascii="仿宋" w:hAnsi="仿宋" w:eastAsia="仿宋" w:cs="仿宋"/>
          <w:b w:val="0"/>
          <w:color w:val="000000" w:themeColor="text1"/>
          <w:spacing w:val="-4"/>
          <w:sz w:val="32"/>
          <w:szCs w:val="32"/>
          <w14:textFill>
            <w14:solidFill>
              <w14:schemeClr w14:val="tx1"/>
            </w14:solidFill>
          </w14:textFill>
        </w:rPr>
        <w:t xml:space="preserve"> </w:t>
      </w:r>
    </w:p>
    <w:p>
      <w:pPr>
        <w:pageBreakBefore w:val="0"/>
        <w:kinsoku/>
        <w:wordWrap/>
        <w:overflowPunct/>
        <w:topLinePunct w:val="0"/>
        <w:autoSpaceDE/>
        <w:autoSpaceDN/>
        <w:bidi w:val="0"/>
        <w:adjustRightInd/>
        <w:snapToGrid/>
        <w:spacing w:beforeAutospacing="0" w:afterAutospacing="0" w:line="600" w:lineRule="exact"/>
        <w:ind w:left="0" w:leftChars="0" w:firstLine="600" w:firstLineChars="200"/>
        <w:textAlignment w:val="auto"/>
        <w:rPr>
          <w:rFonts w:ascii="仿宋_GB2312" w:hAnsi="仿宋" w:eastAsia="仿宋_GB2312" w:cs="宋体"/>
          <w:color w:val="FF0000"/>
          <w:sz w:val="32"/>
          <w:szCs w:val="32"/>
          <w:lang w:bidi="ar"/>
        </w:rPr>
      </w:pPr>
      <w:r>
        <w:rPr>
          <w:rFonts w:hint="eastAsia" w:ascii="仿宋" w:hAnsi="仿宋" w:eastAsia="仿宋" w:cs="仿宋"/>
          <w:kern w:val="0"/>
          <w:sz w:val="30"/>
          <w:szCs w:val="30"/>
        </w:rPr>
        <w:t>本项目共设置一级指标3个，二级指标7个，三级指标1</w:t>
      </w:r>
      <w:r>
        <w:rPr>
          <w:rFonts w:hint="eastAsia" w:ascii="仿宋" w:hAnsi="仿宋" w:eastAsia="仿宋" w:cs="仿宋"/>
          <w:kern w:val="0"/>
          <w:sz w:val="30"/>
          <w:szCs w:val="30"/>
          <w:lang w:val="en-US" w:eastAsia="zh-CN"/>
        </w:rPr>
        <w:t>2</w:t>
      </w:r>
      <w:r>
        <w:rPr>
          <w:rFonts w:hint="eastAsia" w:ascii="仿宋" w:hAnsi="仿宋" w:eastAsia="仿宋" w:cs="仿宋"/>
          <w:kern w:val="0"/>
          <w:sz w:val="30"/>
          <w:szCs w:val="30"/>
        </w:rPr>
        <w:t>个，</w:t>
      </w:r>
      <w:r>
        <w:rPr>
          <w:rFonts w:hint="eastAsia" w:ascii="仿宋" w:hAnsi="仿宋" w:eastAsia="仿宋" w:cs="仿宋"/>
          <w:sz w:val="32"/>
          <w:szCs w:val="32"/>
          <w:lang w:bidi="ar"/>
        </w:rPr>
        <w:t>绩效目标申报表详见附件1。</w:t>
      </w:r>
    </w:p>
    <w:p>
      <w:pPr>
        <w:pStyle w:val="22"/>
        <w:numPr>
          <w:ilvl w:val="0"/>
          <w:numId w:val="2"/>
        </w:numPr>
        <w:ind w:firstLineChars="0"/>
        <w:rPr>
          <w:lang w:bidi="ar"/>
        </w:rPr>
      </w:pPr>
      <w:bookmarkStart w:id="3" w:name="_Toc26401552"/>
      <w:r>
        <w:rPr>
          <w:rFonts w:hint="eastAsia"/>
          <w:lang w:bidi="ar"/>
        </w:rPr>
        <w:t>评价工作简述</w:t>
      </w:r>
      <w:bookmarkEnd w:id="3"/>
    </w:p>
    <w:p>
      <w:pPr>
        <w:pStyle w:val="24"/>
        <w:numPr>
          <w:ilvl w:val="0"/>
          <w:numId w:val="4"/>
        </w:numPr>
        <w:ind w:left="0" w:firstLine="643" w:firstLineChars="200"/>
        <w:rPr>
          <w:lang w:bidi="ar"/>
        </w:rPr>
      </w:pPr>
      <w:bookmarkStart w:id="4" w:name="_Toc26401553"/>
      <w:r>
        <w:rPr>
          <w:rFonts w:hint="eastAsia"/>
          <w:lang w:bidi="ar"/>
        </w:rPr>
        <w:t>评价目的</w:t>
      </w:r>
      <w:bookmarkEnd w:id="4"/>
    </w:p>
    <w:p>
      <w:pPr>
        <w:spacing w:line="540" w:lineRule="exact"/>
        <w:ind w:firstLine="640" w:firstLineChars="200"/>
        <w:rPr>
          <w:rFonts w:hint="eastAsia" w:ascii="仿宋_GB2312" w:hAnsi="仿宋" w:eastAsia="仿宋_GB2312" w:cs="宋体"/>
          <w:color w:val="FF0000"/>
          <w:sz w:val="32"/>
          <w:szCs w:val="32"/>
          <w:lang w:eastAsia="zh-CN"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 w:eastAsia="仿宋_GB2312" w:cs="宋体"/>
          <w:sz w:val="32"/>
          <w:szCs w:val="32"/>
          <w:lang w:eastAsia="zh-CN" w:bidi="ar"/>
        </w:rPr>
        <w:t>《办公经费》</w:t>
      </w:r>
      <w:r>
        <w:rPr>
          <w:rFonts w:hint="eastAsia" w:ascii="仿宋_GB2312" w:hAnsi="仿宋" w:eastAsia="仿宋_GB2312" w:cs="宋体"/>
          <w:sz w:val="32"/>
          <w:szCs w:val="32"/>
          <w:lang w:bidi="ar"/>
        </w:rPr>
        <w:t>项目实施前期、过程及效果，评价财政预算资金使用的效率及效益。</w:t>
      </w:r>
      <w:r>
        <w:rPr>
          <w:rFonts w:hint="eastAsia" w:ascii="仿宋_GB2312" w:hAnsi="仿宋_GB2312" w:eastAsia="仿宋_GB2312" w:cs="仿宋_GB2312"/>
          <w:color w:val="000000"/>
          <w:sz w:val="32"/>
          <w:szCs w:val="32"/>
          <w:shd w:val="clear" w:color="auto" w:fill="FFFFFF"/>
          <w:lang w:eastAsia="zh-CN"/>
        </w:rPr>
        <w:t>积极推进</w:t>
      </w:r>
      <w:r>
        <w:rPr>
          <w:rFonts w:hint="eastAsia" w:ascii="仿宋_GB2312" w:hAnsi="仿宋_GB2312" w:eastAsia="仿宋_GB2312" w:cs="仿宋_GB2312"/>
          <w:color w:val="000000"/>
          <w:sz w:val="32"/>
          <w:szCs w:val="32"/>
          <w:shd w:val="clear" w:color="auto" w:fill="FFFFFF"/>
        </w:rPr>
        <w:t>各类展会进行总体策划、统筹协调、组织实施以及形象设计、宣传推介、展区规划等相关工作。</w:t>
      </w:r>
      <w:r>
        <w:rPr>
          <w:rFonts w:hint="eastAsia" w:ascii="仿宋_GB2312" w:hAnsi="仿宋" w:eastAsia="仿宋_GB2312"/>
          <w:bCs/>
          <w:spacing w:val="-4"/>
          <w:sz w:val="32"/>
          <w:szCs w:val="32"/>
        </w:rPr>
        <w:t>确保我单位工作能够正常运转，各项业务工作顺利进行</w:t>
      </w:r>
      <w:r>
        <w:rPr>
          <w:rStyle w:val="15"/>
          <w:rFonts w:hint="eastAsia" w:ascii="仿宋_GB2312" w:hAnsi="仿宋" w:eastAsia="仿宋_GB2312"/>
          <w:b w:val="0"/>
          <w:color w:val="000000" w:themeColor="text1"/>
          <w:spacing w:val="-4"/>
          <w:sz w:val="32"/>
          <w:szCs w:val="32"/>
          <w14:textFill>
            <w14:solidFill>
              <w14:schemeClr w14:val="tx1"/>
            </w14:solidFill>
          </w14:textFill>
        </w:rPr>
        <w:t>。</w:t>
      </w:r>
      <w:r>
        <w:rPr>
          <w:rStyle w:val="15"/>
          <w:rFonts w:hint="eastAsia" w:ascii="仿宋" w:hAnsi="仿宋" w:eastAsia="仿宋" w:cs="仿宋"/>
          <w:b w:val="0"/>
          <w:color w:val="000000" w:themeColor="text1"/>
          <w:spacing w:val="-4"/>
          <w:sz w:val="32"/>
          <w:szCs w:val="32"/>
          <w14:textFill>
            <w14:solidFill>
              <w14:schemeClr w14:val="tx1"/>
            </w14:solidFill>
          </w14:textFill>
        </w:rPr>
        <w:t xml:space="preserve"> </w:t>
      </w:r>
    </w:p>
    <w:p>
      <w:pPr>
        <w:pStyle w:val="24"/>
        <w:numPr>
          <w:ilvl w:val="0"/>
          <w:numId w:val="4"/>
        </w:numPr>
        <w:ind w:left="0" w:firstLine="643" w:firstLineChars="200"/>
        <w:rPr>
          <w:lang w:bidi="ar"/>
        </w:rPr>
      </w:pPr>
      <w:r>
        <w:rPr>
          <w:rFonts w:hint="eastAsia"/>
          <w:lang w:bidi="ar"/>
        </w:rPr>
        <w:t>本次绩效评价的对象及范围</w:t>
      </w:r>
      <w:bookmarkStart w:id="5" w:name="_Toc26401554"/>
    </w:p>
    <w:p>
      <w:pPr>
        <w:spacing w:before="156"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w:t>
      </w:r>
      <w:r>
        <w:rPr>
          <w:rFonts w:ascii="仿宋_GB2312" w:hAnsi="仿宋" w:eastAsia="仿宋_GB2312" w:cs="宋体"/>
          <w:sz w:val="32"/>
          <w:szCs w:val="32"/>
          <w:highlight w:val="none"/>
          <w:lang w:bidi="ar"/>
        </w:rPr>
        <w:t>对象为</w:t>
      </w:r>
      <w:r>
        <w:rPr>
          <w:rFonts w:hint="eastAsia" w:ascii="仿宋" w:hAnsi="仿宋" w:eastAsia="仿宋" w:cs="仿宋"/>
          <w:sz w:val="32"/>
          <w:szCs w:val="32"/>
          <w:highlight w:val="none"/>
          <w:lang w:val="en-US" w:eastAsia="zh-CN" w:bidi="ar"/>
        </w:rPr>
        <w:t>会展工作人员</w:t>
      </w:r>
      <w:r>
        <w:rPr>
          <w:rFonts w:ascii="仿宋_GB2312" w:hAnsi="仿宋" w:eastAsia="仿宋_GB2312" w:cs="宋体"/>
          <w:sz w:val="32"/>
          <w:szCs w:val="32"/>
          <w:lang w:bidi="ar"/>
        </w:rPr>
        <w:t>，评价范围包括专项资</w:t>
      </w:r>
      <w:r>
        <w:rPr>
          <w:rFonts w:hint="eastAsia" w:ascii="仿宋_GB2312" w:hAnsi="仿宋" w:eastAsia="仿宋_GB2312" w:cs="宋体"/>
          <w:sz w:val="32"/>
          <w:szCs w:val="32"/>
          <w:lang w:bidi="ar"/>
        </w:rPr>
        <w:t>金的安排、组织及使用效益。</w:t>
      </w:r>
    </w:p>
    <w:p>
      <w:pPr>
        <w:pStyle w:val="24"/>
        <w:numPr>
          <w:ilvl w:val="0"/>
          <w:numId w:val="4"/>
        </w:numPr>
        <w:ind w:left="0" w:firstLine="643" w:firstLineChars="200"/>
        <w:rPr>
          <w:lang w:bidi="ar"/>
        </w:rPr>
      </w:pPr>
      <w:r>
        <w:rPr>
          <w:rFonts w:hint="eastAsia"/>
          <w:lang w:bidi="ar"/>
        </w:rPr>
        <w:t>绩效评价原则</w:t>
      </w:r>
      <w:bookmarkEnd w:id="5"/>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4"/>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Style w:val="24"/>
        <w:numPr>
          <w:ilvl w:val="0"/>
          <w:numId w:val="4"/>
        </w:numPr>
        <w:ind w:left="0" w:firstLine="643" w:firstLineChars="200"/>
        <w:rPr>
          <w:lang w:bidi="ar"/>
        </w:rPr>
      </w:pPr>
      <w:r>
        <w:rPr>
          <w:rFonts w:hint="eastAsia"/>
          <w:lang w:bidi="ar"/>
        </w:rPr>
        <w:t>本项目绩效评价体系</w:t>
      </w:r>
    </w:p>
    <w:p>
      <w:pPr>
        <w:pStyle w:val="24"/>
        <w:numPr>
          <w:ilvl w:val="0"/>
          <w:numId w:val="0"/>
        </w:numPr>
        <w:ind w:firstLine="640" w:firstLineChars="200"/>
        <w:rPr>
          <w:b w:val="0"/>
          <w:lang w:bidi="ar"/>
        </w:rPr>
      </w:pPr>
      <w:r>
        <w:rPr>
          <w:rFonts w:hint="eastAsia"/>
          <w:b w:val="0"/>
          <w:lang w:bidi="ar"/>
        </w:rPr>
        <w:t>本项目绩效评价体系为根据财预</w:t>
      </w:r>
      <w:r>
        <w:rPr>
          <w:rFonts w:hint="eastAsia" w:ascii="仿宋" w:hAnsi="仿宋" w:eastAsia="仿宋"/>
          <w:b w:val="0"/>
          <w:lang w:bidi="ar"/>
        </w:rPr>
        <w:t>﹝</w:t>
      </w:r>
      <w:r>
        <w:rPr>
          <w:rFonts w:hint="eastAsia"/>
          <w:b w:val="0"/>
          <w:lang w:bidi="ar"/>
        </w:rPr>
        <w:t>2</w:t>
      </w:r>
      <w:r>
        <w:rPr>
          <w:b w:val="0"/>
          <w:lang w:bidi="ar"/>
        </w:rPr>
        <w:t>020</w:t>
      </w:r>
      <w:r>
        <w:rPr>
          <w:rFonts w:hint="eastAsia" w:ascii="仿宋" w:hAnsi="仿宋" w:eastAsia="仿宋"/>
          <w:b w:val="0"/>
          <w:lang w:bidi="ar"/>
        </w:rPr>
        <w:t>﹞</w:t>
      </w:r>
      <w:r>
        <w:rPr>
          <w:rFonts w:hint="eastAsia"/>
          <w:b w:val="0"/>
          <w:lang w:bidi="ar"/>
        </w:rPr>
        <w:t>1</w:t>
      </w:r>
      <w:r>
        <w:rPr>
          <w:b w:val="0"/>
          <w:lang w:bidi="ar"/>
        </w:rPr>
        <w:t>0</w:t>
      </w:r>
      <w:r>
        <w:rPr>
          <w:rFonts w:hint="eastAsia"/>
          <w:b w:val="0"/>
          <w:lang w:bidi="ar"/>
        </w:rPr>
        <w:t>号共性指标及个性化指标设</w:t>
      </w:r>
      <w:r>
        <w:rPr>
          <w:rFonts w:hint="eastAsia"/>
          <w:b w:val="0"/>
          <w:color w:val="000000" w:themeColor="text1"/>
          <w:lang w:bidi="ar"/>
          <w14:textFill>
            <w14:solidFill>
              <w14:schemeClr w14:val="tx1"/>
            </w14:solidFill>
          </w14:textFill>
        </w:rPr>
        <w:t>置，详见附件</w:t>
      </w:r>
      <w:r>
        <w:rPr>
          <w:rFonts w:hint="eastAsia"/>
          <w:b w:val="0"/>
          <w:color w:val="000000" w:themeColor="text1"/>
          <w:lang w:val="en-US" w:eastAsia="zh-CN" w:bidi="ar"/>
          <w14:textFill>
            <w14:solidFill>
              <w14:schemeClr w14:val="tx1"/>
            </w14:solidFill>
          </w14:textFill>
        </w:rPr>
        <w:t>4</w:t>
      </w:r>
      <w:r>
        <w:rPr>
          <w:rFonts w:hint="eastAsia"/>
          <w:b w:val="0"/>
          <w:color w:val="000000" w:themeColor="text1"/>
          <w:lang w:bidi="ar"/>
          <w14:textFill>
            <w14:solidFill>
              <w14:schemeClr w14:val="tx1"/>
            </w14:solidFill>
          </w14:textFill>
        </w:rPr>
        <w:t>。</w:t>
      </w:r>
    </w:p>
    <w:p>
      <w:pPr>
        <w:pStyle w:val="24"/>
        <w:keepNext w:val="0"/>
        <w:keepLines w:val="0"/>
        <w:numPr>
          <w:ilvl w:val="0"/>
          <w:numId w:val="4"/>
        </w:numPr>
        <w:ind w:left="0" w:firstLine="643" w:firstLineChars="200"/>
        <w:rPr>
          <w:lang w:bidi="ar"/>
        </w:rPr>
      </w:pPr>
      <w:bookmarkStart w:id="6" w:name="_Toc26401555"/>
      <w:r>
        <w:rPr>
          <w:rFonts w:hint="eastAsia"/>
          <w:lang w:bidi="ar"/>
        </w:rPr>
        <w:t>绩效评价方法</w:t>
      </w:r>
      <w:bookmarkEnd w:id="6"/>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本次绩效评价方法的选用坚持简便有效的原则采用成本效益分析法、综合指数评价法、综合分析法。</w:t>
      </w:r>
    </w:p>
    <w:p>
      <w:pPr>
        <w:pStyle w:val="24"/>
        <w:keepNext w:val="0"/>
        <w:keepLines w:val="0"/>
        <w:numPr>
          <w:ilvl w:val="0"/>
          <w:numId w:val="4"/>
        </w:numPr>
        <w:ind w:left="0" w:firstLine="643" w:firstLineChars="200"/>
        <w:rPr>
          <w:lang w:bidi="ar"/>
        </w:rPr>
      </w:pPr>
      <w:r>
        <w:rPr>
          <w:rFonts w:hint="eastAsia"/>
          <w:lang w:bidi="ar"/>
        </w:rPr>
        <w:t>评价标准</w:t>
      </w:r>
    </w:p>
    <w:p>
      <w:pPr>
        <w:pStyle w:val="24"/>
        <w:keepNext w:val="0"/>
        <w:keepLines w:val="0"/>
        <w:numPr>
          <w:ilvl w:val="0"/>
          <w:numId w:val="0"/>
        </w:numPr>
        <w:rPr>
          <w:lang w:bidi="ar"/>
        </w:rPr>
      </w:pPr>
      <w:r>
        <w:rPr>
          <w:rFonts w:hint="eastAsia"/>
          <w:lang w:bidi="ar"/>
        </w:rPr>
        <w:t xml:space="preserve"> </w:t>
      </w:r>
      <w:r>
        <w:rPr>
          <w:lang w:bidi="ar"/>
        </w:rPr>
        <w:t xml:space="preserve"> </w:t>
      </w:r>
      <w:r>
        <w:rPr>
          <w:rFonts w:hint="eastAsia" w:ascii="仿宋" w:hAnsi="仿宋" w:eastAsia="仿宋" w:cs="仿宋"/>
          <w:b w:val="0"/>
          <w:bCs w:val="0"/>
          <w:sz w:val="32"/>
          <w:szCs w:val="32"/>
          <w:lang w:bidi="ar"/>
        </w:rPr>
        <w:t>项目评价标准采用计划标准、行业标准。</w:t>
      </w:r>
    </w:p>
    <w:p>
      <w:pPr>
        <w:pStyle w:val="24"/>
        <w:keepNext w:val="0"/>
        <w:keepLines w:val="0"/>
        <w:numPr>
          <w:ilvl w:val="0"/>
          <w:numId w:val="4"/>
        </w:numPr>
        <w:ind w:left="0" w:firstLine="643" w:firstLineChars="200"/>
        <w:rPr>
          <w:lang w:bidi="ar"/>
        </w:rPr>
      </w:pPr>
      <w:r>
        <w:rPr>
          <w:rFonts w:hint="eastAsia"/>
          <w:lang w:bidi="ar"/>
        </w:rPr>
        <w:t>绩效评价工作过程</w:t>
      </w:r>
    </w:p>
    <w:p>
      <w:pPr>
        <w:pStyle w:val="24"/>
        <w:keepNext w:val="0"/>
        <w:keepLines w:val="0"/>
        <w:numPr>
          <w:ilvl w:val="0"/>
          <w:numId w:val="0"/>
        </w:numPr>
        <w:ind w:firstLine="640" w:firstLineChars="200"/>
        <w:outlineLvl w:val="9"/>
        <w:rPr>
          <w:b w:val="0"/>
          <w:bCs w:val="0"/>
          <w:lang w:bidi="ar"/>
        </w:rPr>
      </w:pPr>
      <w:r>
        <w:rPr>
          <w:rFonts w:hint="eastAsia"/>
          <w:b w:val="0"/>
          <w:bCs w:val="0"/>
          <w:lang w:bidi="ar"/>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肖浪涛</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eastAsia="zh-CN" w:bidi="ar"/>
              </w:rPr>
              <w:t>博览中心主任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陈建明</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综合部主任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徐明</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会计</w:t>
            </w:r>
          </w:p>
        </w:tc>
      </w:tr>
    </w:tbl>
    <w:p>
      <w:pPr>
        <w:pStyle w:val="24"/>
        <w:keepNext w:val="0"/>
        <w:keepLines w:val="0"/>
        <w:numPr>
          <w:ilvl w:val="0"/>
          <w:numId w:val="0"/>
        </w:numPr>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2"/>
        <w:numPr>
          <w:ilvl w:val="0"/>
          <w:numId w:val="2"/>
        </w:numPr>
        <w:ind w:firstLineChars="0"/>
        <w:rPr>
          <w:color w:val="FF0000"/>
          <w:highlight w:val="none"/>
          <w:lang w:bidi="ar"/>
        </w:rPr>
      </w:pPr>
      <w:bookmarkStart w:id="7" w:name="_Toc26401558"/>
      <w:r>
        <w:rPr>
          <w:rFonts w:hint="eastAsia" w:ascii="黑体" w:hAnsi="黑体"/>
          <w:highlight w:val="none"/>
        </w:rPr>
        <w:t>综合评价情况及评价结论</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bCs w:val="0"/>
          <w:kern w:val="2"/>
          <w:sz w:val="32"/>
          <w:szCs w:val="32"/>
          <w:lang w:bidi="ar"/>
        </w:rPr>
      </w:pPr>
      <w:r>
        <w:rPr>
          <w:rFonts w:hint="eastAsia" w:ascii="仿宋" w:hAnsi="仿宋" w:eastAsia="仿宋" w:cs="仿宋"/>
          <w:b w:val="0"/>
          <w:bCs w:val="0"/>
          <w:kern w:val="2"/>
          <w:sz w:val="32"/>
          <w:szCs w:val="32"/>
          <w:lang w:bidi="ar"/>
        </w:rPr>
        <w:t>经评价组通过实地调研、资料分析等方式，采用综合分析法、成本效益分析法等对项目的决策、管理、绩效进行的综合评价分析，项</w:t>
      </w:r>
      <w:r>
        <w:rPr>
          <w:rFonts w:hint="eastAsia" w:ascii="仿宋" w:hAnsi="仿宋" w:eastAsia="仿宋" w:cs="仿宋"/>
          <w:b w:val="0"/>
          <w:bCs w:val="0"/>
          <w:kern w:val="2"/>
          <w:sz w:val="32"/>
          <w:szCs w:val="32"/>
          <w:highlight w:val="none"/>
          <w:lang w:bidi="ar"/>
        </w:rPr>
        <w:t>目得分为</w:t>
      </w:r>
      <w:r>
        <w:rPr>
          <w:rFonts w:hint="eastAsia" w:ascii="仿宋" w:hAnsi="仿宋" w:eastAsia="仿宋" w:cs="仿宋"/>
          <w:b w:val="0"/>
          <w:bCs w:val="0"/>
          <w:kern w:val="2"/>
          <w:sz w:val="32"/>
          <w:szCs w:val="32"/>
          <w:highlight w:val="none"/>
          <w:lang w:val="en-US" w:eastAsia="zh-CN" w:bidi="ar"/>
        </w:rPr>
        <w:t>100</w:t>
      </w:r>
      <w:r>
        <w:rPr>
          <w:rFonts w:hint="eastAsia" w:ascii="仿宋" w:hAnsi="仿宋" w:eastAsia="仿宋" w:cs="仿宋"/>
          <w:b w:val="0"/>
          <w:bCs w:val="0"/>
          <w:kern w:val="2"/>
          <w:sz w:val="32"/>
          <w:szCs w:val="32"/>
          <w:highlight w:val="none"/>
          <w:lang w:bidi="ar"/>
        </w:rPr>
        <w:t>分，评价结果为优，详见附</w:t>
      </w:r>
      <w:r>
        <w:rPr>
          <w:rFonts w:hint="eastAsia" w:ascii="仿宋" w:hAnsi="仿宋" w:eastAsia="仿宋" w:cs="仿宋"/>
          <w:b w:val="0"/>
          <w:bCs w:val="0"/>
          <w:kern w:val="2"/>
          <w:sz w:val="32"/>
          <w:szCs w:val="32"/>
          <w:lang w:bidi="ar"/>
        </w:rPr>
        <w:t>件6。</w:t>
      </w:r>
    </w:p>
    <w:p>
      <w:pPr>
        <w:pStyle w:val="22"/>
        <w:numPr>
          <w:ilvl w:val="0"/>
          <w:numId w:val="2"/>
        </w:numPr>
        <w:ind w:firstLineChars="0"/>
        <w:rPr>
          <w:lang w:bidi="ar"/>
        </w:rPr>
      </w:pPr>
      <w:r>
        <w:rPr>
          <w:rFonts w:hint="eastAsia"/>
          <w:lang w:bidi="ar"/>
        </w:rPr>
        <w:t>绩效评价指标分析</w:t>
      </w:r>
      <w:bookmarkEnd w:id="7"/>
    </w:p>
    <w:p>
      <w:pPr>
        <w:pStyle w:val="18"/>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7"/>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本项目的立项符合相关法规政策及部门职责，依据充分；项目按照规定的程序申请设立；审批文件、材料符合相关要求；项目前期已经过必要的可行性研究、专家论证、风险评估、绩效评估、集体决策。</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8"/>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lang w:bidi="ar"/>
        </w:rPr>
      </w:pPr>
      <w:r>
        <w:rPr>
          <w:rFonts w:hint="eastAsia" w:ascii="仿宋" w:hAnsi="仿宋" w:eastAsia="仿宋" w:cs="仿宋"/>
          <w:sz w:val="32"/>
          <w:szCs w:val="32"/>
          <w:lang w:bidi="ar"/>
        </w:rPr>
        <w:t>在项目组织实施方面，项目单位已制定或具有相应的财务和业务管理制度，财务和业务管理制度合法、合规、完整。项目实施遵守相关法律法规和相关管理规定。</w:t>
      </w:r>
    </w:p>
    <w:p>
      <w:pPr>
        <w:pStyle w:val="18"/>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项目完成数量</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rPr>
        <w:t>“办公家具购置（套）”</w:t>
      </w:r>
      <w:r>
        <w:rPr>
          <w:rFonts w:hint="eastAsia" w:ascii="仿宋" w:hAnsi="仿宋" w:eastAsia="仿宋" w:cs="仿宋"/>
          <w:sz w:val="32"/>
          <w:szCs w:val="32"/>
          <w:highlight w:val="none"/>
        </w:rPr>
        <w:t>指标：预期指标值为</w:t>
      </w:r>
      <w:r>
        <w:rPr>
          <w:rFonts w:hint="eastAsia" w:ascii="仿宋" w:hAnsi="仿宋" w:eastAsia="仿宋" w:cs="仿宋"/>
          <w:sz w:val="32"/>
          <w:szCs w:val="32"/>
          <w:highlight w:val="none"/>
          <w:lang w:val="en-US" w:eastAsia="zh-CN"/>
        </w:rPr>
        <w:t>3套</w:t>
      </w:r>
      <w:r>
        <w:rPr>
          <w:rFonts w:hint="eastAsia" w:ascii="仿宋" w:hAnsi="仿宋" w:eastAsia="仿宋" w:cs="仿宋"/>
          <w:sz w:val="32"/>
          <w:szCs w:val="32"/>
          <w:highlight w:val="none"/>
        </w:rPr>
        <w:t>，实际完成指标值为</w:t>
      </w:r>
      <w:r>
        <w:rPr>
          <w:rFonts w:hint="eastAsia" w:ascii="仿宋" w:hAnsi="仿宋" w:eastAsia="仿宋" w:cs="仿宋"/>
          <w:sz w:val="32"/>
          <w:szCs w:val="32"/>
          <w:highlight w:val="none"/>
          <w:lang w:val="en-US" w:eastAsia="zh-CN"/>
        </w:rPr>
        <w:t>3套</w:t>
      </w:r>
      <w:r>
        <w:rPr>
          <w:rFonts w:hint="eastAsia" w:ascii="仿宋" w:hAnsi="仿宋" w:eastAsia="仿宋" w:cs="仿宋"/>
          <w:sz w:val="32"/>
          <w:szCs w:val="32"/>
          <w:highlight w:val="none"/>
        </w:rPr>
        <w:t>，指标完成率为100%</w:t>
      </w:r>
      <w:r>
        <w:rPr>
          <w:rFonts w:hint="eastAsia" w:ascii="仿宋" w:hAnsi="仿宋" w:eastAsia="仿宋" w:cs="仿宋"/>
          <w:sz w:val="32"/>
          <w:szCs w:val="32"/>
          <w:highlight w:val="none"/>
          <w:lang w:eastAsia="zh-CN"/>
        </w:rPr>
        <w:t>，达到预期指标。</w:t>
      </w:r>
      <w:r>
        <w:rPr>
          <w:rFonts w:hint="eastAsia" w:ascii="仿宋" w:hAnsi="仿宋" w:eastAsia="仿宋" w:cs="仿宋"/>
          <w:sz w:val="32"/>
          <w:szCs w:val="32"/>
          <w:highlight w:val="none"/>
          <w:lang w:val="en-US" w:eastAsia="zh-CN"/>
        </w:rPr>
        <w:t xml:space="preserve">  </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“办公设备购置（台）”指标：预期指标值为</w:t>
      </w:r>
      <w:r>
        <w:rPr>
          <w:rFonts w:hint="eastAsia" w:ascii="仿宋" w:hAnsi="仿宋" w:eastAsia="仿宋" w:cs="仿宋"/>
          <w:sz w:val="32"/>
          <w:szCs w:val="32"/>
          <w:highlight w:val="none"/>
          <w:lang w:val="en-US" w:eastAsia="zh-CN"/>
        </w:rPr>
        <w:t>2台</w:t>
      </w:r>
      <w:r>
        <w:rPr>
          <w:rFonts w:hint="eastAsia" w:ascii="仿宋" w:hAnsi="仿宋" w:eastAsia="仿宋" w:cs="仿宋"/>
          <w:sz w:val="32"/>
          <w:szCs w:val="32"/>
          <w:highlight w:val="none"/>
        </w:rPr>
        <w:t>，实际完成指标值为</w:t>
      </w:r>
      <w:r>
        <w:rPr>
          <w:rFonts w:hint="eastAsia" w:ascii="仿宋" w:hAnsi="仿宋" w:eastAsia="仿宋" w:cs="仿宋"/>
          <w:sz w:val="32"/>
          <w:szCs w:val="32"/>
          <w:highlight w:val="none"/>
          <w:lang w:val="en-US" w:eastAsia="zh-CN"/>
        </w:rPr>
        <w:t>2台</w:t>
      </w:r>
      <w:r>
        <w:rPr>
          <w:rFonts w:hint="eastAsia" w:ascii="仿宋" w:hAnsi="仿宋" w:eastAsia="仿宋" w:cs="仿宋"/>
          <w:sz w:val="32"/>
          <w:szCs w:val="32"/>
          <w:highlight w:val="none"/>
        </w:rPr>
        <w:t>，指标完成率为100%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数量指标共计2个，完成2个，达到预期目标，数量指标完成。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项目完成质量</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rPr>
        <w:t>“采购合格率（%）”指标：预期指标值为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rPr>
        <w:t>“办公人员素质满足业务需求（%)”指标：预期指标值为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质量指标共计2个，完成2个，达到预期目标，质量指标完成。</w:t>
      </w:r>
    </w:p>
    <w:p>
      <w:pPr>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w:t>
      </w:r>
      <w:r>
        <w:rPr>
          <w:rFonts w:hint="eastAsia" w:ascii="仿宋" w:hAnsi="仿宋" w:eastAsia="仿宋" w:cs="仿宋"/>
          <w:sz w:val="32"/>
          <w:szCs w:val="32"/>
          <w:lang w:val="en-US" w:eastAsia="zh-CN"/>
        </w:rPr>
        <w:t>完成时效</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“项目完成及时率（%）”指标：预期指标值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，实际完成指标值为100%，指标完成率为100%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“业务保障及时率（≥*%）”指标：预期指标值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%，指标完成率为100%</w:t>
      </w:r>
      <w:r>
        <w:rPr>
          <w:rFonts w:hint="eastAsia" w:ascii="仿宋" w:hAnsi="仿宋" w:eastAsia="仿宋" w:cs="仿宋"/>
          <w:sz w:val="32"/>
          <w:szCs w:val="32"/>
          <w:highlight w:val="none"/>
          <w:lang w:eastAsia="zh-CN"/>
        </w:rPr>
        <w:t>，达到预期指标。</w:t>
      </w:r>
    </w:p>
    <w:p>
      <w:pPr>
        <w:pStyle w:val="4"/>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时效指标共计2个，完成2个，达到预期目标，时效指标完成。</w:t>
      </w:r>
    </w:p>
    <w:p>
      <w:pPr>
        <w:pStyle w:val="4"/>
        <w:pageBreakBefore w:val="0"/>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4、项目完成</w:t>
      </w:r>
      <w:r>
        <w:rPr>
          <w:rFonts w:hint="eastAsia" w:ascii="仿宋" w:hAnsi="仿宋" w:eastAsia="仿宋" w:cs="仿宋"/>
          <w:sz w:val="32"/>
          <w:szCs w:val="32"/>
        </w:rPr>
        <w:t>成本</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“办公设备采购成本”指标：预期指标值为</w:t>
      </w:r>
      <w:r>
        <w:rPr>
          <w:rFonts w:hint="eastAsia" w:ascii="仿宋" w:hAnsi="仿宋" w:eastAsia="仿宋" w:cs="仿宋"/>
          <w:sz w:val="32"/>
          <w:szCs w:val="32"/>
          <w:lang w:val="en-US" w:eastAsia="zh-CN"/>
        </w:rPr>
        <w:t>0.78万元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0.78万元</w:t>
      </w:r>
      <w:r>
        <w:rPr>
          <w:rFonts w:hint="eastAsia" w:ascii="仿宋" w:hAnsi="仿宋" w:eastAsia="仿宋" w:cs="仿宋"/>
          <w:sz w:val="32"/>
          <w:szCs w:val="32"/>
        </w:rPr>
        <w:t>，指标完成率为100%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rPr>
        <w:t>“办公设备购置”指标：预期指标值为</w:t>
      </w:r>
      <w:r>
        <w:rPr>
          <w:rFonts w:hint="eastAsia" w:ascii="仿宋" w:hAnsi="仿宋" w:eastAsia="仿宋" w:cs="仿宋"/>
          <w:sz w:val="32"/>
          <w:szCs w:val="32"/>
          <w:lang w:val="en-US" w:eastAsia="zh-CN"/>
        </w:rPr>
        <w:t>0.26万元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0.26万元</w:t>
      </w:r>
      <w:r>
        <w:rPr>
          <w:rFonts w:hint="eastAsia" w:ascii="仿宋" w:hAnsi="仿宋" w:eastAsia="仿宋" w:cs="仿宋"/>
          <w:sz w:val="32"/>
          <w:szCs w:val="32"/>
        </w:rPr>
        <w:t>，指标完成率为100%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rPr>
        <w:t>“业务保障经费”指标：预期指标值为</w:t>
      </w:r>
      <w:r>
        <w:rPr>
          <w:rFonts w:hint="eastAsia" w:ascii="仿宋" w:hAnsi="仿宋" w:eastAsia="仿宋" w:cs="仿宋"/>
          <w:sz w:val="32"/>
          <w:szCs w:val="32"/>
          <w:lang w:val="en-US" w:eastAsia="zh-CN"/>
        </w:rPr>
        <w:t>1.84万元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1.84万元</w:t>
      </w:r>
      <w:r>
        <w:rPr>
          <w:rFonts w:hint="eastAsia" w:ascii="仿宋" w:hAnsi="仿宋" w:eastAsia="仿宋" w:cs="仿宋"/>
          <w:sz w:val="32"/>
          <w:szCs w:val="32"/>
        </w:rPr>
        <w:t>，指标完成率为100%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lang w:val="en-US" w:eastAsia="zh-CN"/>
        </w:rPr>
      </w:pPr>
      <w:r>
        <w:rPr>
          <w:rFonts w:hint="eastAsia" w:ascii="仿宋" w:hAnsi="仿宋" w:eastAsia="仿宋" w:cs="仿宋"/>
          <w:kern w:val="2"/>
          <w:sz w:val="32"/>
          <w:szCs w:val="32"/>
          <w:lang w:val="en-US" w:eastAsia="zh-CN" w:bidi="ar-SA"/>
        </w:rPr>
        <w:t>成本指标共计3个，完成3个，达到预期目标，成本指标完成。</w:t>
      </w:r>
    </w:p>
    <w:p>
      <w:pPr>
        <w:pStyle w:val="18"/>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项目效益情况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bCs/>
          <w:sz w:val="32"/>
          <w:szCs w:val="32"/>
          <w:lang w:val="en-US" w:eastAsia="zh-CN" w:bidi="ar"/>
        </w:rPr>
        <w:t>1、</w:t>
      </w:r>
      <w:r>
        <w:rPr>
          <w:rFonts w:hint="eastAsia" w:ascii="仿宋" w:hAnsi="仿宋" w:eastAsia="仿宋" w:cs="仿宋"/>
          <w:sz w:val="32"/>
          <w:szCs w:val="32"/>
        </w:rPr>
        <w:t>项目实施的经济效益分析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无</w:t>
      </w:r>
    </w:p>
    <w:p>
      <w:pPr>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项目实施的社会效益分析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“不断提升干部工作积极性”指标：预期指标值为</w:t>
      </w:r>
      <w:r>
        <w:rPr>
          <w:rFonts w:hint="eastAsia" w:ascii="仿宋" w:hAnsi="仿宋" w:eastAsia="仿宋" w:cs="仿宋"/>
          <w:sz w:val="32"/>
          <w:szCs w:val="32"/>
          <w:lang w:val="en-US" w:eastAsia="zh-CN"/>
        </w:rPr>
        <w:t>显著提升,</w:t>
      </w:r>
      <w:r>
        <w:rPr>
          <w:rFonts w:hint="eastAsia" w:ascii="仿宋" w:hAnsi="仿宋" w:eastAsia="仿宋" w:cs="仿宋"/>
          <w:sz w:val="32"/>
          <w:szCs w:val="32"/>
        </w:rPr>
        <w:t>实际完成指标值为达成预期指标，指标完成率为100%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社会效益指标共计1个，完成1个，达到预期目标，社会指标完成。</w:t>
      </w:r>
    </w:p>
    <w:p>
      <w:pPr>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项目实施的生态效益分析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无</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项目实施的可持续影响分析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“业务能力提升”指标：预期指标值为</w:t>
      </w:r>
      <w:r>
        <w:rPr>
          <w:rFonts w:hint="eastAsia" w:ascii="仿宋" w:hAnsi="仿宋" w:eastAsia="仿宋" w:cs="仿宋"/>
          <w:sz w:val="32"/>
          <w:szCs w:val="32"/>
          <w:lang w:val="en-US" w:eastAsia="zh-CN"/>
        </w:rPr>
        <w:t>长期</w:t>
      </w:r>
      <w:r>
        <w:rPr>
          <w:rFonts w:hint="eastAsia" w:ascii="仿宋" w:hAnsi="仿宋" w:eastAsia="仿宋" w:cs="仿宋"/>
          <w:sz w:val="32"/>
          <w:szCs w:val="32"/>
        </w:rPr>
        <w:t>，实际完成指标值为100%，指标完成率为100%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可持续影响指标共计1个，完成1个，达到预期目标，可持续影响指标完成。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3.满意度指标完成情况分析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“在职人员满意率（%）”指标：预期指标值为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%，指标完成率为100%</w:t>
      </w:r>
      <w:r>
        <w:rPr>
          <w:rFonts w:hint="eastAsia" w:ascii="仿宋" w:hAnsi="仿宋" w:eastAsia="仿宋" w:cs="仿宋"/>
          <w:sz w:val="32"/>
          <w:szCs w:val="32"/>
          <w:highlight w:val="none"/>
          <w:lang w:eastAsia="zh-CN"/>
        </w:rPr>
        <w:t>，达到预期指标。</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bCs/>
          <w:sz w:val="32"/>
          <w:szCs w:val="32"/>
          <w:lang w:bidi="ar"/>
        </w:rPr>
      </w:pPr>
      <w:r>
        <w:rPr>
          <w:rFonts w:hint="eastAsia" w:ascii="仿宋" w:hAnsi="仿宋" w:eastAsia="仿宋" w:cs="仿宋"/>
          <w:kern w:val="2"/>
          <w:sz w:val="32"/>
          <w:szCs w:val="32"/>
          <w:lang w:val="en-US" w:eastAsia="zh-CN" w:bidi="ar-SA"/>
        </w:rPr>
        <w:t>满意度指标共计1个，完成1个，达到预期目标，服务对象满意度指标完成。</w:t>
      </w:r>
    </w:p>
    <w:p>
      <w:pPr>
        <w:spacing w:before="156" w:beforeLines="50" w:line="600" w:lineRule="exact"/>
        <w:ind w:firstLine="640" w:firstLineChars="200"/>
        <w:rPr>
          <w:rFonts w:ascii="仿宋_GB2312" w:hAnsi="仿宋" w:eastAsia="仿宋_GB2312" w:cs="宋体"/>
          <w:bCs/>
          <w:sz w:val="32"/>
          <w:szCs w:val="32"/>
          <w:lang w:bidi="ar"/>
        </w:rPr>
      </w:pPr>
    </w:p>
    <w:p>
      <w:pPr>
        <w:pStyle w:val="22"/>
        <w:numPr>
          <w:ilvl w:val="0"/>
          <w:numId w:val="2"/>
        </w:numPr>
        <w:ind w:firstLineChars="0"/>
        <w:rPr>
          <w:lang w:bidi="ar"/>
        </w:rPr>
      </w:pPr>
      <w:r>
        <w:rPr>
          <w:rFonts w:hint="eastAsia" w:ascii="黑体" w:hAnsi="黑体"/>
        </w:rPr>
        <w:t>主要经验及做法、存在的问题及原因分析</w:t>
      </w:r>
    </w:p>
    <w:p>
      <w:pPr>
        <w:pStyle w:val="24"/>
        <w:numPr>
          <w:ilvl w:val="0"/>
          <w:numId w:val="7"/>
        </w:numPr>
        <w:ind w:left="0" w:firstLine="643" w:firstLineChars="200"/>
        <w:rPr>
          <w:lang w:bidi="ar"/>
        </w:rPr>
      </w:pPr>
      <w:r>
        <w:rPr>
          <w:rFonts w:hint="eastAsia"/>
          <w:lang w:bidi="ar"/>
        </w:rPr>
        <w:t>主要经验及做法</w:t>
      </w:r>
    </w:p>
    <w:p>
      <w:pPr>
        <w:pStyle w:val="24"/>
        <w:numPr>
          <w:ilvl w:val="0"/>
          <w:numId w:val="0"/>
        </w:numPr>
        <w:ind w:firstLine="640" w:firstLineChars="200"/>
        <w:rPr>
          <w:rFonts w:hint="eastAsia" w:ascii="仿宋" w:hAnsi="仿宋" w:eastAsia="仿宋" w:cs="仿宋"/>
          <w:b w:val="0"/>
          <w:sz w:val="32"/>
          <w:szCs w:val="32"/>
          <w:lang w:bidi="ar"/>
        </w:rPr>
      </w:pPr>
      <w:r>
        <w:rPr>
          <w:rFonts w:hint="eastAsia" w:ascii="仿宋" w:hAnsi="仿宋" w:eastAsia="仿宋" w:cs="仿宋"/>
          <w:b w:val="0"/>
          <w:sz w:val="32"/>
          <w:szCs w:val="32"/>
          <w:lang w:bidi="ar"/>
        </w:rPr>
        <w:t>本项目实施效果较好的原因主要是我单位召开专题会议组建了绩效评价小组，不断完善项目实施管理制度、明确各部门负责人及预算管理员对项目实施负总责，由纪检小组对项目实施情况跟踪问效，制定项目执行考核机制，纳入全年工作考核内容，全年项目执行情况良好，监督运行有效，在项目实施过程中不断创新管理办法，采用预算执行评价方式使项目取得了执行效率高、业务保障到位等良好的效果。</w:t>
      </w:r>
    </w:p>
    <w:p>
      <w:pPr>
        <w:pStyle w:val="24"/>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Chars="200"/>
        <w:textAlignment w:val="auto"/>
        <w:rPr>
          <w:rFonts w:hint="eastAsia" w:ascii="仿宋" w:hAnsi="仿宋" w:eastAsia="仿宋" w:cs="仿宋"/>
          <w:sz w:val="32"/>
          <w:szCs w:val="32"/>
          <w:lang w:bidi="ar"/>
        </w:rPr>
      </w:pPr>
      <w:r>
        <w:rPr>
          <w:rFonts w:hint="eastAsia" w:ascii="仿宋" w:hAnsi="仿宋" w:eastAsia="仿宋" w:cs="仿宋"/>
          <w:sz w:val="32"/>
          <w:szCs w:val="32"/>
          <w:lang w:eastAsia="zh-CN" w:bidi="ar"/>
        </w:rPr>
        <w:t>（二）</w:t>
      </w:r>
      <w:r>
        <w:rPr>
          <w:rFonts w:hint="eastAsia" w:ascii="仿宋" w:hAnsi="仿宋" w:eastAsia="仿宋" w:cs="仿宋"/>
          <w:sz w:val="32"/>
          <w:szCs w:val="32"/>
          <w:lang w:bidi="ar"/>
        </w:rPr>
        <w:t>存在的问题及原因分析</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kern w:val="2"/>
          <w:sz w:val="32"/>
          <w:szCs w:val="32"/>
          <w:lang w:bidi="ar"/>
        </w:rPr>
        <w:t>通过预算绩效管理，发现了工作中存在的不足，年初财政下达项目经费批复时财务人员对预算开支经济科目掌握不明确，业务水平不高，导致资金支付滞缓，影响了开支进度。</w:t>
      </w:r>
    </w:p>
    <w:p>
      <w:pPr>
        <w:pStyle w:val="22"/>
        <w:numPr>
          <w:ilvl w:val="0"/>
          <w:numId w:val="2"/>
        </w:numPr>
        <w:ind w:firstLineChars="0"/>
        <w:rPr>
          <w:rFonts w:ascii="黑体" w:hAnsi="黑体"/>
        </w:rPr>
      </w:pPr>
      <w:r>
        <w:rPr>
          <w:rFonts w:hint="eastAsia" w:ascii="黑体" w:hAnsi="黑体"/>
        </w:rPr>
        <w:t>有关建议</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rPr>
      </w:pPr>
      <w:r>
        <w:rPr>
          <w:rFonts w:hint="eastAsia" w:ascii="仿宋" w:hAnsi="仿宋" w:eastAsia="仿宋" w:cs="仿宋"/>
          <w:b w:val="0"/>
          <w:kern w:val="2"/>
          <w:sz w:val="32"/>
          <w:szCs w:val="32"/>
          <w:lang w:bidi="ar"/>
        </w:rPr>
        <w:t>年初组织各部门开展预算编制会议，确定责任人及预算管理人员，对部门所列项目绩效进行评估，确定项目实施的可行性；预算执行过程中，由后勤处对各部门预算执行情况进行统计，定期上报纪检部门，分析并通报各部门预算执行进度及成效，对于开支管理不规范、成效不高的项目予以调整；年终考核时对各部门全年开支进行分析总结，成效低于预期的纳入绩效扣分，使资金使用效益最大化。</w:t>
      </w:r>
    </w:p>
    <w:p>
      <w:pPr>
        <w:pStyle w:val="22"/>
        <w:ind w:firstLine="0" w:firstLineChars="0"/>
        <w:rPr>
          <w:rFonts w:ascii="黑体" w:hAnsi="黑体"/>
          <w:b w:val="0"/>
        </w:rPr>
      </w:pPr>
    </w:p>
    <w:p>
      <w:pPr>
        <w:pStyle w:val="22"/>
        <w:numPr>
          <w:ilvl w:val="0"/>
          <w:numId w:val="2"/>
        </w:numPr>
        <w:ind w:firstLineChars="0"/>
        <w:rPr>
          <w:rFonts w:ascii="黑体" w:hAnsi="黑体"/>
        </w:rPr>
      </w:pPr>
      <w:r>
        <w:rPr>
          <w:rFonts w:hint="eastAsia" w:ascii="黑体" w:hAnsi="黑体"/>
        </w:rPr>
        <w:t>其他需要说明的问题</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kern w:val="2"/>
          <w:sz w:val="32"/>
          <w:szCs w:val="32"/>
          <w:lang w:bidi="ar"/>
        </w:rPr>
      </w:pPr>
      <w:r>
        <w:rPr>
          <w:rFonts w:hint="eastAsia" w:ascii="仿宋" w:hAnsi="仿宋" w:eastAsia="仿宋" w:cs="仿宋"/>
          <w:b w:val="0"/>
          <w:kern w:val="2"/>
          <w:sz w:val="32"/>
          <w:szCs w:val="32"/>
          <w:lang w:bidi="ar"/>
        </w:rPr>
        <w:t>无其他说明内容。</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kern w:val="2"/>
          <w:sz w:val="32"/>
          <w:szCs w:val="32"/>
          <w:lang w:bidi="ar"/>
        </w:rPr>
      </w:pP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w:t>
      </w:r>
      <w:r>
        <w:rPr>
          <w:rFonts w:hint="eastAsia" w:ascii="仿宋_GB2312" w:hAnsi="仿宋" w:eastAsia="仿宋_GB2312" w:cs="宋体"/>
          <w:sz w:val="32"/>
          <w:szCs w:val="32"/>
          <w:lang w:eastAsia="zh-CN" w:bidi="ar"/>
        </w:rPr>
        <w:t>国际博览中心办公经费</w:t>
      </w:r>
      <w:r>
        <w:rPr>
          <w:rFonts w:hint="eastAsia" w:ascii="仿宋_GB2312" w:hAnsi="仿宋" w:eastAsia="仿宋_GB2312" w:cs="宋体"/>
          <w:sz w:val="32"/>
          <w:szCs w:val="32"/>
          <w:lang w:bidi="ar"/>
        </w:rPr>
        <w:t>项目支出绩效目标申报表</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w:t>
      </w:r>
      <w:r>
        <w:rPr>
          <w:rFonts w:hint="eastAsia" w:ascii="仿宋_GB2312" w:hAnsi="仿宋" w:eastAsia="仿宋_GB2312" w:cs="宋体"/>
          <w:sz w:val="32"/>
          <w:szCs w:val="32"/>
          <w:lang w:eastAsia="zh-CN" w:bidi="ar"/>
        </w:rPr>
        <w:t>国际博览中心办公经费</w:t>
      </w:r>
      <w:r>
        <w:rPr>
          <w:rFonts w:hint="eastAsia" w:ascii="仿宋_GB2312" w:hAnsi="仿宋" w:eastAsia="仿宋_GB2312" w:cs="宋体"/>
          <w:sz w:val="32"/>
          <w:szCs w:val="32"/>
          <w:lang w:bidi="ar"/>
        </w:rPr>
        <w:t>项目支出绩效目标表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w:t>
      </w:r>
      <w:r>
        <w:rPr>
          <w:rFonts w:hint="eastAsia" w:ascii="仿宋_GB2312" w:hAnsi="仿宋" w:eastAsia="仿宋_GB2312" w:cs="宋体"/>
          <w:sz w:val="32"/>
          <w:szCs w:val="32"/>
          <w:lang w:eastAsia="zh-CN" w:bidi="ar"/>
        </w:rPr>
        <w:t>国际博览中心办公经费</w:t>
      </w:r>
      <w:r>
        <w:rPr>
          <w:rFonts w:hint="eastAsia" w:ascii="仿宋_GB2312" w:hAnsi="仿宋" w:eastAsia="仿宋_GB2312" w:cs="宋体"/>
          <w:sz w:val="32"/>
          <w:szCs w:val="32"/>
          <w:lang w:bidi="ar"/>
        </w:rPr>
        <w:t>项目支出绩效自评表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bidi="ar"/>
        </w:rPr>
        <w:t>：喀什</w:t>
      </w:r>
      <w:r>
        <w:rPr>
          <w:rFonts w:hint="eastAsia" w:ascii="仿宋_GB2312" w:hAnsi="仿宋" w:eastAsia="仿宋_GB2312" w:cs="宋体"/>
          <w:sz w:val="32"/>
          <w:szCs w:val="32"/>
          <w:lang w:eastAsia="zh-CN" w:bidi="ar"/>
        </w:rPr>
        <w:t>国际博览中心工作经费</w:t>
      </w:r>
      <w:r>
        <w:rPr>
          <w:rFonts w:hint="eastAsia" w:ascii="仿宋_GB2312" w:hAnsi="仿宋" w:eastAsia="仿宋_GB2312" w:cs="宋体"/>
          <w:sz w:val="32"/>
          <w:szCs w:val="32"/>
          <w:lang w:bidi="ar"/>
        </w:rPr>
        <w:t>项目支出绩效评价指标体系</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5</w:t>
      </w:r>
      <w:r>
        <w:rPr>
          <w:rFonts w:hint="eastAsia" w:ascii="仿宋_GB2312" w:hAnsi="仿宋" w:eastAsia="仿宋_GB2312" w:cs="宋体"/>
          <w:sz w:val="32"/>
          <w:szCs w:val="32"/>
          <w:lang w:bidi="ar"/>
        </w:rPr>
        <w:t>：绩效评价依据</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6</w:t>
      </w:r>
      <w:r>
        <w:rPr>
          <w:rFonts w:hint="eastAsia" w:ascii="仿宋_GB2312" w:hAnsi="仿宋" w:eastAsia="仿宋_GB2312" w:cs="宋体"/>
          <w:sz w:val="32"/>
          <w:szCs w:val="32"/>
          <w:lang w:bidi="ar"/>
        </w:rPr>
        <w:t>：喀什</w:t>
      </w:r>
      <w:r>
        <w:rPr>
          <w:rFonts w:hint="eastAsia" w:ascii="仿宋_GB2312" w:hAnsi="仿宋" w:eastAsia="仿宋_GB2312" w:cs="宋体"/>
          <w:sz w:val="32"/>
          <w:szCs w:val="32"/>
          <w:lang w:eastAsia="zh-CN" w:bidi="ar"/>
        </w:rPr>
        <w:t>国际博览中心</w:t>
      </w:r>
      <w:r>
        <w:rPr>
          <w:rFonts w:hint="eastAsia" w:ascii="仿宋_GB2312" w:hAnsi="仿宋" w:eastAsia="仿宋_GB2312" w:cs="宋体"/>
          <w:sz w:val="32"/>
          <w:szCs w:val="32"/>
          <w:lang w:bidi="ar"/>
        </w:rPr>
        <w:t>项目支出绩效评价评分表</w:t>
      </w:r>
    </w:p>
    <w:p>
      <w:pPr>
        <w:spacing w:before="156" w:beforeLines="50" w:line="600" w:lineRule="exact"/>
        <w:ind w:firstLine="640" w:firstLineChars="200"/>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26199"/>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078CE"/>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477F"/>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7008A"/>
    <w:rsid w:val="01BE6316"/>
    <w:rsid w:val="02082F35"/>
    <w:rsid w:val="022F7410"/>
    <w:rsid w:val="02586266"/>
    <w:rsid w:val="03ED638C"/>
    <w:rsid w:val="04BE2752"/>
    <w:rsid w:val="04E01ACF"/>
    <w:rsid w:val="05261AC9"/>
    <w:rsid w:val="052E1BB0"/>
    <w:rsid w:val="05B316C7"/>
    <w:rsid w:val="06E03A3A"/>
    <w:rsid w:val="0703303D"/>
    <w:rsid w:val="074446FF"/>
    <w:rsid w:val="075C4FC5"/>
    <w:rsid w:val="07BD3317"/>
    <w:rsid w:val="07C70BEF"/>
    <w:rsid w:val="07EB6ED8"/>
    <w:rsid w:val="08ED1BBC"/>
    <w:rsid w:val="093D08A9"/>
    <w:rsid w:val="099F714A"/>
    <w:rsid w:val="0A4C7AE0"/>
    <w:rsid w:val="0A573F03"/>
    <w:rsid w:val="0A6313A3"/>
    <w:rsid w:val="0AF57C03"/>
    <w:rsid w:val="0B5520EB"/>
    <w:rsid w:val="0BC429AC"/>
    <w:rsid w:val="0BFE019D"/>
    <w:rsid w:val="0C2956FC"/>
    <w:rsid w:val="0CE93055"/>
    <w:rsid w:val="0CEA6336"/>
    <w:rsid w:val="0D6530AC"/>
    <w:rsid w:val="0D9D64D3"/>
    <w:rsid w:val="0DCC4367"/>
    <w:rsid w:val="0E47726E"/>
    <w:rsid w:val="0E565F8D"/>
    <w:rsid w:val="0FEB1F32"/>
    <w:rsid w:val="10043635"/>
    <w:rsid w:val="106A456A"/>
    <w:rsid w:val="10AE780D"/>
    <w:rsid w:val="10CC6861"/>
    <w:rsid w:val="11A27554"/>
    <w:rsid w:val="131C5013"/>
    <w:rsid w:val="133E65CC"/>
    <w:rsid w:val="137347AE"/>
    <w:rsid w:val="13DB7D12"/>
    <w:rsid w:val="13E071FC"/>
    <w:rsid w:val="14C24412"/>
    <w:rsid w:val="15270B7D"/>
    <w:rsid w:val="15E43402"/>
    <w:rsid w:val="1738680B"/>
    <w:rsid w:val="17FF03EA"/>
    <w:rsid w:val="190B63EC"/>
    <w:rsid w:val="19290383"/>
    <w:rsid w:val="1A7900F1"/>
    <w:rsid w:val="1AE47467"/>
    <w:rsid w:val="1AEC505A"/>
    <w:rsid w:val="1B910B3B"/>
    <w:rsid w:val="1BBA106E"/>
    <w:rsid w:val="1BEA2E33"/>
    <w:rsid w:val="1C1A3FE1"/>
    <w:rsid w:val="1C6A66DD"/>
    <w:rsid w:val="1C7D1568"/>
    <w:rsid w:val="1CC020F2"/>
    <w:rsid w:val="1D171876"/>
    <w:rsid w:val="1D3B25BA"/>
    <w:rsid w:val="1D4034B2"/>
    <w:rsid w:val="1D747F50"/>
    <w:rsid w:val="1D9A3388"/>
    <w:rsid w:val="1DB91E54"/>
    <w:rsid w:val="1DCE0E64"/>
    <w:rsid w:val="1EFB5A6B"/>
    <w:rsid w:val="1F2548BE"/>
    <w:rsid w:val="1F810D39"/>
    <w:rsid w:val="1F8D4741"/>
    <w:rsid w:val="1FD11514"/>
    <w:rsid w:val="1FE235E0"/>
    <w:rsid w:val="203C15EA"/>
    <w:rsid w:val="20A47958"/>
    <w:rsid w:val="20BE4554"/>
    <w:rsid w:val="20BE4FE9"/>
    <w:rsid w:val="217F35A7"/>
    <w:rsid w:val="2183320F"/>
    <w:rsid w:val="220F0D6C"/>
    <w:rsid w:val="223F1938"/>
    <w:rsid w:val="238851AB"/>
    <w:rsid w:val="23CC5B6E"/>
    <w:rsid w:val="23E83D0D"/>
    <w:rsid w:val="24047634"/>
    <w:rsid w:val="24AB711F"/>
    <w:rsid w:val="24E73B1F"/>
    <w:rsid w:val="251F3FBF"/>
    <w:rsid w:val="252D3913"/>
    <w:rsid w:val="25301338"/>
    <w:rsid w:val="265B5378"/>
    <w:rsid w:val="26DF5E97"/>
    <w:rsid w:val="26F03C06"/>
    <w:rsid w:val="270D5B04"/>
    <w:rsid w:val="273844C0"/>
    <w:rsid w:val="275E293E"/>
    <w:rsid w:val="27A73410"/>
    <w:rsid w:val="27BF5BB5"/>
    <w:rsid w:val="29026641"/>
    <w:rsid w:val="294807B4"/>
    <w:rsid w:val="2958533D"/>
    <w:rsid w:val="29AC3F57"/>
    <w:rsid w:val="29DD3B12"/>
    <w:rsid w:val="2A075A4F"/>
    <w:rsid w:val="2A165D6D"/>
    <w:rsid w:val="2A547683"/>
    <w:rsid w:val="2B8249FB"/>
    <w:rsid w:val="2B89216A"/>
    <w:rsid w:val="2CC74DA4"/>
    <w:rsid w:val="2CE66D1D"/>
    <w:rsid w:val="2CEF6733"/>
    <w:rsid w:val="2D9C3BC8"/>
    <w:rsid w:val="2F990404"/>
    <w:rsid w:val="2F9A2FD7"/>
    <w:rsid w:val="2FCE6A31"/>
    <w:rsid w:val="2FCF0DEF"/>
    <w:rsid w:val="2FFA0FA6"/>
    <w:rsid w:val="302C5950"/>
    <w:rsid w:val="30517915"/>
    <w:rsid w:val="30946E10"/>
    <w:rsid w:val="30D80BD6"/>
    <w:rsid w:val="31221D04"/>
    <w:rsid w:val="321A0E4B"/>
    <w:rsid w:val="326D4A9D"/>
    <w:rsid w:val="327A41A0"/>
    <w:rsid w:val="338F2099"/>
    <w:rsid w:val="353433C7"/>
    <w:rsid w:val="358C2850"/>
    <w:rsid w:val="36B900D3"/>
    <w:rsid w:val="374F2615"/>
    <w:rsid w:val="376E55CC"/>
    <w:rsid w:val="37AF4B80"/>
    <w:rsid w:val="38082EC1"/>
    <w:rsid w:val="382066CD"/>
    <w:rsid w:val="391E3581"/>
    <w:rsid w:val="397B7E74"/>
    <w:rsid w:val="3BB41E68"/>
    <w:rsid w:val="3CD40DF9"/>
    <w:rsid w:val="3D451DD5"/>
    <w:rsid w:val="3DCA4CD8"/>
    <w:rsid w:val="3E0148E8"/>
    <w:rsid w:val="3E8B5748"/>
    <w:rsid w:val="3EEB3DE3"/>
    <w:rsid w:val="40191956"/>
    <w:rsid w:val="40AF54CD"/>
    <w:rsid w:val="42213E6A"/>
    <w:rsid w:val="42432928"/>
    <w:rsid w:val="426E5430"/>
    <w:rsid w:val="439C6070"/>
    <w:rsid w:val="43E505B6"/>
    <w:rsid w:val="443D68BB"/>
    <w:rsid w:val="444462AC"/>
    <w:rsid w:val="45162A2F"/>
    <w:rsid w:val="455B6400"/>
    <w:rsid w:val="45D15E9D"/>
    <w:rsid w:val="46BC659B"/>
    <w:rsid w:val="46D66A94"/>
    <w:rsid w:val="472B7B49"/>
    <w:rsid w:val="475F7B57"/>
    <w:rsid w:val="47891A15"/>
    <w:rsid w:val="47991DF8"/>
    <w:rsid w:val="47CE4CE0"/>
    <w:rsid w:val="48B2094C"/>
    <w:rsid w:val="48EC62F8"/>
    <w:rsid w:val="492C7D35"/>
    <w:rsid w:val="4949110F"/>
    <w:rsid w:val="494D513A"/>
    <w:rsid w:val="49CB56A4"/>
    <w:rsid w:val="49FE544B"/>
    <w:rsid w:val="4A885FCC"/>
    <w:rsid w:val="4AA01057"/>
    <w:rsid w:val="4B642D6E"/>
    <w:rsid w:val="4B7D4EAB"/>
    <w:rsid w:val="4CC74280"/>
    <w:rsid w:val="4DB051C8"/>
    <w:rsid w:val="4DE31AF6"/>
    <w:rsid w:val="4EAE1F1E"/>
    <w:rsid w:val="4F95263A"/>
    <w:rsid w:val="4FE436B7"/>
    <w:rsid w:val="508E68B4"/>
    <w:rsid w:val="50DE5545"/>
    <w:rsid w:val="519A5831"/>
    <w:rsid w:val="51B046DD"/>
    <w:rsid w:val="52094A65"/>
    <w:rsid w:val="52E76FCB"/>
    <w:rsid w:val="533256E9"/>
    <w:rsid w:val="53744226"/>
    <w:rsid w:val="54C55228"/>
    <w:rsid w:val="55466BB8"/>
    <w:rsid w:val="558877D2"/>
    <w:rsid w:val="558C355C"/>
    <w:rsid w:val="565F07E4"/>
    <w:rsid w:val="566D3F47"/>
    <w:rsid w:val="567D464B"/>
    <w:rsid w:val="56A66F8E"/>
    <w:rsid w:val="578223A9"/>
    <w:rsid w:val="57925EFD"/>
    <w:rsid w:val="57964064"/>
    <w:rsid w:val="57983A0D"/>
    <w:rsid w:val="58116D49"/>
    <w:rsid w:val="58537BD6"/>
    <w:rsid w:val="586A3B45"/>
    <w:rsid w:val="58E93117"/>
    <w:rsid w:val="597C6BD1"/>
    <w:rsid w:val="59FD13E9"/>
    <w:rsid w:val="5AC64F92"/>
    <w:rsid w:val="5BA91B30"/>
    <w:rsid w:val="5C652909"/>
    <w:rsid w:val="5DB91A35"/>
    <w:rsid w:val="5E92406D"/>
    <w:rsid w:val="5EA833D9"/>
    <w:rsid w:val="5FDA1458"/>
    <w:rsid w:val="60546435"/>
    <w:rsid w:val="60FF453A"/>
    <w:rsid w:val="62733B5E"/>
    <w:rsid w:val="6282240F"/>
    <w:rsid w:val="629B6212"/>
    <w:rsid w:val="62A9210D"/>
    <w:rsid w:val="62BE3AAB"/>
    <w:rsid w:val="63FA2785"/>
    <w:rsid w:val="65382CC6"/>
    <w:rsid w:val="65923833"/>
    <w:rsid w:val="65D72DCB"/>
    <w:rsid w:val="667765BF"/>
    <w:rsid w:val="66A40214"/>
    <w:rsid w:val="66A5081D"/>
    <w:rsid w:val="66C67C9A"/>
    <w:rsid w:val="6745313F"/>
    <w:rsid w:val="679A045E"/>
    <w:rsid w:val="68163D22"/>
    <w:rsid w:val="682F6922"/>
    <w:rsid w:val="68472CF7"/>
    <w:rsid w:val="68F63ED0"/>
    <w:rsid w:val="6A146394"/>
    <w:rsid w:val="6B3D496D"/>
    <w:rsid w:val="6B4570F3"/>
    <w:rsid w:val="6B86180C"/>
    <w:rsid w:val="6BBD101B"/>
    <w:rsid w:val="6BF2425F"/>
    <w:rsid w:val="6C8A1EFA"/>
    <w:rsid w:val="6CBE3982"/>
    <w:rsid w:val="6D190D89"/>
    <w:rsid w:val="6D20510F"/>
    <w:rsid w:val="6D4A4F45"/>
    <w:rsid w:val="6E28524B"/>
    <w:rsid w:val="6EFC0DEF"/>
    <w:rsid w:val="6F013A72"/>
    <w:rsid w:val="6FB111B5"/>
    <w:rsid w:val="702F6C12"/>
    <w:rsid w:val="704468C6"/>
    <w:rsid w:val="713D17B6"/>
    <w:rsid w:val="71485D63"/>
    <w:rsid w:val="714F5336"/>
    <w:rsid w:val="715D3678"/>
    <w:rsid w:val="717443ED"/>
    <w:rsid w:val="71A24EEC"/>
    <w:rsid w:val="71A95997"/>
    <w:rsid w:val="71AB52FB"/>
    <w:rsid w:val="71EC4F62"/>
    <w:rsid w:val="721F632A"/>
    <w:rsid w:val="724A115F"/>
    <w:rsid w:val="724A6B73"/>
    <w:rsid w:val="72A52133"/>
    <w:rsid w:val="72AB20BA"/>
    <w:rsid w:val="73680F97"/>
    <w:rsid w:val="736D68D3"/>
    <w:rsid w:val="746B7194"/>
    <w:rsid w:val="74CB3AB4"/>
    <w:rsid w:val="74DF0079"/>
    <w:rsid w:val="752E2696"/>
    <w:rsid w:val="756502A3"/>
    <w:rsid w:val="762E2BC9"/>
    <w:rsid w:val="76477D82"/>
    <w:rsid w:val="76C73D85"/>
    <w:rsid w:val="773E70F5"/>
    <w:rsid w:val="7775238E"/>
    <w:rsid w:val="78280166"/>
    <w:rsid w:val="78875836"/>
    <w:rsid w:val="78E74027"/>
    <w:rsid w:val="79914E37"/>
    <w:rsid w:val="79B377EC"/>
    <w:rsid w:val="79B9547C"/>
    <w:rsid w:val="7A004104"/>
    <w:rsid w:val="7A8638D9"/>
    <w:rsid w:val="7AA52740"/>
    <w:rsid w:val="7AAB2824"/>
    <w:rsid w:val="7B095308"/>
    <w:rsid w:val="7B1F37F6"/>
    <w:rsid w:val="7BFC743F"/>
    <w:rsid w:val="7C450B56"/>
    <w:rsid w:val="7CCF1F6C"/>
    <w:rsid w:val="7DC21361"/>
    <w:rsid w:val="7E1835AB"/>
    <w:rsid w:val="7EF1430F"/>
    <w:rsid w:val="7FA4460F"/>
    <w:rsid w:val="7FFC0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字符"/>
    <w:basedOn w:val="14"/>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4"/>
    <w:link w:val="8"/>
    <w:qFormat/>
    <w:uiPriority w:val="99"/>
    <w:rPr>
      <w:sz w:val="18"/>
      <w:szCs w:val="18"/>
    </w:rPr>
  </w:style>
  <w:style w:type="character" w:customStyle="1" w:styleId="20">
    <w:name w:val="页脚 字符"/>
    <w:basedOn w:val="14"/>
    <w:link w:val="7"/>
    <w:qFormat/>
    <w:uiPriority w:val="99"/>
    <w:rPr>
      <w:sz w:val="18"/>
      <w:szCs w:val="18"/>
    </w:rPr>
  </w:style>
  <w:style w:type="character" w:customStyle="1" w:styleId="21">
    <w:name w:val="批注框文本 字符"/>
    <w:basedOn w:val="14"/>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4"/>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4"/>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3</TotalTime>
  <ScaleCrop>false</ScaleCrop>
  <LinksUpToDate>false</LinksUpToDate>
  <CharactersWithSpaces>6006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2020-09-05T09:44:05Z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