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3A8" w:rsidRDefault="008853A8">
      <w:pPr>
        <w:rPr>
          <w:rFonts w:ascii="黑体" w:eastAsia="黑体" w:hAnsi="黑体"/>
          <w:sz w:val="32"/>
          <w:szCs w:val="32"/>
        </w:rPr>
      </w:pPr>
      <w:r>
        <w:rPr>
          <w:rFonts w:ascii="黑体" w:eastAsia="黑体" w:hAnsi="黑体" w:hint="eastAsia"/>
          <w:sz w:val="32"/>
          <w:szCs w:val="32"/>
        </w:rPr>
        <w:t>附件：</w:t>
      </w: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377EC6">
      <w:pPr>
        <w:jc w:val="center"/>
        <w:rPr>
          <w:rFonts w:ascii="方正小标宋_GBK" w:eastAsia="方正小标宋_GBK" w:hAnsi="宋体"/>
          <w:sz w:val="44"/>
          <w:szCs w:val="44"/>
        </w:rPr>
      </w:pPr>
      <w:r>
        <w:rPr>
          <w:rFonts w:ascii="方正小标宋_GBK" w:eastAsia="方正小标宋_GBK" w:hAnsi="方正小标宋_GBK" w:cs="方正小标宋_GBK"/>
          <w:sz w:val="44"/>
        </w:rPr>
        <w:t>新疆喀什国际博览中心2019年度部门决算</w:t>
      </w:r>
    </w:p>
    <w:p w:rsidR="008853A8" w:rsidRDefault="008853A8">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 录</w:t>
      </w:r>
    </w:p>
    <w:p w:rsidR="008853A8" w:rsidRDefault="008853A8">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rsidR="008853A8" w:rsidRDefault="00022072">
      <w:pPr>
        <w:pStyle w:val="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rsidR="008853A8" w:rsidRDefault="00022072">
      <w:pPr>
        <w:pStyle w:val="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rsidR="008853A8" w:rsidRDefault="00022072">
      <w:pPr>
        <w:pStyle w:val="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rsidR="008853A8" w:rsidRDefault="00022072">
      <w:pPr>
        <w:pStyle w:val="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rsidR="008853A8" w:rsidRDefault="00022072">
      <w:pPr>
        <w:pStyle w:val="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rsidR="008853A8" w:rsidRDefault="00022072">
      <w:pPr>
        <w:pStyle w:val="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rsidR="008853A8" w:rsidRDefault="00022072">
      <w:pPr>
        <w:pStyle w:val="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rsidR="008853A8" w:rsidRDefault="00022072">
      <w:pPr>
        <w:pStyle w:val="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rsidR="008853A8" w:rsidRDefault="00022072">
      <w:pPr>
        <w:pStyle w:val="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rsidR="008853A8" w:rsidRDefault="00022072">
      <w:pPr>
        <w:pStyle w:val="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rsidR="008853A8" w:rsidRDefault="00022072">
      <w:pPr>
        <w:pStyle w:val="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rsidR="008853A8" w:rsidRDefault="00022072">
      <w:pPr>
        <w:pStyle w:val="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rsidR="008853A8" w:rsidRDefault="00022072">
      <w:pPr>
        <w:pStyle w:val="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rsidR="008853A8" w:rsidRDefault="00022072">
      <w:pPr>
        <w:pStyle w:val="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rsidR="008853A8" w:rsidRDefault="00022072">
      <w:pPr>
        <w:pStyle w:val="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rsidR="008853A8" w:rsidRDefault="00022072">
      <w:pPr>
        <w:pStyle w:val="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rsidR="008853A8" w:rsidRDefault="00022072">
      <w:pPr>
        <w:pStyle w:val="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rsidR="008853A8" w:rsidRDefault="00022072">
      <w:pPr>
        <w:pStyle w:val="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rsidR="008853A8" w:rsidRDefault="00022072">
      <w:pPr>
        <w:pStyle w:val="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rsidR="008853A8" w:rsidRDefault="00022072">
      <w:pPr>
        <w:pStyle w:val="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rsidR="008853A8" w:rsidRDefault="00022072">
      <w:pPr>
        <w:pStyle w:val="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rsidR="008853A8" w:rsidRDefault="00022072">
      <w:pPr>
        <w:pStyle w:val="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rsidR="008853A8" w:rsidRDefault="00022072">
      <w:pPr>
        <w:pStyle w:val="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rsidR="008853A8" w:rsidRDefault="00022072">
      <w:pPr>
        <w:pStyle w:val="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rsidR="008853A8" w:rsidRDefault="00022072">
      <w:pPr>
        <w:pStyle w:val="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rsidR="008853A8" w:rsidRDefault="00022072">
      <w:pPr>
        <w:pStyle w:val="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rsidR="008853A8" w:rsidRDefault="008853A8">
      <w:r>
        <w:rPr>
          <w:rFonts w:ascii="仿宋_GB2312" w:eastAsia="仿宋_GB2312" w:hAnsi="仿宋_GB2312" w:cs="仿宋_GB2312" w:hint="eastAsia"/>
          <w:sz w:val="32"/>
          <w:szCs w:val="32"/>
        </w:rPr>
        <w:fldChar w:fldCharType="end"/>
      </w:r>
    </w:p>
    <w:p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lastRenderedPageBreak/>
        <w:t>第一部分 部门单位概况</w:t>
      </w:r>
      <w:bookmarkEnd w:id="0"/>
      <w:bookmarkEnd w:id="1"/>
    </w:p>
    <w:p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4A2594" w:rsidRDefault="00022072">
      <w:pPr>
        <w:ind w:firstLine="480"/>
      </w:pPr>
      <w:r>
        <w:rPr>
          <w:rFonts w:ascii="仿宋_GB2312" w:eastAsia="仿宋_GB2312" w:hAnsi="仿宋_GB2312" w:cs="仿宋_GB2312"/>
          <w:sz w:val="32"/>
        </w:rPr>
        <w:t>1</w:t>
      </w:r>
      <w:r>
        <w:rPr>
          <w:rFonts w:ascii="仿宋_GB2312" w:eastAsia="仿宋_GB2312" w:hAnsi="仿宋_GB2312" w:cs="仿宋_GB2312"/>
          <w:sz w:val="32"/>
        </w:rPr>
        <w:t>、负责地区会展业促进与发展工作，对地区各类展会进行总体策划、统筹协调、组织实施以及形象设计、宣传推介、展区规划等相关工作；</w:t>
      </w:r>
      <w:r>
        <w:rPr>
          <w:rFonts w:ascii="仿宋_GB2312" w:eastAsia="仿宋_GB2312" w:hAnsi="仿宋_GB2312" w:cs="仿宋_GB2312"/>
          <w:sz w:val="32"/>
        </w:rPr>
        <w:t>2</w:t>
      </w:r>
      <w:r>
        <w:rPr>
          <w:rFonts w:ascii="仿宋_GB2312" w:eastAsia="仿宋_GB2312" w:hAnsi="仿宋_GB2312" w:cs="仿宋_GB2312"/>
          <w:sz w:val="32"/>
        </w:rPr>
        <w:t>、承办协办其他各类国际、国内博览会、展览会、展销会、洽谈会和各种论坛、公益类展览、展会等活动，并做好相关工作。</w:t>
      </w:r>
      <w:r>
        <w:rPr>
          <w:rFonts w:ascii="仿宋_GB2312" w:eastAsia="仿宋_GB2312" w:hAnsi="仿宋_GB2312" w:cs="仿宋_GB2312"/>
          <w:sz w:val="32"/>
        </w:rPr>
        <w:t>3</w:t>
      </w:r>
      <w:r>
        <w:rPr>
          <w:rFonts w:ascii="仿宋_GB2312" w:eastAsia="仿宋_GB2312" w:hAnsi="仿宋_GB2312" w:cs="仿宋_GB2312"/>
          <w:sz w:val="32"/>
        </w:rPr>
        <w:t>、完成地委和行署交办的其他任务。</w:t>
      </w:r>
    </w:p>
    <w:p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1F777A" w:rsidRPr="001F777A" w:rsidRDefault="001F777A" w:rsidP="001F777A">
      <w:pPr>
        <w:ind w:firstLineChars="200" w:firstLine="640"/>
      </w:pPr>
      <w:r>
        <w:rPr>
          <w:rFonts w:ascii="仿宋_GB2312" w:eastAsia="仿宋_GB2312" w:hAnsi="仿宋_GB2312" w:cs="仿宋_GB2312"/>
          <w:sz w:val="32"/>
        </w:rPr>
        <w:t>新疆喀什国际博览中心2019年度，实有人数10人，其中：在职人员10人，离休人员0人，退休人员0人。</w:t>
      </w:r>
    </w:p>
    <w:p w:rsidR="00862395" w:rsidRDefault="00862395" w:rsidP="00862395">
      <w:pPr>
        <w:ind w:firstLineChars="200" w:firstLine="640"/>
        <w:rPr>
          <w:rFonts w:ascii="仿宋_GB2312" w:eastAsia="仿宋_GB2312"/>
          <w:sz w:val="32"/>
          <w:szCs w:val="32"/>
        </w:rPr>
      </w:pPr>
      <w:r>
        <w:rPr>
          <w:rFonts w:ascii="仿宋_GB2312" w:eastAsia="仿宋_GB2312" w:hAnsi="仿宋_GB2312" w:cs="仿宋_GB2312"/>
          <w:sz w:val="32"/>
        </w:rPr>
        <w:t>从部门决算单位构成看，新疆喀什国际博览中心部门决算包括：新疆喀什国际博览中心决算。</w:t>
      </w:r>
    </w:p>
    <w:p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8853A8" w:rsidRDefault="007E3BFD">
      <w:pPr>
        <w:ind w:firstLineChars="200" w:firstLine="640"/>
        <w:rPr>
          <w:rFonts w:ascii="仿宋_GB2312" w:eastAsia="仿宋_GB2312"/>
          <w:sz w:val="32"/>
          <w:szCs w:val="32"/>
        </w:rPr>
      </w:pPr>
      <w:r>
        <w:rPr>
          <w:rFonts w:ascii="仿宋_GB2312" w:eastAsia="仿宋_GB2312" w:hAnsi="仿宋_GB2312" w:cs="仿宋_GB2312"/>
          <w:sz w:val="32"/>
        </w:rPr>
        <w:t>2019年度本年收入121.57万元，与上年相比，增加121.57万元，增长100%，主要原因是：本单位为2019年涉改单位，2019年6月从喀什市整体划转至喀什地区单位。本年支出121.57万元，与上年相比，增加121.57万元，增长100%，主要原因是：本单位为2019年涉改单位，2019年6月从喀什市整体划转至喀什地区单位。</w:t>
      </w:r>
    </w:p>
    <w:p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8853A8" w:rsidRDefault="00125A6F">
      <w:pPr>
        <w:ind w:firstLineChars="200" w:firstLine="640"/>
        <w:rPr>
          <w:rFonts w:ascii="仿宋_GB2312" w:eastAsia="仿宋_GB2312"/>
          <w:sz w:val="32"/>
          <w:szCs w:val="32"/>
        </w:rPr>
      </w:pPr>
      <w:r>
        <w:rPr>
          <w:rFonts w:ascii="仿宋_GB2312" w:eastAsia="仿宋_GB2312" w:hAnsi="仿宋_GB2312" w:cs="仿宋_GB2312"/>
          <w:sz w:val="32"/>
        </w:rPr>
        <w:lastRenderedPageBreak/>
        <w:t>2019年度本年收入121.57万元，其中：财政拨款收入121.57万元，占100%；上级补助收入0万元，占0%；事业收入0万元，占0%；经营收入0万元，占0%；附属单位上缴收入0万元，占0%；其他收入0万元，占0%。</w:t>
      </w:r>
    </w:p>
    <w:p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8853A8" w:rsidRDefault="00233021">
      <w:pPr>
        <w:ind w:firstLineChars="200" w:firstLine="640"/>
        <w:rPr>
          <w:rFonts w:ascii="仿宋_GB2312" w:eastAsia="仿宋_GB2312"/>
          <w:sz w:val="32"/>
          <w:szCs w:val="32"/>
        </w:rPr>
      </w:pPr>
      <w:r>
        <w:rPr>
          <w:rFonts w:ascii="仿宋_GB2312" w:eastAsia="仿宋_GB2312" w:hAnsi="仿宋_GB2312" w:cs="仿宋_GB2312"/>
          <w:sz w:val="32"/>
        </w:rPr>
        <w:t>2019年度本年支出121.57万元，其中：基本支出117.12万元，占96.34%；项目支出4.45万元，占3.66%；上缴上级支出0万元，占0%；经营支出0万元，占0%；对附属单位补助支出0万元，占0%。</w:t>
      </w:r>
    </w:p>
    <w:p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rsidR="008853A8" w:rsidRPr="001848EE" w:rsidRDefault="001C2D35">
      <w:pPr>
        <w:ind w:firstLineChars="200" w:firstLine="640"/>
        <w:rPr>
          <w:rFonts w:ascii="仿宋_GB2312" w:eastAsia="仿宋_GB2312"/>
          <w:sz w:val="32"/>
          <w:szCs w:val="32"/>
        </w:rPr>
      </w:pPr>
      <w:r>
        <w:rPr>
          <w:rFonts w:ascii="仿宋_GB2312" w:eastAsia="仿宋_GB2312" w:hAnsi="仿宋_GB2312" w:cs="仿宋_GB2312"/>
          <w:sz w:val="32"/>
        </w:rPr>
        <w:t>2019年度财政拨款收入121.57万元，与上年相比，增加121.57万元，增长100%，主要原因是：本单位为2019年涉改单位，2019年6月从喀什市整体划转至喀什地区单位。财政拨款支出121.57万元，与上年相比，增加121.57万元，增长100%，主要原因是：本单位为2019年涉改单位，2019年6月从喀什市整体划转至喀什地区单位。</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与年初预算数相比情况：财政拨款收入年初预算数209.97万元，决算数121.57万元，预决算差异率-42.1%，主要原因是：本单位为2019年涉改单位，2019年6月从喀什市整体划转至喀什地区，预算数包含在喀什市时的全年预算数和划转地区后地区部门预算7个月的预算数，决算数为实际支出数。财政拨款支出年初预算数209.97万元，决算</w:t>
      </w:r>
      <w:r>
        <w:rPr>
          <w:rFonts w:ascii="仿宋_GB2312" w:eastAsia="仿宋_GB2312" w:hAnsi="仿宋_GB2312" w:cs="仿宋_GB2312"/>
          <w:sz w:val="32"/>
        </w:rPr>
        <w:lastRenderedPageBreak/>
        <w:t>数121.57万元，预决算差异率-42.1%，主要原因是：本单位为2019年涉改单位，2019年6月从喀什市整体划转至喀什地区，预算数包含在喀什市时的全年预算数和划转地区后地区部门预算7个月的预算数，决算数为实际支出数。</w:t>
      </w:r>
    </w:p>
    <w:p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8853A8" w:rsidRDefault="005529D0">
      <w:pPr>
        <w:ind w:firstLineChars="200" w:firstLine="640"/>
        <w:rPr>
          <w:rFonts w:ascii="仿宋_GB2312" w:eastAsia="仿宋_GB2312"/>
          <w:sz w:val="32"/>
          <w:szCs w:val="32"/>
        </w:rPr>
      </w:pPr>
      <w:r>
        <w:rPr>
          <w:rFonts w:ascii="仿宋_GB2312" w:eastAsia="仿宋_GB2312" w:hAnsi="仿宋_GB2312" w:cs="仿宋_GB2312"/>
          <w:sz w:val="32"/>
        </w:rPr>
        <w:t>2019年度一般公共预算财政拨款支出121.57万元。按功能分类科目项级科目公开，其中：</w:t>
      </w:r>
    </w:p>
    <w:p w:rsidR="004A2594" w:rsidRDefault="00022072">
      <w:pPr>
        <w:ind w:firstLine="480"/>
      </w:pPr>
      <w:r>
        <w:rPr>
          <w:rFonts w:ascii="仿宋_GB2312" w:eastAsia="仿宋_GB2312" w:hAnsi="仿宋_GB2312" w:cs="仿宋_GB2312"/>
          <w:sz w:val="32"/>
        </w:rPr>
        <w:t xml:space="preserve">   2010399</w:t>
      </w:r>
      <w:r>
        <w:rPr>
          <w:rFonts w:ascii="仿宋_GB2312" w:eastAsia="仿宋_GB2312" w:hAnsi="仿宋_GB2312" w:cs="仿宋_GB2312"/>
          <w:sz w:val="32"/>
        </w:rPr>
        <w:t>其他政府办公厅（室）及相关机构事务支出</w:t>
      </w:r>
      <w:r>
        <w:rPr>
          <w:rFonts w:ascii="仿宋_GB2312" w:eastAsia="仿宋_GB2312" w:hAnsi="仿宋_GB2312" w:cs="仿宋_GB2312"/>
          <w:sz w:val="32"/>
        </w:rPr>
        <w:t>0.73</w:t>
      </w:r>
      <w:r>
        <w:rPr>
          <w:rFonts w:ascii="仿宋_GB2312" w:eastAsia="仿宋_GB2312" w:hAnsi="仿宋_GB2312" w:cs="仿宋_GB2312"/>
          <w:sz w:val="32"/>
        </w:rPr>
        <w:t>万元；</w:t>
      </w:r>
    </w:p>
    <w:p w:rsidR="004A2594" w:rsidRDefault="00022072">
      <w:pPr>
        <w:ind w:firstLine="480"/>
      </w:pPr>
      <w:r>
        <w:rPr>
          <w:rFonts w:ascii="仿宋_GB2312" w:eastAsia="仿宋_GB2312" w:hAnsi="仿宋_GB2312" w:cs="仿宋_GB2312"/>
          <w:sz w:val="32"/>
        </w:rPr>
        <w:t xml:space="preserve">   2011350</w:t>
      </w:r>
      <w:r>
        <w:rPr>
          <w:rFonts w:ascii="仿宋_GB2312" w:eastAsia="仿宋_GB2312" w:hAnsi="仿宋_GB2312" w:cs="仿宋_GB2312"/>
          <w:sz w:val="32"/>
        </w:rPr>
        <w:t>事业运行支出</w:t>
      </w:r>
      <w:r>
        <w:rPr>
          <w:rFonts w:ascii="仿宋_GB2312" w:eastAsia="仿宋_GB2312" w:hAnsi="仿宋_GB2312" w:cs="仿宋_GB2312"/>
          <w:sz w:val="32"/>
        </w:rPr>
        <w:t>93.66</w:t>
      </w:r>
      <w:r>
        <w:rPr>
          <w:rFonts w:ascii="仿宋_GB2312" w:eastAsia="仿宋_GB2312" w:hAnsi="仿宋_GB2312" w:cs="仿宋_GB2312"/>
          <w:sz w:val="32"/>
        </w:rPr>
        <w:t>万元；</w:t>
      </w:r>
    </w:p>
    <w:p w:rsidR="004A2594" w:rsidRDefault="00022072">
      <w:pPr>
        <w:ind w:firstLine="480"/>
      </w:pPr>
      <w:r>
        <w:rPr>
          <w:rFonts w:ascii="仿宋_GB2312" w:eastAsia="仿宋_GB2312" w:hAnsi="仿宋_GB2312" w:cs="仿宋_GB2312"/>
          <w:sz w:val="32"/>
        </w:rPr>
        <w:t xml:space="preserve">   2011399</w:t>
      </w:r>
      <w:r>
        <w:rPr>
          <w:rFonts w:ascii="仿宋_GB2312" w:eastAsia="仿宋_GB2312" w:hAnsi="仿宋_GB2312" w:cs="仿宋_GB2312"/>
          <w:sz w:val="32"/>
        </w:rPr>
        <w:t>其他商贸事务支出</w:t>
      </w:r>
      <w:r>
        <w:rPr>
          <w:rFonts w:ascii="仿宋_GB2312" w:eastAsia="仿宋_GB2312" w:hAnsi="仿宋_GB2312" w:cs="仿宋_GB2312"/>
          <w:sz w:val="32"/>
        </w:rPr>
        <w:t>3.72</w:t>
      </w:r>
      <w:r>
        <w:rPr>
          <w:rFonts w:ascii="仿宋_GB2312" w:eastAsia="仿宋_GB2312" w:hAnsi="仿宋_GB2312" w:cs="仿宋_GB2312"/>
          <w:sz w:val="32"/>
        </w:rPr>
        <w:t>万元；</w:t>
      </w:r>
    </w:p>
    <w:p w:rsidR="004A2594" w:rsidRDefault="00022072">
      <w:pPr>
        <w:ind w:firstLine="480"/>
      </w:pPr>
      <w:r>
        <w:rPr>
          <w:rFonts w:ascii="仿宋_GB2312" w:eastAsia="仿宋_GB2312" w:hAnsi="仿宋_GB2312" w:cs="仿宋_GB2312"/>
          <w:sz w:val="32"/>
        </w:rPr>
        <w:t xml:space="preserve">   2080505</w:t>
      </w:r>
      <w:r>
        <w:rPr>
          <w:rFonts w:ascii="仿宋_GB2312" w:eastAsia="仿宋_GB2312" w:hAnsi="仿宋_GB2312" w:cs="仿宋_GB2312"/>
          <w:sz w:val="32"/>
        </w:rPr>
        <w:t>机关事业单位基本养老保险缴费支出</w:t>
      </w:r>
      <w:r>
        <w:rPr>
          <w:rFonts w:ascii="仿宋_GB2312" w:eastAsia="仿宋_GB2312" w:hAnsi="仿宋_GB2312" w:cs="仿宋_GB2312"/>
          <w:sz w:val="32"/>
        </w:rPr>
        <w:t>13.45</w:t>
      </w:r>
      <w:r>
        <w:rPr>
          <w:rFonts w:ascii="仿宋_GB2312" w:eastAsia="仿宋_GB2312" w:hAnsi="仿宋_GB2312" w:cs="仿宋_GB2312"/>
          <w:sz w:val="32"/>
        </w:rPr>
        <w:t>万元；</w:t>
      </w:r>
    </w:p>
    <w:p w:rsidR="004A2594" w:rsidRDefault="00022072">
      <w:pPr>
        <w:ind w:firstLine="480"/>
      </w:pPr>
      <w:r>
        <w:rPr>
          <w:rFonts w:ascii="仿宋_GB2312" w:eastAsia="仿宋_GB2312" w:hAnsi="仿宋_GB2312" w:cs="仿宋_GB2312"/>
          <w:sz w:val="32"/>
        </w:rPr>
        <w:t xml:space="preserve">   2210201</w:t>
      </w:r>
      <w:r>
        <w:rPr>
          <w:rFonts w:ascii="仿宋_GB2312" w:eastAsia="仿宋_GB2312" w:hAnsi="仿宋_GB2312" w:cs="仿宋_GB2312"/>
          <w:sz w:val="32"/>
        </w:rPr>
        <w:t>住房公积金支出</w:t>
      </w:r>
      <w:r>
        <w:rPr>
          <w:rFonts w:ascii="仿宋_GB2312" w:eastAsia="仿宋_GB2312" w:hAnsi="仿宋_GB2312" w:cs="仿宋_GB2312"/>
          <w:sz w:val="32"/>
        </w:rPr>
        <w:t>10.01</w:t>
      </w:r>
      <w:r>
        <w:rPr>
          <w:rFonts w:ascii="仿宋_GB2312" w:eastAsia="仿宋_GB2312" w:hAnsi="仿宋_GB2312" w:cs="仿宋_GB2312"/>
          <w:sz w:val="32"/>
        </w:rPr>
        <w:t>万元。</w:t>
      </w:r>
    </w:p>
    <w:p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rsidR="008853A8" w:rsidRDefault="005B1DE6">
      <w:pPr>
        <w:ind w:firstLineChars="200" w:firstLine="640"/>
        <w:rPr>
          <w:rFonts w:ascii="仿宋_GB2312" w:eastAsia="仿宋_GB2312"/>
          <w:sz w:val="32"/>
          <w:szCs w:val="32"/>
        </w:rPr>
      </w:pPr>
      <w:r>
        <w:rPr>
          <w:rFonts w:ascii="仿宋_GB2312" w:eastAsia="仿宋_GB2312" w:hAnsi="仿宋_GB2312" w:cs="仿宋_GB2312"/>
          <w:sz w:val="32"/>
        </w:rPr>
        <w:t>2019年度一般公共预算财政拨款基本支出117.12万元，其中：</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人员经费116万元，包括：基本工资、津贴补贴、奖金、绩效工资、机关事业单位基本养老保险缴费、职工基本医疗保险缴费、其他社会保障缴费、住房公积金。</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公用经费1.13万元，包括：办公费、水费、邮电费、差旅费。</w:t>
      </w:r>
    </w:p>
    <w:p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lastRenderedPageBreak/>
        <w:t>七、一般公共预算财政拨款“三公”经费支出决算情况说明</w:t>
      </w:r>
      <w:bookmarkEnd w:id="20"/>
      <w:bookmarkEnd w:id="21"/>
    </w:p>
    <w:p w:rsidR="008853A8" w:rsidRDefault="00340AE7">
      <w:pPr>
        <w:ind w:firstLineChars="200" w:firstLine="640"/>
        <w:rPr>
          <w:rFonts w:ascii="仿宋_GB2312" w:eastAsia="仿宋_GB2312"/>
          <w:sz w:val="32"/>
          <w:szCs w:val="32"/>
        </w:rPr>
      </w:pPr>
      <w:r>
        <w:rPr>
          <w:rFonts w:ascii="仿宋_GB2312" w:eastAsia="仿宋_GB2312" w:hAnsi="仿宋_GB2312" w:cs="仿宋_GB2312"/>
          <w:sz w:val="32"/>
        </w:rPr>
        <w:t>2019年度一般公共预算“三公”经费支出决算0万元，比上年增加0万元，增长0%，主要原因是与上年相比无变化，与上年一致。其中，因公出国（境）费支出0万元，占0%，比上年增加0万元，增长0%，主要原因是与上年相比无变化，与上年一致；公务用车购置及运行维护费支出0万元，占0%，比上年增加0万元，增长0%，主要原因是与上年相比无变化，与上年一致；公务接待费支出0万元，占0%，比上年增加0万元，增长0%，主要原因是与上年相比无变化，与上年一致。具体情况如下：</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因公出国（境）费支出0万元，开支内容包括：预算未安排，无此项支出。单位全年安排的因公出国（境）团组0个，因公出国（境）0人次。</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公务用车购置及运行维护费0万元，其中，公务用车购置费0万元，公务用车运行维护费0万元。公务用车运行维护费开支内容包括预算未安排，无此项支出。公务用车购置数0辆，公务用车保有量0辆。</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公务接待费0万元，开支内容包括预算未安排，无此项支出。单位全年安排的国内公务接待0批次，0人次。</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与年初预算数相比情况：一般公共预算“三公”经费支出年初预算数0万元，决算数0万元，预决算差异率0%，主</w:t>
      </w:r>
      <w:r>
        <w:rPr>
          <w:rFonts w:ascii="仿宋_GB2312" w:eastAsia="仿宋_GB2312" w:hAnsi="仿宋_GB2312" w:cs="仿宋_GB2312"/>
          <w:sz w:val="32"/>
        </w:rPr>
        <w:lastRenderedPageBreak/>
        <w:t>要原因是：预算未安排，无此项支出。其中：因公出国（境）费预算数0万元，决算数0万元，预决算差异率0%，主要原因是：预算未安排，无此项支出；公务用车购置费预算数0万元，决算数0万元，预决算差异率0%，主要原因是：预算未安排，无此项支出；公务用车运行费预算数0万元，决算数0万元，预决算差异率0%，主要原因是：预算未安排，无此项支出；公务接待费预算数0万元，决算数0万元，预决算差异率0%，主要原因是：预算未安排，无此项支出。</w:t>
      </w:r>
    </w:p>
    <w:p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rsidR="008853A8" w:rsidRPr="008F7D99" w:rsidRDefault="00922FA7">
      <w:pPr>
        <w:ind w:firstLineChars="200" w:firstLine="640"/>
        <w:rPr>
          <w:rFonts w:ascii="仿宋_GB2312" w:eastAsia="仿宋_GB2312"/>
          <w:color w:val="000000" w:themeColor="text1"/>
          <w:sz w:val="32"/>
          <w:szCs w:val="32"/>
        </w:rPr>
      </w:pPr>
      <w:r>
        <w:rPr>
          <w:rFonts w:ascii="仿宋_GB2312" w:eastAsia="仿宋_GB2312" w:hAnsi="仿宋_GB2312" w:cs="仿宋_GB2312"/>
          <w:sz w:val="32"/>
        </w:rPr>
        <w:t>我单位本年度无政府性基金预算财政拨款收入支出，政府性基金预算财政拨款收入支出决算表为空表。</w:t>
      </w:r>
    </w:p>
    <w:p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rsidR="00553FB5" w:rsidRDefault="00553FB5">
      <w:pPr>
        <w:ind w:firstLineChars="200" w:firstLine="640"/>
        <w:rPr>
          <w:rFonts w:ascii="仿宋_GB2312" w:eastAsia="仿宋_GB2312"/>
          <w:sz w:val="32"/>
          <w:szCs w:val="32"/>
        </w:rPr>
      </w:pPr>
      <w:r>
        <w:rPr>
          <w:rFonts w:ascii="仿宋_GB2312" w:eastAsia="仿宋_GB2312" w:hAnsi="仿宋_GB2312" w:cs="仿宋_GB2312"/>
          <w:sz w:val="32"/>
        </w:rPr>
        <w:t>新疆喀什国际博览中心日常公用经费1.13万元，比上年增加1.13万元，增长100%，主要原因是因本单位为2019年涉改单位，2019年6月从喀什市整体划转至地区单位，年中追加下半年工作经费。</w:t>
      </w:r>
    </w:p>
    <w:p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rsidR="008853A8" w:rsidRDefault="002122DE">
      <w:pPr>
        <w:ind w:firstLineChars="200" w:firstLine="640"/>
        <w:rPr>
          <w:rFonts w:ascii="仿宋_GB2312" w:eastAsia="仿宋_GB2312"/>
          <w:sz w:val="32"/>
          <w:szCs w:val="32"/>
        </w:rPr>
      </w:pPr>
      <w:r>
        <w:rPr>
          <w:rFonts w:ascii="仿宋_GB2312" w:eastAsia="仿宋_GB2312" w:hAnsi="仿宋_GB2312" w:cs="仿宋_GB2312"/>
          <w:sz w:val="32"/>
        </w:rPr>
        <w:t>2019年度政府采购支出总额0万元，其中：政府采购货物支出0万元、政府采购工程支出0万元、政府采购服务支出0万元。</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授予中小企业合同金额0万元，占政府采购支出总额的</w:t>
      </w:r>
      <w:r>
        <w:rPr>
          <w:rFonts w:ascii="仿宋_GB2312" w:eastAsia="仿宋_GB2312" w:hAnsi="仿宋_GB2312" w:cs="仿宋_GB2312"/>
          <w:sz w:val="32"/>
        </w:rPr>
        <w:lastRenderedPageBreak/>
        <w:t>0%，其中：授予小微企业合同金额0万元，占政府采购支出总额的0%。</w:t>
      </w:r>
    </w:p>
    <w:p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截止2019年12月31日，单位共有房屋0（平方米），价值0万元。车辆0辆，价值0万元，其中：副部（省）级及以上领导用车0辆、主要领导干部用车0辆、机要通信用车0辆、应急保障用车0辆、执法执勤用车0辆、特种专业技术用车0辆、离退休干部用车0辆、其他用车0辆，其他用车主要是：预算未安排，无此项支出；单位价值50万元以上通用设备0台（套）、单位价值100万元以上专用设备0台（套）。</w:t>
      </w:r>
    </w:p>
    <w:p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rsidR="008853A8" w:rsidRDefault="0095219B">
      <w:pPr>
        <w:ind w:firstLineChars="200" w:firstLine="640"/>
        <w:rPr>
          <w:rFonts w:ascii="仿宋_GB2312" w:eastAsia="仿宋_GB2312"/>
          <w:sz w:val="32"/>
          <w:szCs w:val="32"/>
        </w:rPr>
      </w:pPr>
      <w:r>
        <w:rPr>
          <w:rFonts w:ascii="仿宋_GB2312" w:eastAsia="仿宋_GB2312" w:hAnsi="仿宋_GB2312" w:cs="仿宋_GB2312"/>
          <w:sz w:val="32"/>
        </w:rPr>
        <w:t>根据预算绩效管理要求，我单位2019年度开展预算绩效评价项目</w:t>
      </w:r>
      <w:r w:rsidR="00F53BF3">
        <w:rPr>
          <w:rFonts w:ascii="仿宋_GB2312" w:eastAsia="仿宋_GB2312" w:hAnsi="仿宋_GB2312" w:cs="仿宋_GB2312" w:hint="eastAsia"/>
          <w:sz w:val="32"/>
        </w:rPr>
        <w:t>1</w:t>
      </w:r>
      <w:r>
        <w:rPr>
          <w:rFonts w:ascii="仿宋_GB2312" w:eastAsia="仿宋_GB2312" w:hAnsi="仿宋_GB2312" w:cs="仿宋_GB2312"/>
          <w:sz w:val="32"/>
        </w:rPr>
        <w:t>个，共涉及资金</w:t>
      </w:r>
      <w:bookmarkStart w:id="34" w:name="_GoBack"/>
      <w:r w:rsidR="00F53BF3">
        <w:rPr>
          <w:rFonts w:ascii="仿宋_GB2312" w:eastAsia="仿宋_GB2312" w:hAnsi="仿宋_GB2312" w:cs="仿宋_GB2312" w:hint="eastAsia"/>
          <w:sz w:val="32"/>
        </w:rPr>
        <w:t>2.88</w:t>
      </w:r>
      <w:bookmarkEnd w:id="34"/>
      <w:r>
        <w:rPr>
          <w:rFonts w:ascii="仿宋_GB2312" w:eastAsia="仿宋_GB2312" w:hAnsi="仿宋_GB2312" w:cs="仿宋_GB2312"/>
          <w:sz w:val="32"/>
        </w:rPr>
        <w:t>万元。预算绩效管理取得的成效：一是部门年度任务在预算资金额度内完成，并通过规范的招投标及严格的资金管理及项目管理及其他创新的管理措施实现了资金的节约。三公经费在预算范围内开支，因本单位属涉改新成立单位，无上年对比数；二是各项工作计划按预期计划按时完成，效益按预期时间产生；三是预期的经济效益、社会效益、可持续的影响产生，相关人员的满意度达到预期指标。发现的问题及原因：经济效益分析不够深入，效率性分析不够深入、全面，效益性分析不够深入、</w:t>
      </w:r>
      <w:r>
        <w:rPr>
          <w:rFonts w:ascii="仿宋_GB2312" w:eastAsia="仿宋_GB2312" w:hAnsi="仿宋_GB2312" w:cs="仿宋_GB2312"/>
          <w:sz w:val="32"/>
        </w:rPr>
        <w:lastRenderedPageBreak/>
        <w:t>全面；部分绩效目标设置不太合理，没有准确反映项目的宗旨；预算绩效管理闭环机制还不够完善，需要各部门协调配合。下一步改进措施：加强绩效经济指标分析、效率性、效益性分析。年初做好资金计划，按照项目进度及时拨付资金，使资金使用效益最大化，减少不必要的浪费，节约成本。强化项目前期准备工作，加强项目实施方案和计划的可行性论证。建议项目单位在项目开展前进行深入的需求调研，并形成需求调研报告，在此基础上，仔细撰写可行性研究报告，对项目开展的必要性、可行性、风险防范措施等进行深入分析，同时制定工作实施方案和资金使用；按照预算支出内容、以结果为导向，设置合理的绩效目标，加强项目实施效果的管控；进一步加强预算绩效管理，建立“预算编制有目标、预算执行有监控、预算完成有评价、评价结果有反馈、反馈结果有应用”的预算绩效管理机制。具体项目自评情况附项目支出绩效自评表。</w:t>
      </w:r>
    </w:p>
    <w:p w:rsidR="008853A8" w:rsidRDefault="008853A8">
      <w:pPr>
        <w:ind w:firstLineChars="200" w:firstLine="640"/>
        <w:jc w:val="center"/>
        <w:outlineLvl w:val="0"/>
        <w:rPr>
          <w:rFonts w:ascii="黑体" w:eastAsia="黑体" w:hAnsi="黑体"/>
          <w:sz w:val="32"/>
          <w:szCs w:val="32"/>
        </w:rPr>
      </w:pPr>
      <w:bookmarkStart w:id="35" w:name="_Toc24143"/>
      <w:bookmarkStart w:id="36" w:name="_Toc3250"/>
      <w:r>
        <w:rPr>
          <w:rFonts w:ascii="黑体" w:eastAsia="黑体" w:hAnsi="黑体" w:hint="eastAsia"/>
          <w:sz w:val="32"/>
          <w:szCs w:val="32"/>
        </w:rPr>
        <w:t>第三部分 专业名词解释</w:t>
      </w:r>
      <w:bookmarkEnd w:id="35"/>
      <w:bookmarkEnd w:id="36"/>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w:t>
      </w:r>
      <w:r>
        <w:rPr>
          <w:rFonts w:ascii="仿宋_GB2312" w:eastAsia="仿宋_GB2312" w:hint="eastAsia"/>
          <w:sz w:val="32"/>
          <w:szCs w:val="32"/>
        </w:rPr>
        <w:lastRenderedPageBreak/>
        <w:t>外开展非独立核算经营活动取得的收入。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w:t>
      </w:r>
      <w:r>
        <w:rPr>
          <w:rFonts w:ascii="仿宋_GB2312" w:eastAsia="仿宋_GB2312" w:hint="eastAsia"/>
          <w:sz w:val="32"/>
          <w:szCs w:val="32"/>
        </w:rPr>
        <w:lastRenderedPageBreak/>
        <w:t>业发展目标所发生的支出。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8853A8" w:rsidRDefault="008853A8">
      <w:pPr>
        <w:ind w:firstLineChars="200" w:firstLine="640"/>
        <w:jc w:val="center"/>
        <w:outlineLvl w:val="0"/>
        <w:rPr>
          <w:rFonts w:ascii="黑体" w:eastAsia="黑体" w:hAnsi="黑体"/>
          <w:sz w:val="32"/>
          <w:szCs w:val="32"/>
        </w:rPr>
      </w:pPr>
      <w:bookmarkStart w:id="37" w:name="_Toc28903"/>
      <w:bookmarkStart w:id="38" w:name="_Toc22784"/>
      <w:r>
        <w:rPr>
          <w:rFonts w:ascii="黑体" w:eastAsia="黑体" w:hAnsi="黑体" w:hint="eastAsia"/>
          <w:sz w:val="32"/>
          <w:szCs w:val="32"/>
        </w:rPr>
        <w:t>第四部分 部门决算报表（见附表）</w:t>
      </w:r>
      <w:bookmarkEnd w:id="37"/>
      <w:bookmarkEnd w:id="38"/>
    </w:p>
    <w:p w:rsidR="008853A8" w:rsidRDefault="008853A8">
      <w:pPr>
        <w:ind w:firstLineChars="200" w:firstLine="640"/>
        <w:outlineLvl w:val="1"/>
        <w:rPr>
          <w:rFonts w:ascii="黑体" w:eastAsia="黑体" w:hAnsi="黑体" w:cs="宋体"/>
          <w:bCs/>
          <w:kern w:val="0"/>
          <w:sz w:val="32"/>
          <w:szCs w:val="32"/>
        </w:rPr>
      </w:pPr>
      <w:bookmarkStart w:id="39" w:name="_Toc6062"/>
      <w:bookmarkStart w:id="40" w:name="_Toc2183"/>
      <w:r>
        <w:rPr>
          <w:rFonts w:ascii="黑体" w:eastAsia="黑体" w:hAnsi="黑体" w:cs="宋体" w:hint="eastAsia"/>
          <w:bCs/>
          <w:kern w:val="0"/>
          <w:sz w:val="32"/>
          <w:szCs w:val="32"/>
        </w:rPr>
        <w:t>一、《收入支出决算总表》</w:t>
      </w:r>
      <w:bookmarkEnd w:id="39"/>
      <w:bookmarkEnd w:id="40"/>
    </w:p>
    <w:p w:rsidR="008853A8" w:rsidRDefault="008853A8">
      <w:pPr>
        <w:ind w:firstLineChars="200" w:firstLine="640"/>
        <w:outlineLvl w:val="1"/>
        <w:rPr>
          <w:rFonts w:ascii="黑体" w:eastAsia="黑体" w:hAnsi="黑体" w:cs="宋体"/>
          <w:bCs/>
          <w:kern w:val="0"/>
          <w:sz w:val="32"/>
          <w:szCs w:val="32"/>
        </w:rPr>
      </w:pPr>
      <w:bookmarkStart w:id="41" w:name="_Toc30364"/>
      <w:bookmarkStart w:id="42" w:name="_Toc24532"/>
      <w:r>
        <w:rPr>
          <w:rFonts w:ascii="黑体" w:eastAsia="黑体" w:hAnsi="黑体" w:cs="宋体" w:hint="eastAsia"/>
          <w:bCs/>
          <w:kern w:val="0"/>
          <w:sz w:val="32"/>
          <w:szCs w:val="32"/>
        </w:rPr>
        <w:t>二、《收入决算表》</w:t>
      </w:r>
      <w:bookmarkEnd w:id="41"/>
      <w:bookmarkEnd w:id="42"/>
    </w:p>
    <w:p w:rsidR="008853A8" w:rsidRDefault="008853A8">
      <w:pPr>
        <w:ind w:firstLineChars="200" w:firstLine="640"/>
        <w:outlineLvl w:val="1"/>
        <w:rPr>
          <w:rFonts w:ascii="黑体" w:eastAsia="黑体" w:hAnsi="黑体" w:cs="宋体"/>
          <w:bCs/>
          <w:kern w:val="0"/>
          <w:sz w:val="32"/>
          <w:szCs w:val="32"/>
        </w:rPr>
      </w:pPr>
      <w:bookmarkStart w:id="43" w:name="_Toc21304"/>
      <w:bookmarkStart w:id="44" w:name="_Toc32434"/>
      <w:r>
        <w:rPr>
          <w:rFonts w:ascii="黑体" w:eastAsia="黑体" w:hAnsi="黑体" w:cs="宋体" w:hint="eastAsia"/>
          <w:bCs/>
          <w:kern w:val="0"/>
          <w:sz w:val="32"/>
          <w:szCs w:val="32"/>
        </w:rPr>
        <w:t>三、《支出决算表》</w:t>
      </w:r>
      <w:bookmarkEnd w:id="43"/>
      <w:bookmarkEnd w:id="44"/>
    </w:p>
    <w:p w:rsidR="008853A8" w:rsidRDefault="008853A8">
      <w:pPr>
        <w:ind w:firstLineChars="200" w:firstLine="640"/>
        <w:outlineLvl w:val="1"/>
        <w:rPr>
          <w:rFonts w:ascii="黑体" w:eastAsia="黑体" w:hAnsi="黑体" w:cs="宋体"/>
          <w:bCs/>
          <w:kern w:val="0"/>
          <w:sz w:val="32"/>
          <w:szCs w:val="32"/>
        </w:rPr>
      </w:pPr>
      <w:bookmarkStart w:id="45" w:name="_Toc14238"/>
      <w:bookmarkStart w:id="46" w:name="_Toc28786"/>
      <w:r>
        <w:rPr>
          <w:rFonts w:ascii="黑体" w:eastAsia="黑体" w:hAnsi="黑体" w:cs="宋体" w:hint="eastAsia"/>
          <w:bCs/>
          <w:kern w:val="0"/>
          <w:sz w:val="32"/>
          <w:szCs w:val="32"/>
        </w:rPr>
        <w:lastRenderedPageBreak/>
        <w:t>四、《财政拨款收入支出决算总表》</w:t>
      </w:r>
      <w:bookmarkEnd w:id="45"/>
      <w:bookmarkEnd w:id="46"/>
    </w:p>
    <w:p w:rsidR="008853A8" w:rsidRDefault="008853A8">
      <w:pPr>
        <w:ind w:firstLineChars="200" w:firstLine="640"/>
        <w:outlineLvl w:val="1"/>
        <w:rPr>
          <w:rFonts w:ascii="黑体" w:eastAsia="黑体" w:hAnsi="黑体" w:cs="宋体"/>
          <w:bCs/>
          <w:kern w:val="0"/>
          <w:sz w:val="32"/>
          <w:szCs w:val="32"/>
        </w:rPr>
      </w:pPr>
      <w:bookmarkStart w:id="47" w:name="_Toc10347"/>
      <w:bookmarkStart w:id="48" w:name="_Toc14869"/>
      <w:r>
        <w:rPr>
          <w:rFonts w:ascii="黑体" w:eastAsia="黑体" w:hAnsi="黑体" w:cs="宋体" w:hint="eastAsia"/>
          <w:bCs/>
          <w:kern w:val="0"/>
          <w:sz w:val="32"/>
          <w:szCs w:val="32"/>
        </w:rPr>
        <w:t>五、《一般公共预算财政拨款支出决算表》</w:t>
      </w:r>
      <w:bookmarkEnd w:id="47"/>
      <w:bookmarkEnd w:id="48"/>
    </w:p>
    <w:p w:rsidR="008853A8" w:rsidRDefault="008853A8">
      <w:pPr>
        <w:ind w:firstLineChars="200" w:firstLine="640"/>
        <w:outlineLvl w:val="1"/>
        <w:rPr>
          <w:rFonts w:ascii="黑体" w:eastAsia="黑体" w:hAnsi="黑体" w:cs="宋体"/>
          <w:bCs/>
          <w:kern w:val="0"/>
          <w:sz w:val="32"/>
          <w:szCs w:val="32"/>
        </w:rPr>
      </w:pPr>
      <w:bookmarkStart w:id="49" w:name="_Toc5626"/>
      <w:bookmarkStart w:id="50" w:name="_Toc8884"/>
      <w:r>
        <w:rPr>
          <w:rFonts w:ascii="黑体" w:eastAsia="黑体" w:hAnsi="黑体" w:cs="宋体" w:hint="eastAsia"/>
          <w:bCs/>
          <w:kern w:val="0"/>
          <w:sz w:val="32"/>
          <w:szCs w:val="32"/>
        </w:rPr>
        <w:t>六、《一般公共预算财政拨款基本支出决算表》</w:t>
      </w:r>
      <w:bookmarkEnd w:id="49"/>
      <w:bookmarkEnd w:id="50"/>
    </w:p>
    <w:p w:rsidR="008853A8" w:rsidRDefault="008853A8">
      <w:pPr>
        <w:ind w:firstLineChars="200" w:firstLine="640"/>
        <w:outlineLvl w:val="1"/>
        <w:rPr>
          <w:rFonts w:ascii="黑体" w:eastAsia="黑体" w:hAnsi="黑体" w:cs="宋体"/>
          <w:bCs/>
          <w:kern w:val="0"/>
          <w:sz w:val="32"/>
          <w:szCs w:val="32"/>
        </w:rPr>
      </w:pPr>
      <w:bookmarkStart w:id="51" w:name="_Toc32663"/>
      <w:bookmarkStart w:id="52" w:name="_Toc29106"/>
      <w:r>
        <w:rPr>
          <w:rFonts w:ascii="黑体" w:eastAsia="黑体" w:hAnsi="黑体" w:cs="宋体" w:hint="eastAsia"/>
          <w:bCs/>
          <w:kern w:val="0"/>
          <w:sz w:val="32"/>
          <w:szCs w:val="32"/>
        </w:rPr>
        <w:t>七、《一般公共预算财政拨款“三公”经费支出决算表》</w:t>
      </w:r>
      <w:bookmarkEnd w:id="51"/>
      <w:bookmarkEnd w:id="52"/>
    </w:p>
    <w:p w:rsidR="008853A8" w:rsidRDefault="008853A8">
      <w:pPr>
        <w:ind w:firstLineChars="200" w:firstLine="640"/>
        <w:outlineLvl w:val="1"/>
        <w:rPr>
          <w:rFonts w:ascii="黑体" w:eastAsia="黑体" w:hAnsi="黑体" w:cs="宋体"/>
          <w:bCs/>
          <w:kern w:val="0"/>
          <w:sz w:val="32"/>
          <w:szCs w:val="32"/>
        </w:rPr>
      </w:pPr>
      <w:bookmarkStart w:id="53" w:name="_Toc5453"/>
      <w:bookmarkStart w:id="54" w:name="_Toc7643"/>
      <w:r>
        <w:rPr>
          <w:rFonts w:ascii="黑体" w:eastAsia="黑体" w:hAnsi="黑体" w:cs="宋体" w:hint="eastAsia"/>
          <w:bCs/>
          <w:kern w:val="0"/>
          <w:sz w:val="32"/>
          <w:szCs w:val="32"/>
        </w:rPr>
        <w:t>八、《政府性基金预算财政拨款收入支出决算表》</w:t>
      </w:r>
      <w:bookmarkEnd w:id="53"/>
      <w:bookmarkEnd w:id="54"/>
    </w:p>
    <w:sectPr w:rsidR="008853A8">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2072" w:rsidRDefault="00022072">
      <w:r>
        <w:separator/>
      </w:r>
    </w:p>
  </w:endnote>
  <w:endnote w:type="continuationSeparator" w:id="0">
    <w:p w:rsidR="00022072" w:rsidRDefault="00022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sidR="006F5C15">
                            <w:rPr>
                              <w:noProof/>
                            </w:rPr>
                            <w:t>10</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" filled="f" stroked="f">
              <v:textbox style="mso-fit-shape-to-text:t" inset="0,0,0,0">
                <w:txbxContent>
                  <w:p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sidR="006F5C15">
                      <w:rPr>
                        <w:noProof/>
                      </w:rPr>
                      <w:t>10</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2072" w:rsidRDefault="00022072">
      <w:r>
        <w:separator/>
      </w:r>
    </w:p>
  </w:footnote>
  <w:footnote w:type="continuationSeparator" w:id="0">
    <w:p w:rsidR="00022072" w:rsidRDefault="000220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cumentProtection w:edit="comments" w:enforcement="1" w:cryptProviderType="rsaFull" w:cryptAlgorithmClass="hash" w:cryptAlgorithmType="typeAny" w:cryptAlgorithmSid="4" w:cryptSpinCount="100000" w:hash="9QrekFVyNvYtT+BthUgIJPcsi1s=" w:salt="q1iTZTgzOifeOYb/2fLZRg=="/>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E66"/>
    <w:rsid w:val="000033EF"/>
    <w:rsid w:val="00004533"/>
    <w:rsid w:val="00005A21"/>
    <w:rsid w:val="00022072"/>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2594"/>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6F5C15"/>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3BF3"/>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pPr>
      <w:ind w:leftChars="200" w:left="420"/>
    </w:pPr>
  </w:style>
  <w:style w:type="paragraph" w:styleId="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pPr>
      <w:ind w:leftChars="200" w:left="420"/>
    </w:pPr>
  </w:style>
  <w:style w:type="paragraph" w:styleId="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13</Pages>
  <Words>877</Words>
  <Characters>5004</Characters>
  <Application>Microsoft Office Word</Application>
  <DocSecurity>8</DocSecurity>
  <Lines>41</Lines>
  <Paragraphs>11</Paragraphs>
  <ScaleCrop>false</ScaleCrop>
  <Company/>
  <LinksUpToDate>false</LinksUpToDate>
  <CharactersWithSpaces>5870</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喀地财库-任雯</cp:lastModifiedBy>
  <cp:revision>23</cp:revision>
  <dcterms:created xsi:type="dcterms:W3CDTF">2020-09-08T14:04:00Z</dcterms:created>
  <dcterms:modified xsi:type="dcterms:W3CDTF">2020-10-18T09:30:00Z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