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7F4C65">
      <w:pPr>
        <w:rPr>
          <w:rFonts w:ascii="黑体" w:hAnsi="黑体" w:eastAsia="黑体"/>
          <w:sz w:val="32"/>
          <w:szCs w:val="32"/>
        </w:rPr>
      </w:pPr>
      <w:r>
        <w:rPr>
          <w:rFonts w:hint="eastAsia" w:ascii="黑体" w:hAnsi="黑体" w:eastAsia="黑体"/>
          <w:sz w:val="32"/>
          <w:szCs w:val="32"/>
        </w:rPr>
        <w:t>附件：</w:t>
      </w:r>
    </w:p>
    <w:p w14:paraId="1B42D761">
      <w:pPr>
        <w:jc w:val="center"/>
        <w:rPr>
          <w:rFonts w:ascii="方正小标宋_GBK" w:hAnsi="宋体" w:eastAsia="方正小标宋_GBK"/>
          <w:sz w:val="44"/>
          <w:szCs w:val="44"/>
        </w:rPr>
      </w:pPr>
    </w:p>
    <w:p w14:paraId="7060838B">
      <w:pPr>
        <w:jc w:val="center"/>
        <w:rPr>
          <w:rFonts w:ascii="方正小标宋_GBK" w:hAnsi="宋体" w:eastAsia="方正小标宋_GBK"/>
          <w:sz w:val="44"/>
          <w:szCs w:val="44"/>
        </w:rPr>
      </w:pPr>
    </w:p>
    <w:p w14:paraId="6D752705">
      <w:pPr>
        <w:jc w:val="center"/>
        <w:rPr>
          <w:rFonts w:ascii="方正小标宋_GBK" w:hAnsi="宋体" w:eastAsia="方正小标宋_GBK"/>
          <w:sz w:val="44"/>
          <w:szCs w:val="44"/>
        </w:rPr>
      </w:pPr>
    </w:p>
    <w:p w14:paraId="6823D2B4">
      <w:pPr>
        <w:jc w:val="center"/>
        <w:rPr>
          <w:rFonts w:ascii="方正小标宋_GBK" w:hAnsi="宋体" w:eastAsia="方正小标宋_GBK"/>
          <w:sz w:val="44"/>
          <w:szCs w:val="44"/>
        </w:rPr>
      </w:pPr>
    </w:p>
    <w:p w14:paraId="1FD04D23">
      <w:pPr>
        <w:jc w:val="center"/>
        <w:rPr>
          <w:rFonts w:ascii="方正小标宋_GBK" w:hAnsi="宋体" w:eastAsia="方正小标宋_GBK"/>
          <w:sz w:val="44"/>
          <w:szCs w:val="44"/>
        </w:rPr>
      </w:pPr>
      <w:r>
        <w:rPr>
          <w:rFonts w:ascii="方正小标宋_GBK" w:hAnsi="方正小标宋_GBK" w:eastAsia="方正小标宋_GBK" w:cs="方正小标宋_GBK"/>
          <w:sz w:val="44"/>
        </w:rPr>
        <w:t>新疆喀什地委党校2019年度部门决算</w:t>
      </w:r>
    </w:p>
    <w:p w14:paraId="11A1A98B">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14:paraId="548D55F7">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367AA736">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部门单位概况</w:t>
      </w:r>
      <w:r>
        <w:rPr>
          <w:rFonts w:hint="eastAsia" w:ascii="仿宋_GB2312" w:hAnsi="仿宋_GB2312" w:eastAsia="仿宋_GB2312" w:cs="仿宋_GB2312"/>
          <w:b/>
          <w:bCs/>
          <w:sz w:val="32"/>
          <w:szCs w:val="32"/>
        </w:rPr>
        <w:fldChar w:fldCharType="end"/>
      </w:r>
    </w:p>
    <w:p w14:paraId="0C1EB9A3">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61FD42CB">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615AC4FC">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34CB4BBD">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3E917AE4">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0C85C6B2">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3DED5DB1">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3AB057FC">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6A70B6DB">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70153E8D">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14:paraId="59020935">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八、政府性基金预算收入支出决算情况说明</w:t>
      </w:r>
      <w:r>
        <w:rPr>
          <w:rFonts w:hint="eastAsia" w:ascii="仿宋_GB2312" w:hAnsi="仿宋_GB2312" w:eastAsia="仿宋_GB2312" w:cs="仿宋_GB2312"/>
          <w:bCs/>
          <w:kern w:val="0"/>
          <w:sz w:val="32"/>
          <w:szCs w:val="32"/>
        </w:rPr>
        <w:fldChar w:fldCharType="end"/>
      </w:r>
    </w:p>
    <w:p w14:paraId="572F451A">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bCs/>
          <w:kern w:val="0"/>
          <w:sz w:val="32"/>
          <w:szCs w:val="32"/>
        </w:rPr>
        <w:t>九、其他重要事项的情况说明</w:t>
      </w:r>
      <w:r>
        <w:rPr>
          <w:rFonts w:hint="eastAsia" w:ascii="仿宋_GB2312" w:hAnsi="仿宋_GB2312" w:eastAsia="仿宋_GB2312" w:cs="仿宋_GB2312"/>
          <w:bCs/>
          <w:kern w:val="0"/>
          <w:sz w:val="32"/>
          <w:szCs w:val="32"/>
        </w:rPr>
        <w:fldChar w:fldCharType="end"/>
      </w:r>
    </w:p>
    <w:p w14:paraId="20BD9A54">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467F93DB">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77879E21">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C20EBA6">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十、预算绩效的情况说明</w:t>
      </w:r>
      <w:r>
        <w:rPr>
          <w:rFonts w:hint="eastAsia" w:ascii="仿宋_GB2312" w:hAnsi="仿宋_GB2312" w:eastAsia="仿宋_GB2312" w:cs="仿宋_GB2312"/>
          <w:bCs/>
          <w:kern w:val="0"/>
          <w:sz w:val="32"/>
          <w:szCs w:val="32"/>
        </w:rPr>
        <w:fldChar w:fldCharType="end"/>
      </w:r>
    </w:p>
    <w:p w14:paraId="75498596">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73781D1">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6CFEA27A">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4F656724">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145FF398">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72DBDF8C">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3A100AF6">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034839D7">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1A192624">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14:paraId="571E0073">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11ED3154">
      <w:r>
        <w:rPr>
          <w:rFonts w:hint="eastAsia" w:ascii="仿宋_GB2312" w:hAnsi="仿宋_GB2312" w:eastAsia="仿宋_GB2312" w:cs="仿宋_GB2312"/>
          <w:sz w:val="32"/>
          <w:szCs w:val="32"/>
        </w:rPr>
        <w:fldChar w:fldCharType="end"/>
      </w:r>
    </w:p>
    <w:p w14:paraId="5D885FE1">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0" w:name="_Toc24028"/>
      <w:bookmarkStart w:id="1" w:name="_Toc32314"/>
      <w:r>
        <w:rPr>
          <w:rFonts w:hint="eastAsia" w:ascii="黑体" w:hAnsi="黑体" w:eastAsia="黑体"/>
          <w:sz w:val="32"/>
          <w:szCs w:val="32"/>
        </w:rPr>
        <w:t>第一部分 部门单位概况</w:t>
      </w:r>
      <w:bookmarkEnd w:id="0"/>
      <w:bookmarkEnd w:id="1"/>
    </w:p>
    <w:p w14:paraId="592DCF8A">
      <w:pPr>
        <w:ind w:firstLine="640" w:firstLineChars="200"/>
        <w:outlineLvl w:val="1"/>
        <w:rPr>
          <w:rFonts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14:paraId="526E0395">
      <w:pPr>
        <w:ind w:firstLine="480"/>
      </w:pPr>
      <w:r>
        <w:rPr>
          <w:rFonts w:ascii="仿宋_GB2312" w:hAnsi="仿宋_GB2312" w:eastAsia="仿宋_GB2312" w:cs="仿宋_GB2312"/>
          <w:sz w:val="32"/>
        </w:rPr>
        <w:t>1、贯彻落实《中</w:t>
      </w:r>
      <w:r>
        <w:rPr>
          <w:rFonts w:hint="eastAsia" w:ascii="仿宋_GB2312" w:hAnsi="仿宋_GB2312" w:eastAsia="仿宋_GB2312" w:cs="仿宋_GB2312"/>
          <w:sz w:val="32"/>
          <w:lang w:eastAsia="zh-CN"/>
        </w:rPr>
        <w:t>国</w:t>
      </w:r>
      <w:r>
        <w:rPr>
          <w:rFonts w:ascii="仿宋_GB2312" w:hAnsi="仿宋_GB2312" w:eastAsia="仿宋_GB2312" w:cs="仿宋_GB2312"/>
          <w:sz w:val="32"/>
        </w:rPr>
        <w:t>共产党党校工作条例》和《行政学院</w:t>
      </w:r>
      <w:bookmarkStart w:id="54" w:name="_GoBack"/>
      <w:bookmarkEnd w:id="54"/>
      <w:r>
        <w:rPr>
          <w:rFonts w:ascii="仿宋_GB2312" w:hAnsi="仿宋_GB2312" w:eastAsia="仿宋_GB2312" w:cs="仿宋_GB2312"/>
          <w:sz w:val="32"/>
        </w:rPr>
        <w:t>工作条例》，进一步完善党校教育体系，推进各项工作的科学化、规范化、制度化；2、负责培训轮训地区各级党员领导干部、公务员及后备干部，培养理论干部；3、承办地委和地区政府举办的专题研讨班；4、围绕地委、地区政府的重要工作部署和地区经济社会发展中出现的新情况新问题开展科学研究，承担地委和地区政府下达的调研任务，推进理论创新；5、针对改革开放和社会主义现代化进程中的重大理论和现实问题，开展马克思主义中国化最新成果的理论宣传，开展党的路线、方针、政策的宣传；6、按照国家有关法律法规和政策规定，开展干部继续教育和培训。</w:t>
      </w:r>
    </w:p>
    <w:p w14:paraId="662E5398">
      <w:pPr>
        <w:ind w:firstLine="640" w:firstLineChars="200"/>
        <w:outlineLvl w:val="1"/>
        <w:rPr>
          <w:rFonts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5013B37F">
      <w:pPr>
        <w:ind w:firstLine="640" w:firstLineChars="200"/>
      </w:pPr>
      <w:r>
        <w:rPr>
          <w:rFonts w:ascii="仿宋_GB2312" w:hAnsi="仿宋_GB2312" w:eastAsia="仿宋_GB2312" w:cs="仿宋_GB2312"/>
          <w:sz w:val="32"/>
        </w:rPr>
        <w:t>新疆喀什地委党校2019年度，实有人数151人，其中：在职人员83人，离休人员1人，退休人员67人。</w:t>
      </w:r>
    </w:p>
    <w:p w14:paraId="3F99F40A">
      <w:pPr>
        <w:ind w:firstLine="640" w:firstLineChars="200"/>
        <w:rPr>
          <w:rFonts w:ascii="仿宋_GB2312" w:eastAsia="仿宋_GB2312"/>
          <w:sz w:val="32"/>
          <w:szCs w:val="32"/>
        </w:rPr>
      </w:pPr>
      <w:r>
        <w:rPr>
          <w:rFonts w:ascii="仿宋_GB2312" w:hAnsi="仿宋_GB2312" w:eastAsia="仿宋_GB2312" w:cs="仿宋_GB2312"/>
          <w:sz w:val="32"/>
        </w:rPr>
        <w:t>从部门决算单位构成看，新疆喀什地委党校部门决算包括：新疆喀什地委党校决算。</w:t>
      </w:r>
    </w:p>
    <w:p w14:paraId="4917A1C0">
      <w:pPr>
        <w:ind w:firstLine="640" w:firstLineChars="200"/>
        <w:jc w:val="center"/>
        <w:outlineLvl w:val="0"/>
        <w:rPr>
          <w:rFonts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61F40DF4">
      <w:pPr>
        <w:ind w:firstLine="640" w:firstLineChars="200"/>
        <w:outlineLvl w:val="1"/>
        <w:rPr>
          <w:rFonts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1E7C17AD">
      <w:pPr>
        <w:ind w:firstLine="640" w:firstLineChars="200"/>
        <w:rPr>
          <w:rFonts w:ascii="仿宋_GB2312" w:eastAsia="仿宋_GB2312"/>
          <w:sz w:val="32"/>
          <w:szCs w:val="32"/>
        </w:rPr>
      </w:pPr>
      <w:r>
        <w:rPr>
          <w:rFonts w:ascii="仿宋_GB2312" w:hAnsi="仿宋_GB2312" w:eastAsia="仿宋_GB2312" w:cs="仿宋_GB2312"/>
          <w:sz w:val="32"/>
        </w:rPr>
        <w:t>2019年度本年收入1,623.82万元，与上年相比，减少160.31万元，下降8.99%，主要原因是：项目规模和数量减少。本年支出1,623.82万元，与上年相比，减少160.31万元，下降8.99%，主要原因是：项目规模和数量减少。</w:t>
      </w:r>
    </w:p>
    <w:p w14:paraId="1FD698BB">
      <w:pPr>
        <w:ind w:firstLine="640" w:firstLineChars="200"/>
        <w:outlineLvl w:val="1"/>
        <w:rPr>
          <w:rFonts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73E148B5">
      <w:pPr>
        <w:ind w:firstLine="640" w:firstLineChars="200"/>
        <w:rPr>
          <w:rFonts w:ascii="仿宋_GB2312" w:eastAsia="仿宋_GB2312"/>
          <w:sz w:val="32"/>
          <w:szCs w:val="32"/>
        </w:rPr>
      </w:pPr>
      <w:r>
        <w:rPr>
          <w:rFonts w:ascii="仿宋_GB2312" w:hAnsi="仿宋_GB2312" w:eastAsia="仿宋_GB2312" w:cs="仿宋_GB2312"/>
          <w:sz w:val="32"/>
        </w:rPr>
        <w:t>2019年度本年收入1,623.82万元，其中：财政拨款收入1,563.60万元，占96.29%；上级补助收入0万元，占0%；事业收入60.21万元，占3.71%；经营收入0万元，占0%；附属单位上缴收入0万元，占0%；其他收入0万元，占0%。</w:t>
      </w:r>
    </w:p>
    <w:p w14:paraId="435FF77C">
      <w:pPr>
        <w:ind w:firstLine="640" w:firstLineChars="200"/>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14:paraId="53BB34AE">
      <w:pPr>
        <w:ind w:firstLine="640" w:firstLineChars="200"/>
        <w:rPr>
          <w:rFonts w:ascii="仿宋_GB2312" w:eastAsia="仿宋_GB2312"/>
          <w:sz w:val="32"/>
          <w:szCs w:val="32"/>
        </w:rPr>
      </w:pPr>
      <w:r>
        <w:rPr>
          <w:rFonts w:ascii="仿宋_GB2312" w:hAnsi="仿宋_GB2312" w:eastAsia="仿宋_GB2312" w:cs="仿宋_GB2312"/>
          <w:sz w:val="32"/>
        </w:rPr>
        <w:t>2019年度本年支出1,623.82万元，其中：基本支出1,534.12万元，占94.48%；项目支出89.70万元，占5.52%；上缴上级支出0万元，占0%；经营支出0万元，占0%；对附属单位补助支出0万元，占0%。</w:t>
      </w:r>
    </w:p>
    <w:p w14:paraId="7B047FB9">
      <w:pPr>
        <w:ind w:firstLine="640" w:firstLineChars="200"/>
        <w:outlineLvl w:val="1"/>
        <w:rPr>
          <w:rFonts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14:paraId="63106E73">
      <w:pPr>
        <w:ind w:firstLine="640" w:firstLineChars="200"/>
        <w:rPr>
          <w:rFonts w:ascii="仿宋_GB2312" w:eastAsia="仿宋_GB2312"/>
          <w:sz w:val="32"/>
          <w:szCs w:val="32"/>
        </w:rPr>
      </w:pPr>
      <w:r>
        <w:rPr>
          <w:rFonts w:ascii="仿宋_GB2312" w:hAnsi="仿宋_GB2312" w:eastAsia="仿宋_GB2312" w:cs="仿宋_GB2312"/>
          <w:sz w:val="32"/>
        </w:rPr>
        <w:t>2019年度财政拨款收入1,563.60万元，与上年相比，增加22.97万元，增长1.49%，主要原因是：工资正常晋升、新增3人，人员经费增加。财政拨款支出1,563.60万元，与上年相比，增加22.97万元，增长1.49%，主要原因是：工资正常晋升、新增3人，人员经费增加。</w:t>
      </w:r>
    </w:p>
    <w:p w14:paraId="5D472BFD">
      <w:pPr>
        <w:ind w:firstLine="640" w:firstLineChars="200"/>
        <w:rPr>
          <w:rFonts w:ascii="仿宋_GB2312" w:eastAsia="仿宋_GB2312"/>
          <w:sz w:val="32"/>
          <w:szCs w:val="32"/>
        </w:rPr>
      </w:pPr>
      <w:r>
        <w:rPr>
          <w:rFonts w:ascii="仿宋_GB2312" w:hAnsi="仿宋_GB2312" w:eastAsia="仿宋_GB2312" w:cs="仿宋_GB2312"/>
          <w:sz w:val="32"/>
        </w:rPr>
        <w:t>与年初预算数相比情况：财政拨款收入年初预算数1,536万元，决算数1,563.60万元，预决算差异率1.8%，主要原因是：工资正常晋升、新增3人，人员经费增加。财政拨款支出年初预算数3,136万元，决算数1,563.60万元，预决算差异率-50.14%，主要原因是：根据上级安排，上级往年专项结转资金未执行。</w:t>
      </w:r>
    </w:p>
    <w:p w14:paraId="07457FB8">
      <w:pPr>
        <w:ind w:firstLine="640" w:firstLineChars="200"/>
        <w:outlineLvl w:val="1"/>
        <w:rPr>
          <w:rFonts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14:paraId="63AC9879">
      <w:pPr>
        <w:ind w:firstLine="640" w:firstLineChars="200"/>
        <w:rPr>
          <w:rFonts w:ascii="仿宋_GB2312" w:eastAsia="仿宋_GB2312"/>
          <w:sz w:val="32"/>
          <w:szCs w:val="32"/>
        </w:rPr>
      </w:pPr>
      <w:r>
        <w:rPr>
          <w:rFonts w:ascii="仿宋_GB2312" w:hAnsi="仿宋_GB2312" w:eastAsia="仿宋_GB2312" w:cs="仿宋_GB2312"/>
          <w:sz w:val="32"/>
        </w:rPr>
        <w:t>2019年度一般公共预算财政拨款支出1,563.60万元。按功能分类科目项级科目公开，其中：</w:t>
      </w:r>
    </w:p>
    <w:p w14:paraId="0F97AC90">
      <w:pPr>
        <w:ind w:firstLine="480"/>
      </w:pPr>
      <w:r>
        <w:rPr>
          <w:rFonts w:ascii="仿宋_GB2312" w:hAnsi="仿宋_GB2312" w:eastAsia="仿宋_GB2312" w:cs="仿宋_GB2312"/>
          <w:sz w:val="32"/>
        </w:rPr>
        <w:t xml:space="preserve">   2013299其他组织事务支出33.38万元；</w:t>
      </w:r>
    </w:p>
    <w:p w14:paraId="741B1CD9">
      <w:pPr>
        <w:ind w:firstLine="480"/>
      </w:pPr>
      <w:r>
        <w:rPr>
          <w:rFonts w:ascii="仿宋_GB2312" w:hAnsi="仿宋_GB2312" w:eastAsia="仿宋_GB2312" w:cs="仿宋_GB2312"/>
          <w:sz w:val="32"/>
        </w:rPr>
        <w:t xml:space="preserve">   2050802干部教育支出1,331.87万元；</w:t>
      </w:r>
    </w:p>
    <w:p w14:paraId="55050BDB">
      <w:pPr>
        <w:ind w:firstLine="480"/>
      </w:pPr>
      <w:r>
        <w:rPr>
          <w:rFonts w:ascii="仿宋_GB2312" w:hAnsi="仿宋_GB2312" w:eastAsia="仿宋_GB2312" w:cs="仿宋_GB2312"/>
          <w:sz w:val="32"/>
        </w:rPr>
        <w:t xml:space="preserve">   2080505机关事业单位基本养老保险缴费支出128.74万元；</w:t>
      </w:r>
    </w:p>
    <w:p w14:paraId="3A9F0D24">
      <w:pPr>
        <w:ind w:firstLine="480"/>
      </w:pPr>
      <w:r>
        <w:rPr>
          <w:rFonts w:ascii="仿宋_GB2312" w:hAnsi="仿宋_GB2312" w:eastAsia="仿宋_GB2312" w:cs="仿宋_GB2312"/>
          <w:sz w:val="32"/>
        </w:rPr>
        <w:t xml:space="preserve">   2080506机关事业单位职业年金缴费支出44.84万元；</w:t>
      </w:r>
    </w:p>
    <w:p w14:paraId="6CFA5AD1">
      <w:pPr>
        <w:ind w:firstLine="480"/>
      </w:pPr>
      <w:r>
        <w:rPr>
          <w:rFonts w:ascii="仿宋_GB2312" w:hAnsi="仿宋_GB2312" w:eastAsia="仿宋_GB2312" w:cs="仿宋_GB2312"/>
          <w:sz w:val="32"/>
        </w:rPr>
        <w:t xml:space="preserve">   2299901其他支出24.77万元。</w:t>
      </w:r>
    </w:p>
    <w:p w14:paraId="75312356">
      <w:pPr>
        <w:ind w:firstLine="640" w:firstLineChars="200"/>
        <w:outlineLvl w:val="1"/>
        <w:rPr>
          <w:rFonts w:ascii="黑体" w:hAnsi="黑体" w:eastAsia="黑体" w:cs="宋体"/>
          <w:bCs/>
          <w:kern w:val="0"/>
          <w:sz w:val="32"/>
          <w:szCs w:val="32"/>
        </w:rPr>
      </w:pPr>
      <w:bookmarkStart w:id="18" w:name="_Toc30870"/>
      <w:bookmarkStart w:id="19" w:name="_Toc11146"/>
      <w:r>
        <w:rPr>
          <w:rFonts w:hint="eastAsia" w:ascii="黑体" w:hAnsi="黑体" w:eastAsia="黑体" w:cs="宋体"/>
          <w:bCs/>
          <w:kern w:val="0"/>
          <w:sz w:val="32"/>
          <w:szCs w:val="32"/>
        </w:rPr>
        <w:t>六、一般公共预算财政拨款基本支出决算情况说明</w:t>
      </w:r>
      <w:bookmarkEnd w:id="18"/>
      <w:bookmarkEnd w:id="19"/>
    </w:p>
    <w:p w14:paraId="7457A519">
      <w:pPr>
        <w:ind w:firstLine="640" w:firstLineChars="200"/>
        <w:rPr>
          <w:rFonts w:ascii="仿宋_GB2312" w:eastAsia="仿宋_GB2312"/>
          <w:sz w:val="32"/>
          <w:szCs w:val="32"/>
        </w:rPr>
      </w:pPr>
      <w:r>
        <w:rPr>
          <w:rFonts w:ascii="仿宋_GB2312" w:hAnsi="仿宋_GB2312" w:eastAsia="仿宋_GB2312" w:cs="仿宋_GB2312"/>
          <w:sz w:val="32"/>
        </w:rPr>
        <w:t>2019年度一般公共预算财政拨款基本支出1,492.87万元，其中：</w:t>
      </w:r>
    </w:p>
    <w:p w14:paraId="7DD3CC7B">
      <w:pPr>
        <w:ind w:firstLine="640" w:firstLineChars="200"/>
        <w:rPr>
          <w:rFonts w:ascii="仿宋_GB2312" w:eastAsia="仿宋_GB2312"/>
          <w:sz w:val="32"/>
          <w:szCs w:val="32"/>
        </w:rPr>
      </w:pPr>
      <w:r>
        <w:rPr>
          <w:rFonts w:ascii="仿宋_GB2312" w:hAnsi="仿宋_GB2312" w:eastAsia="仿宋_GB2312" w:cs="仿宋_GB2312"/>
          <w:sz w:val="32"/>
        </w:rPr>
        <w:t>人员经费1,477.76万元，包括：基本工资、津贴补贴、奖金、绩效工资、机关事业单位基本养老保险缴费、职业年金缴费、职工基本医疗保险缴费、公务员医疗补助缴费、其他社会保障缴费、住房公积金、其他工资福利支出、离休费、退休费、抚恤金、生活补助、奖励金。</w:t>
      </w:r>
    </w:p>
    <w:p w14:paraId="75D9FFF3">
      <w:pPr>
        <w:ind w:firstLine="640" w:firstLineChars="200"/>
        <w:rPr>
          <w:rFonts w:ascii="仿宋_GB2312" w:eastAsia="仿宋_GB2312"/>
          <w:sz w:val="32"/>
          <w:szCs w:val="32"/>
        </w:rPr>
      </w:pPr>
      <w:r>
        <w:rPr>
          <w:rFonts w:ascii="仿宋_GB2312" w:hAnsi="仿宋_GB2312" w:eastAsia="仿宋_GB2312" w:cs="仿宋_GB2312"/>
          <w:sz w:val="32"/>
        </w:rPr>
        <w:t>公用经费15.11万元，包括：办公费、邮电费、取暖费、物业管理费、维修（护）费、劳务费、其他交通费用、其他商品和服务支出。</w:t>
      </w:r>
    </w:p>
    <w:p w14:paraId="77B14BE7">
      <w:pPr>
        <w:ind w:firstLine="640" w:firstLineChars="200"/>
        <w:outlineLvl w:val="1"/>
        <w:rPr>
          <w:rFonts w:ascii="黑体" w:hAnsi="黑体" w:eastAsia="黑体" w:cs="宋体"/>
          <w:bCs/>
          <w:kern w:val="0"/>
          <w:sz w:val="32"/>
          <w:szCs w:val="32"/>
        </w:rPr>
      </w:pPr>
      <w:bookmarkStart w:id="20" w:name="_Toc21518"/>
      <w:bookmarkStart w:id="21" w:name="_Toc7190"/>
      <w:r>
        <w:rPr>
          <w:rFonts w:hint="eastAsia" w:ascii="黑体" w:hAnsi="黑体" w:eastAsia="黑体" w:cs="宋体"/>
          <w:bCs/>
          <w:kern w:val="0"/>
          <w:sz w:val="32"/>
          <w:szCs w:val="32"/>
        </w:rPr>
        <w:t>七、一般公共预算财政拨款“三公”经费支出决算情况说明</w:t>
      </w:r>
      <w:bookmarkEnd w:id="20"/>
      <w:bookmarkEnd w:id="21"/>
    </w:p>
    <w:p w14:paraId="40827836">
      <w:pPr>
        <w:ind w:firstLine="640" w:firstLineChars="200"/>
        <w:rPr>
          <w:rFonts w:ascii="仿宋_GB2312" w:eastAsia="仿宋_GB2312"/>
          <w:sz w:val="32"/>
          <w:szCs w:val="32"/>
        </w:rPr>
      </w:pPr>
      <w:r>
        <w:rPr>
          <w:rFonts w:ascii="仿宋_GB2312" w:hAnsi="仿宋_GB2312" w:eastAsia="仿宋_GB2312" w:cs="仿宋_GB2312"/>
          <w:sz w:val="32"/>
        </w:rPr>
        <w:t>2019年度一般公共预算“三公”经费支出决算0万元，比上年增加0万元，增长0%，主要原因是与上年相比无变动，与上年一致。其中，因公出国（境）费支出0万元，占0%，比上年增加0万元，增长0%，主要原因是与上年相比无变动，与上年一致；公务用车购置及运行维护费支出0万元，占0%，比上年增加0万元，增长0%，主要原因是与上年相比无变动，与上年一致；公务接待费支出0万元，占0%，比上年增加0万元，增长0%，主要原因是与上年相比无变动，与上年一致。具体情况如下：</w:t>
      </w:r>
    </w:p>
    <w:p w14:paraId="0C3E7564">
      <w:pPr>
        <w:ind w:firstLine="640" w:firstLineChars="200"/>
        <w:rPr>
          <w:rFonts w:ascii="仿宋_GB2312" w:eastAsia="仿宋_GB2312"/>
          <w:sz w:val="32"/>
          <w:szCs w:val="32"/>
        </w:rPr>
      </w:pPr>
      <w:r>
        <w:rPr>
          <w:rFonts w:ascii="仿宋_GB2312" w:hAnsi="仿宋_GB2312" w:eastAsia="仿宋_GB2312" w:cs="仿宋_GB2312"/>
          <w:sz w:val="32"/>
        </w:rPr>
        <w:t>因公出国（境）费支出0万元，开支内容包括：预算未安排，无此项支出。单位全年安排的因公出国（境）团组0个，因公出国（境）0人次。</w:t>
      </w:r>
    </w:p>
    <w:p w14:paraId="0AEE5C4D">
      <w:pPr>
        <w:ind w:firstLine="640" w:firstLineChars="200"/>
        <w:rPr>
          <w:rFonts w:ascii="仿宋_GB2312" w:eastAsia="仿宋_GB2312"/>
          <w:sz w:val="32"/>
          <w:szCs w:val="32"/>
        </w:rPr>
      </w:pPr>
      <w:r>
        <w:rPr>
          <w:rFonts w:ascii="仿宋_GB2312" w:hAnsi="仿宋_GB2312" w:eastAsia="仿宋_GB2312" w:cs="仿宋_GB2312"/>
          <w:sz w:val="32"/>
        </w:rPr>
        <w:t>公务用车购置及运行维护费0万元，其中，公务用车购置费0万元，公务用车运行维护费0万元。公务用车运行维护费开支内容包括预算未安排，无此项支出。公务用车购置数0辆，公务用车保有量0辆。</w:t>
      </w:r>
    </w:p>
    <w:p w14:paraId="6CD629DD">
      <w:pPr>
        <w:ind w:firstLine="640" w:firstLineChars="200"/>
        <w:rPr>
          <w:rFonts w:ascii="仿宋_GB2312" w:eastAsia="仿宋_GB2312"/>
          <w:sz w:val="32"/>
          <w:szCs w:val="32"/>
        </w:rPr>
      </w:pPr>
      <w:r>
        <w:rPr>
          <w:rFonts w:ascii="仿宋_GB2312" w:hAnsi="仿宋_GB2312" w:eastAsia="仿宋_GB2312" w:cs="仿宋_GB2312"/>
          <w:sz w:val="32"/>
        </w:rPr>
        <w:t>公务接待费0万元，开支内容包括预算未安排，无此项支出。单位全年安排的国内公务接待0批次，0人次。</w:t>
      </w:r>
    </w:p>
    <w:p w14:paraId="2DA399AE">
      <w:pPr>
        <w:ind w:firstLine="640" w:firstLineChars="200"/>
        <w:rPr>
          <w:rFonts w:ascii="仿宋_GB2312" w:eastAsia="仿宋_GB2312"/>
          <w:sz w:val="32"/>
          <w:szCs w:val="32"/>
        </w:rPr>
      </w:pPr>
      <w:r>
        <w:rPr>
          <w:rFonts w:ascii="仿宋_GB2312" w:hAnsi="仿宋_GB2312" w:eastAsia="仿宋_GB2312" w:cs="仿宋_GB2312"/>
          <w:sz w:val="32"/>
        </w:rPr>
        <w:t>与年初预算数相比情况：一般公共预算“三公”经费支出年初预算数0万元，决算数0万元，预决算差异率0%，主要原因是：预算未安排，无此项支出。其中：因公出国（境）费预算数0万元，决算数0万元，预决算差异率0%，主要原因是：预算未安排，无此项支出；公务用车购置费预算数0万元，决算数0万元，预决算差异率0%，主要原因是：预算未安排，无此项支出；公务用车运行费预算数0万元，决算数0万元，预决算差异率0%，主要原因是：预算未安排，无此项支出；公务接待费预算数0万元，决算数0万元，预决算差异率0%，主要原因是：预算未安排，无此项支出。</w:t>
      </w:r>
    </w:p>
    <w:p w14:paraId="0C247338">
      <w:pPr>
        <w:ind w:firstLine="640" w:firstLineChars="200"/>
        <w:outlineLvl w:val="1"/>
        <w:rPr>
          <w:rFonts w:ascii="黑体" w:hAnsi="黑体" w:eastAsia="黑体" w:cs="宋体"/>
          <w:bCs/>
          <w:kern w:val="0"/>
          <w:sz w:val="32"/>
          <w:szCs w:val="32"/>
        </w:rPr>
      </w:pPr>
      <w:bookmarkStart w:id="22" w:name="_Toc5810"/>
      <w:bookmarkStart w:id="23" w:name="_Toc7927"/>
      <w:r>
        <w:rPr>
          <w:rFonts w:hint="eastAsia" w:ascii="黑体" w:hAnsi="黑体" w:eastAsia="黑体" w:cs="宋体"/>
          <w:bCs/>
          <w:kern w:val="0"/>
          <w:sz w:val="32"/>
          <w:szCs w:val="32"/>
        </w:rPr>
        <w:t>八、政府性基金预算收入支出决算情况说明</w:t>
      </w:r>
      <w:bookmarkEnd w:id="22"/>
      <w:bookmarkEnd w:id="23"/>
    </w:p>
    <w:p w14:paraId="5E4BCE8F">
      <w:pPr>
        <w:ind w:firstLine="640" w:firstLineChars="200"/>
        <w:rPr>
          <w:rFonts w:ascii="仿宋_GB2312" w:eastAsia="仿宋_GB2312"/>
          <w:color w:val="000000" w:themeColor="text1"/>
          <w:sz w:val="32"/>
          <w:szCs w:val="32"/>
          <w14:textFill>
            <w14:solidFill>
              <w14:schemeClr w14:val="tx1"/>
            </w14:solidFill>
          </w14:textFill>
        </w:rPr>
      </w:pPr>
      <w:r>
        <w:rPr>
          <w:rFonts w:ascii="仿宋_GB2312" w:hAnsi="仿宋_GB2312" w:eastAsia="仿宋_GB2312" w:cs="仿宋_GB2312"/>
          <w:sz w:val="32"/>
        </w:rPr>
        <w:t>我单位本年度无政府性基金预算财政拨款收入支出，政府性基金预算财政拨款收入支出决算表为空表。</w:t>
      </w:r>
    </w:p>
    <w:p w14:paraId="55759481">
      <w:pPr>
        <w:ind w:firstLine="640" w:firstLineChars="200"/>
        <w:outlineLvl w:val="1"/>
        <w:rPr>
          <w:rFonts w:ascii="黑体" w:hAnsi="黑体" w:eastAsia="黑体" w:cs="宋体"/>
          <w:bCs/>
          <w:kern w:val="0"/>
          <w:sz w:val="32"/>
          <w:szCs w:val="32"/>
        </w:rPr>
      </w:pPr>
      <w:bookmarkStart w:id="24" w:name="_Toc1235"/>
      <w:bookmarkStart w:id="25" w:name="_Toc7314"/>
      <w:r>
        <w:rPr>
          <w:rFonts w:hint="eastAsia" w:ascii="黑体" w:hAnsi="黑体" w:eastAsia="黑体" w:cs="宋体"/>
          <w:bCs/>
          <w:kern w:val="0"/>
          <w:sz w:val="32"/>
          <w:szCs w:val="32"/>
        </w:rPr>
        <w:t>九、其他重要事项的情况说明</w:t>
      </w:r>
      <w:bookmarkEnd w:id="24"/>
      <w:bookmarkEnd w:id="25"/>
    </w:p>
    <w:p w14:paraId="7571A192">
      <w:pPr>
        <w:ind w:firstLine="640" w:firstLineChars="200"/>
        <w:outlineLvl w:val="2"/>
        <w:rPr>
          <w:rFonts w:ascii="黑体" w:hAnsi="黑体" w:eastAsia="黑体"/>
          <w:sz w:val="32"/>
          <w:szCs w:val="32"/>
        </w:rPr>
      </w:pPr>
      <w:bookmarkStart w:id="26" w:name="_Toc14519"/>
      <w:bookmarkStart w:id="27" w:name="_Toc13105"/>
      <w:r>
        <w:rPr>
          <w:rFonts w:hint="eastAsia" w:ascii="黑体" w:hAnsi="黑体" w:eastAsia="黑体"/>
          <w:sz w:val="32"/>
          <w:szCs w:val="32"/>
        </w:rPr>
        <w:t>（一）机关运行经费支出情况</w:t>
      </w:r>
      <w:bookmarkEnd w:id="26"/>
      <w:bookmarkEnd w:id="27"/>
    </w:p>
    <w:p w14:paraId="13672E73">
      <w:pPr>
        <w:ind w:firstLine="640" w:firstLineChars="200"/>
        <w:rPr>
          <w:rFonts w:ascii="仿宋_GB2312" w:eastAsia="仿宋_GB2312"/>
          <w:sz w:val="32"/>
          <w:szCs w:val="32"/>
        </w:rPr>
      </w:pPr>
      <w:r>
        <w:rPr>
          <w:rFonts w:ascii="仿宋_GB2312" w:hAnsi="仿宋_GB2312" w:eastAsia="仿宋_GB2312" w:cs="仿宋_GB2312"/>
          <w:sz w:val="32"/>
        </w:rPr>
        <w:t>2019年度新疆喀什地委党校机关运行经费支出15.11万元，比上年增加13.68万元，增长956.64%，主要原因是以前年度日常公用经费由财政专户安排，本年部分日常公用由一般公共预算安排。</w:t>
      </w:r>
    </w:p>
    <w:p w14:paraId="74C0DCAC">
      <w:pPr>
        <w:ind w:firstLine="640" w:firstLineChars="200"/>
        <w:outlineLvl w:val="2"/>
        <w:rPr>
          <w:rFonts w:ascii="黑体" w:hAnsi="黑体" w:eastAsia="黑体"/>
          <w:sz w:val="32"/>
          <w:szCs w:val="32"/>
        </w:rPr>
      </w:pPr>
      <w:bookmarkStart w:id="28" w:name="_Toc227"/>
      <w:bookmarkStart w:id="29" w:name="_Toc26704"/>
      <w:r>
        <w:rPr>
          <w:rFonts w:hint="eastAsia" w:ascii="黑体" w:hAnsi="黑体" w:eastAsia="黑体"/>
          <w:sz w:val="32"/>
          <w:szCs w:val="32"/>
        </w:rPr>
        <w:t>（二）政府采购情况</w:t>
      </w:r>
      <w:bookmarkEnd w:id="28"/>
      <w:bookmarkEnd w:id="29"/>
    </w:p>
    <w:p w14:paraId="4BD2BD88">
      <w:pPr>
        <w:ind w:firstLine="640" w:firstLineChars="200"/>
        <w:rPr>
          <w:rFonts w:ascii="仿宋_GB2312" w:eastAsia="仿宋_GB2312"/>
          <w:sz w:val="32"/>
          <w:szCs w:val="32"/>
        </w:rPr>
      </w:pPr>
      <w:r>
        <w:rPr>
          <w:rFonts w:ascii="仿宋_GB2312" w:hAnsi="仿宋_GB2312" w:eastAsia="仿宋_GB2312" w:cs="仿宋_GB2312"/>
          <w:sz w:val="32"/>
        </w:rPr>
        <w:t>2019年度政府采购支出总额30.03万元，其中：政府采购货物支出30.03万元、政府采购工程支出0万元、政府采购服务支出0万元。</w:t>
      </w:r>
    </w:p>
    <w:p w14:paraId="7961D4BB">
      <w:pPr>
        <w:ind w:firstLine="640" w:firstLineChars="200"/>
        <w:rPr>
          <w:rFonts w:ascii="仿宋_GB2312" w:eastAsia="仿宋_GB2312"/>
          <w:sz w:val="32"/>
          <w:szCs w:val="32"/>
        </w:rPr>
      </w:pPr>
      <w:r>
        <w:rPr>
          <w:rFonts w:ascii="仿宋_GB2312" w:hAnsi="仿宋_GB2312" w:eastAsia="仿宋_GB2312" w:cs="仿宋_GB2312"/>
          <w:sz w:val="32"/>
        </w:rPr>
        <w:t>授予中小企业合同金额30.03万元，占政府采购支出总额的100%，其中：授予小微企业合同金额30.03万元，占政府采购支出总额的100%。</w:t>
      </w:r>
    </w:p>
    <w:p w14:paraId="46145B40">
      <w:pPr>
        <w:ind w:firstLine="640" w:firstLineChars="200"/>
        <w:outlineLvl w:val="2"/>
        <w:rPr>
          <w:rFonts w:ascii="黑体" w:hAnsi="黑体" w:eastAsia="黑体"/>
          <w:sz w:val="32"/>
          <w:szCs w:val="32"/>
        </w:rPr>
      </w:pPr>
      <w:bookmarkStart w:id="30" w:name="_Toc8391"/>
      <w:bookmarkStart w:id="31" w:name="_Toc4591"/>
      <w:r>
        <w:rPr>
          <w:rFonts w:hint="eastAsia" w:ascii="黑体" w:hAnsi="黑体" w:eastAsia="黑体"/>
          <w:sz w:val="32"/>
          <w:szCs w:val="32"/>
        </w:rPr>
        <w:t>（三）国有资产占用情况说明</w:t>
      </w:r>
      <w:bookmarkEnd w:id="30"/>
      <w:bookmarkEnd w:id="31"/>
    </w:p>
    <w:p w14:paraId="1CCB7B5F">
      <w:pPr>
        <w:ind w:firstLine="640" w:firstLineChars="200"/>
        <w:rPr>
          <w:rFonts w:ascii="仿宋_GB2312" w:eastAsia="仿宋_GB2312"/>
          <w:sz w:val="32"/>
          <w:szCs w:val="32"/>
        </w:rPr>
      </w:pPr>
      <w:r>
        <w:rPr>
          <w:rFonts w:ascii="仿宋_GB2312" w:hAnsi="仿宋_GB2312" w:eastAsia="仿宋_GB2312" w:cs="仿宋_GB2312"/>
          <w:sz w:val="32"/>
        </w:rPr>
        <w:t>截止2019年12月31日，单位共有房屋14,246（平方米），价值1,296.46万元。车辆2辆，价值52.93万元，其中：副部（省）级及以上领导用车0辆、主要领导干部用车0辆、机要通信用车0辆、应急保障用车0辆、执法执勤用车0辆、特种专业技术用车0辆、离退休干部用车0辆、其他用车2辆，其他用车主要是：校车；单位价值50万元以上通用设备0台（套）、单位价值100万元以上专用设备0台（套）。</w:t>
      </w:r>
    </w:p>
    <w:p w14:paraId="3A39E983">
      <w:pPr>
        <w:ind w:firstLine="640" w:firstLineChars="200"/>
        <w:outlineLvl w:val="1"/>
        <w:rPr>
          <w:rFonts w:ascii="黑体" w:hAnsi="黑体" w:eastAsia="黑体" w:cs="宋体"/>
          <w:bCs/>
          <w:kern w:val="0"/>
          <w:sz w:val="32"/>
          <w:szCs w:val="32"/>
        </w:rPr>
      </w:pPr>
      <w:bookmarkStart w:id="32" w:name="_Toc435"/>
      <w:bookmarkStart w:id="33" w:name="_Toc11283"/>
      <w:r>
        <w:rPr>
          <w:rFonts w:hint="eastAsia" w:ascii="黑体" w:hAnsi="黑体" w:eastAsia="黑体" w:cs="宋体"/>
          <w:bCs/>
          <w:kern w:val="0"/>
          <w:sz w:val="32"/>
          <w:szCs w:val="32"/>
        </w:rPr>
        <w:t>十、预算绩效的情况说明</w:t>
      </w:r>
      <w:bookmarkEnd w:id="32"/>
      <w:bookmarkEnd w:id="33"/>
    </w:p>
    <w:p w14:paraId="10CB8556">
      <w:pPr>
        <w:ind w:firstLine="640" w:firstLineChars="200"/>
        <w:rPr>
          <w:rFonts w:ascii="仿宋_GB2312" w:eastAsia="仿宋_GB2312"/>
          <w:sz w:val="32"/>
          <w:szCs w:val="32"/>
        </w:rPr>
      </w:pPr>
      <w:r>
        <w:rPr>
          <w:rFonts w:ascii="仿宋_GB2312" w:hAnsi="仿宋_GB2312" w:eastAsia="仿宋_GB2312" w:cs="仿宋_GB2312"/>
          <w:sz w:val="32"/>
        </w:rPr>
        <w:t>根据预算绩效管理要求，我单位2019年度开展预算绩效评价项目10个，共涉及资金89.7万元。预算绩效管理取得的成效：一是部门年度任务在预算资金额度内完成，并通过规范的招投标及严格的资金管理及项目管理及其他创新的管理措施实现了资金的节约。三公经费在预算范围内开支，开支范围较上年的变化，有节约；二是各项工作计划按预期计划按时完成，效益是按预期时间产生。三是预期的经济效益、社会效益、可持续的影响是产生，相关人员的满意度较好。发现的问题及原因：一是通过预算绩效管理，发现了工作中存在的不足，该项目暂不执行，项目资金已被地区财政收回，导致了资金滞缓，影响了项目的进度，造成了部分资金的浪费。下一步改进措施：一是年初做好资金预算，做好事前评估，严格按照项目进度及时拨付资金，使资金使用效益最大化，减少不必要的浪费，节约成本。具体项目自评情况附项目支出绩效自评表。</w:t>
      </w:r>
    </w:p>
    <w:p w14:paraId="2C131BF5">
      <w:pPr>
        <w:ind w:firstLine="640" w:firstLineChars="200"/>
        <w:jc w:val="center"/>
        <w:outlineLvl w:val="0"/>
        <w:rPr>
          <w:rFonts w:ascii="黑体" w:hAnsi="黑体" w:eastAsia="黑体"/>
          <w:sz w:val="32"/>
          <w:szCs w:val="32"/>
        </w:rPr>
      </w:pPr>
      <w:bookmarkStart w:id="34" w:name="_Toc24143"/>
      <w:bookmarkStart w:id="35" w:name="_Toc3250"/>
      <w:r>
        <w:rPr>
          <w:rFonts w:hint="eastAsia" w:ascii="黑体" w:hAnsi="黑体" w:eastAsia="黑体"/>
          <w:sz w:val="32"/>
          <w:szCs w:val="32"/>
        </w:rPr>
        <w:t>第三部分 专业名词解释</w:t>
      </w:r>
      <w:bookmarkEnd w:id="34"/>
      <w:bookmarkEnd w:id="35"/>
    </w:p>
    <w:p w14:paraId="2E0061CF">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14:paraId="0CA58921">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14:paraId="346F9E67">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14:paraId="7124584E">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14:paraId="2433EFF0">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14:paraId="165821EE">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14:paraId="7CE01E80">
      <w:pPr>
        <w:autoSpaceDE w:val="0"/>
        <w:autoSpaceDN w:val="0"/>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14:paraId="196C1852">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14:paraId="6FB47922">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14:paraId="2BC228A3">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14:paraId="087C20DB">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14:paraId="0C1B914B">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14:paraId="2E1F9BEB">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14:paraId="59AD8163">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52182A82">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EE45AEE">
      <w:pPr>
        <w:ind w:firstLine="640" w:firstLineChars="200"/>
        <w:jc w:val="center"/>
        <w:outlineLvl w:val="0"/>
        <w:rPr>
          <w:rFonts w:ascii="黑体" w:hAnsi="黑体" w:eastAsia="黑体"/>
          <w:sz w:val="32"/>
          <w:szCs w:val="32"/>
        </w:rPr>
      </w:pPr>
      <w:bookmarkStart w:id="36" w:name="_Toc28903"/>
      <w:bookmarkStart w:id="37" w:name="_Toc22784"/>
      <w:r>
        <w:rPr>
          <w:rFonts w:hint="eastAsia" w:ascii="黑体" w:hAnsi="黑体" w:eastAsia="黑体"/>
          <w:sz w:val="32"/>
          <w:szCs w:val="32"/>
        </w:rPr>
        <w:t>第四部分 部门决算报表（见附表）</w:t>
      </w:r>
      <w:bookmarkEnd w:id="36"/>
      <w:bookmarkEnd w:id="37"/>
    </w:p>
    <w:p w14:paraId="4A6535DF">
      <w:pPr>
        <w:ind w:firstLine="640" w:firstLineChars="200"/>
        <w:outlineLvl w:val="1"/>
        <w:rPr>
          <w:rFonts w:ascii="黑体" w:hAnsi="黑体" w:eastAsia="黑体" w:cs="宋体"/>
          <w:bCs/>
          <w:kern w:val="0"/>
          <w:sz w:val="32"/>
          <w:szCs w:val="32"/>
        </w:rPr>
      </w:pPr>
      <w:bookmarkStart w:id="38" w:name="_Toc2183"/>
      <w:bookmarkStart w:id="39" w:name="_Toc6062"/>
      <w:r>
        <w:rPr>
          <w:rFonts w:hint="eastAsia" w:ascii="黑体" w:hAnsi="黑体" w:eastAsia="黑体" w:cs="宋体"/>
          <w:bCs/>
          <w:kern w:val="0"/>
          <w:sz w:val="32"/>
          <w:szCs w:val="32"/>
        </w:rPr>
        <w:t>一、《收入支出决算总表》</w:t>
      </w:r>
      <w:bookmarkEnd w:id="38"/>
      <w:bookmarkEnd w:id="39"/>
    </w:p>
    <w:p w14:paraId="3502ADFD">
      <w:pPr>
        <w:ind w:firstLine="640" w:firstLineChars="200"/>
        <w:outlineLvl w:val="1"/>
        <w:rPr>
          <w:rFonts w:ascii="黑体" w:hAnsi="黑体" w:eastAsia="黑体" w:cs="宋体"/>
          <w:bCs/>
          <w:kern w:val="0"/>
          <w:sz w:val="32"/>
          <w:szCs w:val="32"/>
        </w:rPr>
      </w:pPr>
      <w:bookmarkStart w:id="40" w:name="_Toc24532"/>
      <w:bookmarkStart w:id="41" w:name="_Toc30364"/>
      <w:r>
        <w:rPr>
          <w:rFonts w:hint="eastAsia" w:ascii="黑体" w:hAnsi="黑体" w:eastAsia="黑体" w:cs="宋体"/>
          <w:bCs/>
          <w:kern w:val="0"/>
          <w:sz w:val="32"/>
          <w:szCs w:val="32"/>
        </w:rPr>
        <w:t>二、《收入决算表》</w:t>
      </w:r>
      <w:bookmarkEnd w:id="40"/>
      <w:bookmarkEnd w:id="41"/>
    </w:p>
    <w:p w14:paraId="3B51EB82">
      <w:pPr>
        <w:ind w:firstLine="640" w:firstLineChars="200"/>
        <w:outlineLvl w:val="1"/>
        <w:rPr>
          <w:rFonts w:ascii="黑体" w:hAnsi="黑体" w:eastAsia="黑体" w:cs="宋体"/>
          <w:bCs/>
          <w:kern w:val="0"/>
          <w:sz w:val="32"/>
          <w:szCs w:val="32"/>
        </w:rPr>
      </w:pPr>
      <w:bookmarkStart w:id="42" w:name="_Toc21304"/>
      <w:bookmarkStart w:id="43" w:name="_Toc32434"/>
      <w:r>
        <w:rPr>
          <w:rFonts w:hint="eastAsia" w:ascii="黑体" w:hAnsi="黑体" w:eastAsia="黑体" w:cs="宋体"/>
          <w:bCs/>
          <w:kern w:val="0"/>
          <w:sz w:val="32"/>
          <w:szCs w:val="32"/>
        </w:rPr>
        <w:t>三、《支出决算表》</w:t>
      </w:r>
      <w:bookmarkEnd w:id="42"/>
      <w:bookmarkEnd w:id="43"/>
    </w:p>
    <w:p w14:paraId="33C53A7B">
      <w:pPr>
        <w:ind w:firstLine="640" w:firstLineChars="200"/>
        <w:outlineLvl w:val="1"/>
        <w:rPr>
          <w:rFonts w:ascii="黑体" w:hAnsi="黑体" w:eastAsia="黑体" w:cs="宋体"/>
          <w:bCs/>
          <w:kern w:val="0"/>
          <w:sz w:val="32"/>
          <w:szCs w:val="32"/>
        </w:rPr>
      </w:pPr>
      <w:bookmarkStart w:id="44" w:name="_Toc28786"/>
      <w:bookmarkStart w:id="45" w:name="_Toc14238"/>
      <w:r>
        <w:rPr>
          <w:rFonts w:hint="eastAsia" w:ascii="黑体" w:hAnsi="黑体" w:eastAsia="黑体" w:cs="宋体"/>
          <w:bCs/>
          <w:kern w:val="0"/>
          <w:sz w:val="32"/>
          <w:szCs w:val="32"/>
        </w:rPr>
        <w:t>四、《财政拨款收入支出决算总表》</w:t>
      </w:r>
      <w:bookmarkEnd w:id="44"/>
      <w:bookmarkEnd w:id="45"/>
    </w:p>
    <w:p w14:paraId="4ECA8A2A">
      <w:pPr>
        <w:ind w:firstLine="640" w:firstLineChars="200"/>
        <w:outlineLvl w:val="1"/>
        <w:rPr>
          <w:rFonts w:ascii="黑体" w:hAnsi="黑体" w:eastAsia="黑体" w:cs="宋体"/>
          <w:bCs/>
          <w:kern w:val="0"/>
          <w:sz w:val="32"/>
          <w:szCs w:val="32"/>
        </w:rPr>
      </w:pPr>
      <w:bookmarkStart w:id="46" w:name="_Toc14869"/>
      <w:bookmarkStart w:id="47" w:name="_Toc10347"/>
      <w:r>
        <w:rPr>
          <w:rFonts w:hint="eastAsia" w:ascii="黑体" w:hAnsi="黑体" w:eastAsia="黑体" w:cs="宋体"/>
          <w:bCs/>
          <w:kern w:val="0"/>
          <w:sz w:val="32"/>
          <w:szCs w:val="32"/>
        </w:rPr>
        <w:t>五、《一般公共预算财政拨款支出决算表》</w:t>
      </w:r>
      <w:bookmarkEnd w:id="46"/>
      <w:bookmarkEnd w:id="47"/>
    </w:p>
    <w:p w14:paraId="5E6C8B57">
      <w:pPr>
        <w:ind w:firstLine="640" w:firstLineChars="200"/>
        <w:outlineLvl w:val="1"/>
        <w:rPr>
          <w:rFonts w:ascii="黑体" w:hAnsi="黑体" w:eastAsia="黑体" w:cs="宋体"/>
          <w:bCs/>
          <w:kern w:val="0"/>
          <w:sz w:val="32"/>
          <w:szCs w:val="32"/>
        </w:rPr>
      </w:pPr>
      <w:bookmarkStart w:id="48" w:name="_Toc5626"/>
      <w:bookmarkStart w:id="49" w:name="_Toc8884"/>
      <w:r>
        <w:rPr>
          <w:rFonts w:hint="eastAsia" w:ascii="黑体" w:hAnsi="黑体" w:eastAsia="黑体" w:cs="宋体"/>
          <w:bCs/>
          <w:kern w:val="0"/>
          <w:sz w:val="32"/>
          <w:szCs w:val="32"/>
        </w:rPr>
        <w:t>六、《一般公共预算财政拨款基本支出决算表》</w:t>
      </w:r>
      <w:bookmarkEnd w:id="48"/>
      <w:bookmarkEnd w:id="49"/>
    </w:p>
    <w:p w14:paraId="0D60E92C">
      <w:pPr>
        <w:ind w:firstLine="640" w:firstLineChars="200"/>
        <w:outlineLvl w:val="1"/>
        <w:rPr>
          <w:rFonts w:ascii="黑体" w:hAnsi="黑体" w:eastAsia="黑体" w:cs="宋体"/>
          <w:bCs/>
          <w:kern w:val="0"/>
          <w:sz w:val="32"/>
          <w:szCs w:val="32"/>
        </w:rPr>
      </w:pPr>
      <w:bookmarkStart w:id="50" w:name="_Toc32663"/>
      <w:bookmarkStart w:id="51" w:name="_Toc29106"/>
      <w:r>
        <w:rPr>
          <w:rFonts w:hint="eastAsia" w:ascii="黑体" w:hAnsi="黑体" w:eastAsia="黑体" w:cs="宋体"/>
          <w:bCs/>
          <w:kern w:val="0"/>
          <w:sz w:val="32"/>
          <w:szCs w:val="32"/>
        </w:rPr>
        <w:t>七、《一般公共预算财政拨款“三公”经费支出决算表》</w:t>
      </w:r>
      <w:bookmarkEnd w:id="50"/>
      <w:bookmarkEnd w:id="51"/>
    </w:p>
    <w:p w14:paraId="210974F7">
      <w:pPr>
        <w:ind w:firstLine="640" w:firstLineChars="200"/>
        <w:outlineLvl w:val="1"/>
        <w:rPr>
          <w:rFonts w:ascii="黑体" w:hAnsi="黑体" w:eastAsia="黑体" w:cs="宋体"/>
          <w:bCs/>
          <w:kern w:val="0"/>
          <w:sz w:val="32"/>
          <w:szCs w:val="32"/>
        </w:rPr>
      </w:pPr>
      <w:bookmarkStart w:id="52" w:name="_Toc5453"/>
      <w:bookmarkStart w:id="53" w:name="_Toc7643"/>
      <w:r>
        <w:rPr>
          <w:rFonts w:hint="eastAsia" w:ascii="黑体" w:hAnsi="黑体" w:eastAsia="黑体" w:cs="宋体"/>
          <w:bCs/>
          <w:kern w:val="0"/>
          <w:sz w:val="32"/>
          <w:szCs w:val="32"/>
        </w:rPr>
        <w:t>八、《政府性基金预算财政拨款收入支出决算表》</w:t>
      </w:r>
      <w:bookmarkEnd w:id="52"/>
      <w:bookmarkEnd w:id="53"/>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2000000000000000000"/>
    <w:charset w:val="86"/>
    <w:family w:val="script"/>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13E4E1">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14:paraId="79FE69BA">
                          <w:pPr>
                            <w:pStyle w:val="4"/>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OqXm5zwAAAAUBAAAPAAAAAAAAAAEAIAAAACIAAABkcnMvZG93bnJldi54&#10;bWxQSwECFAAUAAAACACHTuJA5STQfgMCAAAEBAAADgAAAAAAAAABACAAAAAeAQAAZHJzL2Uyb0Rv&#10;Yy54bWxQSwUGAAAAAAYABgBZAQAAkwUAAAAA&#10;">
              <v:fill on="f" focussize="0,0"/>
              <v:stroke on="f"/>
              <v:imagedata o:title=""/>
              <o:lock v:ext="edit" aspectratio="f"/>
              <v:textbox inset="0mm,0mm,0mm,0mm" style="mso-fit-shape-to-text:t;">
                <w:txbxContent>
                  <w:p w14:paraId="79FE69BA">
                    <w:pPr>
                      <w:pStyle w:val="4"/>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comments"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M0OTJiNTc2YmY5ZGJiM2ZlOGNiZjNmOWMwZDUyNDQifQ=="/>
  </w:docVars>
  <w:rsids>
    <w:rsidRoot w:val="001C6E66"/>
    <w:rsid w:val="000033EF"/>
    <w:rsid w:val="00004533"/>
    <w:rsid w:val="00005A21"/>
    <w:rsid w:val="000151C5"/>
    <w:rsid w:val="0004063C"/>
    <w:rsid w:val="000701A7"/>
    <w:rsid w:val="00082456"/>
    <w:rsid w:val="000A663A"/>
    <w:rsid w:val="000B5514"/>
    <w:rsid w:val="000B57B8"/>
    <w:rsid w:val="000B69AB"/>
    <w:rsid w:val="000F01B7"/>
    <w:rsid w:val="000F6705"/>
    <w:rsid w:val="001111D4"/>
    <w:rsid w:val="001128A8"/>
    <w:rsid w:val="001130AE"/>
    <w:rsid w:val="001237CF"/>
    <w:rsid w:val="00125A6F"/>
    <w:rsid w:val="0014029C"/>
    <w:rsid w:val="00144642"/>
    <w:rsid w:val="00146FA3"/>
    <w:rsid w:val="001573AA"/>
    <w:rsid w:val="00162E66"/>
    <w:rsid w:val="00170E04"/>
    <w:rsid w:val="001826D1"/>
    <w:rsid w:val="001848EE"/>
    <w:rsid w:val="00186B3B"/>
    <w:rsid w:val="001C2D35"/>
    <w:rsid w:val="001C5BE8"/>
    <w:rsid w:val="001C6E66"/>
    <w:rsid w:val="001D3634"/>
    <w:rsid w:val="001D37EF"/>
    <w:rsid w:val="001E4D79"/>
    <w:rsid w:val="001F29A9"/>
    <w:rsid w:val="001F777A"/>
    <w:rsid w:val="002122DE"/>
    <w:rsid w:val="00227229"/>
    <w:rsid w:val="002328AF"/>
    <w:rsid w:val="00233021"/>
    <w:rsid w:val="0024217C"/>
    <w:rsid w:val="00243E6C"/>
    <w:rsid w:val="00246EBC"/>
    <w:rsid w:val="00265F92"/>
    <w:rsid w:val="00272845"/>
    <w:rsid w:val="00282550"/>
    <w:rsid w:val="00287829"/>
    <w:rsid w:val="0029171A"/>
    <w:rsid w:val="00292B7F"/>
    <w:rsid w:val="00292C0A"/>
    <w:rsid w:val="002B072F"/>
    <w:rsid w:val="002B37DA"/>
    <w:rsid w:val="002B7A04"/>
    <w:rsid w:val="002D187F"/>
    <w:rsid w:val="002F1732"/>
    <w:rsid w:val="003106FF"/>
    <w:rsid w:val="0031566D"/>
    <w:rsid w:val="00327986"/>
    <w:rsid w:val="003314E6"/>
    <w:rsid w:val="00340AE7"/>
    <w:rsid w:val="00354737"/>
    <w:rsid w:val="0037159F"/>
    <w:rsid w:val="00377EC6"/>
    <w:rsid w:val="003920B8"/>
    <w:rsid w:val="003A44F0"/>
    <w:rsid w:val="003C3EF4"/>
    <w:rsid w:val="003D1DD1"/>
    <w:rsid w:val="003E5F70"/>
    <w:rsid w:val="003F60E1"/>
    <w:rsid w:val="00400D8F"/>
    <w:rsid w:val="004161A5"/>
    <w:rsid w:val="00430E56"/>
    <w:rsid w:val="004318F5"/>
    <w:rsid w:val="00456820"/>
    <w:rsid w:val="00471387"/>
    <w:rsid w:val="00471BBD"/>
    <w:rsid w:val="0047268F"/>
    <w:rsid w:val="00472AFC"/>
    <w:rsid w:val="004A41CF"/>
    <w:rsid w:val="004A44C9"/>
    <w:rsid w:val="004B2E7F"/>
    <w:rsid w:val="004B3B3F"/>
    <w:rsid w:val="004D35C0"/>
    <w:rsid w:val="004E519F"/>
    <w:rsid w:val="004F1D2D"/>
    <w:rsid w:val="004F506B"/>
    <w:rsid w:val="00531503"/>
    <w:rsid w:val="00534ECA"/>
    <w:rsid w:val="005358C2"/>
    <w:rsid w:val="005474EB"/>
    <w:rsid w:val="005506DD"/>
    <w:rsid w:val="005529D0"/>
    <w:rsid w:val="00553FB5"/>
    <w:rsid w:val="00554A58"/>
    <w:rsid w:val="00560394"/>
    <w:rsid w:val="0056525F"/>
    <w:rsid w:val="005B1DE6"/>
    <w:rsid w:val="005C11EB"/>
    <w:rsid w:val="006032AE"/>
    <w:rsid w:val="00684E46"/>
    <w:rsid w:val="0068591E"/>
    <w:rsid w:val="00690F22"/>
    <w:rsid w:val="00693012"/>
    <w:rsid w:val="006B0B73"/>
    <w:rsid w:val="006D2B94"/>
    <w:rsid w:val="006D3853"/>
    <w:rsid w:val="006E0721"/>
    <w:rsid w:val="0070295D"/>
    <w:rsid w:val="00725755"/>
    <w:rsid w:val="0075023C"/>
    <w:rsid w:val="00750D8A"/>
    <w:rsid w:val="00764051"/>
    <w:rsid w:val="00772611"/>
    <w:rsid w:val="007741F8"/>
    <w:rsid w:val="007B0022"/>
    <w:rsid w:val="007E2E4F"/>
    <w:rsid w:val="007E3BFD"/>
    <w:rsid w:val="00807B4B"/>
    <w:rsid w:val="008144CF"/>
    <w:rsid w:val="00822EED"/>
    <w:rsid w:val="00827663"/>
    <w:rsid w:val="00847CE1"/>
    <w:rsid w:val="00852D88"/>
    <w:rsid w:val="00857132"/>
    <w:rsid w:val="00862395"/>
    <w:rsid w:val="008853A8"/>
    <w:rsid w:val="00887778"/>
    <w:rsid w:val="008A54C1"/>
    <w:rsid w:val="008D5B57"/>
    <w:rsid w:val="008F7D99"/>
    <w:rsid w:val="0090080D"/>
    <w:rsid w:val="00922FA7"/>
    <w:rsid w:val="00927301"/>
    <w:rsid w:val="009351E1"/>
    <w:rsid w:val="0094423A"/>
    <w:rsid w:val="0095219B"/>
    <w:rsid w:val="00963E2E"/>
    <w:rsid w:val="009774AD"/>
    <w:rsid w:val="00980F6F"/>
    <w:rsid w:val="00993788"/>
    <w:rsid w:val="009A173F"/>
    <w:rsid w:val="009C479E"/>
    <w:rsid w:val="009F4245"/>
    <w:rsid w:val="009F594D"/>
    <w:rsid w:val="00A009B3"/>
    <w:rsid w:val="00A239E7"/>
    <w:rsid w:val="00A34EDA"/>
    <w:rsid w:val="00A77ECE"/>
    <w:rsid w:val="00AA13D0"/>
    <w:rsid w:val="00AC0B18"/>
    <w:rsid w:val="00AC1D87"/>
    <w:rsid w:val="00AC2605"/>
    <w:rsid w:val="00AE136F"/>
    <w:rsid w:val="00AE6C82"/>
    <w:rsid w:val="00AE7A56"/>
    <w:rsid w:val="00AF0871"/>
    <w:rsid w:val="00AF530E"/>
    <w:rsid w:val="00AF5DFE"/>
    <w:rsid w:val="00B006E5"/>
    <w:rsid w:val="00B24234"/>
    <w:rsid w:val="00B3219F"/>
    <w:rsid w:val="00B42062"/>
    <w:rsid w:val="00B64D13"/>
    <w:rsid w:val="00B76725"/>
    <w:rsid w:val="00BC38D2"/>
    <w:rsid w:val="00BC65E4"/>
    <w:rsid w:val="00BE0A9F"/>
    <w:rsid w:val="00BF4880"/>
    <w:rsid w:val="00C01003"/>
    <w:rsid w:val="00C2317E"/>
    <w:rsid w:val="00C87860"/>
    <w:rsid w:val="00C92609"/>
    <w:rsid w:val="00C974A0"/>
    <w:rsid w:val="00CA0969"/>
    <w:rsid w:val="00CB7A14"/>
    <w:rsid w:val="00CC66CE"/>
    <w:rsid w:val="00CD1E0A"/>
    <w:rsid w:val="00CE40E2"/>
    <w:rsid w:val="00CE4AEB"/>
    <w:rsid w:val="00CE74CB"/>
    <w:rsid w:val="00D00B68"/>
    <w:rsid w:val="00D04E19"/>
    <w:rsid w:val="00D6644C"/>
    <w:rsid w:val="00D71F68"/>
    <w:rsid w:val="00D767F4"/>
    <w:rsid w:val="00DA07A0"/>
    <w:rsid w:val="00DB4A9A"/>
    <w:rsid w:val="00DB6F81"/>
    <w:rsid w:val="00DD3B82"/>
    <w:rsid w:val="00E02851"/>
    <w:rsid w:val="00E43F43"/>
    <w:rsid w:val="00E76594"/>
    <w:rsid w:val="00EA656B"/>
    <w:rsid w:val="00EB1FF2"/>
    <w:rsid w:val="00EB42AF"/>
    <w:rsid w:val="00EB49C8"/>
    <w:rsid w:val="00EE3598"/>
    <w:rsid w:val="00EE791B"/>
    <w:rsid w:val="00EF3292"/>
    <w:rsid w:val="00F040C7"/>
    <w:rsid w:val="00F04DC0"/>
    <w:rsid w:val="00F24BA1"/>
    <w:rsid w:val="00F45607"/>
    <w:rsid w:val="00F552F7"/>
    <w:rsid w:val="00F57EE2"/>
    <w:rsid w:val="00F67C07"/>
    <w:rsid w:val="00F777E1"/>
    <w:rsid w:val="00F80266"/>
    <w:rsid w:val="00F83E19"/>
    <w:rsid w:val="00FB3828"/>
    <w:rsid w:val="00FC7A52"/>
    <w:rsid w:val="00FE0761"/>
    <w:rsid w:val="00FF5166"/>
    <w:rsid w:val="06792773"/>
    <w:rsid w:val="1DAF458D"/>
    <w:rsid w:val="1E571211"/>
    <w:rsid w:val="2A053397"/>
    <w:rsid w:val="2D1136DF"/>
    <w:rsid w:val="31C63837"/>
    <w:rsid w:val="3D5275AC"/>
    <w:rsid w:val="46901EEE"/>
    <w:rsid w:val="469C74D2"/>
    <w:rsid w:val="50DB5F45"/>
    <w:rsid w:val="69AD798C"/>
    <w:rsid w:val="6B68175F"/>
    <w:rsid w:val="73FB6630"/>
    <w:rsid w:val="77ED6F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4412</Words>
  <Characters>4761</Characters>
  <Lines>40</Lines>
  <Paragraphs>11</Paragraphs>
  <TotalTime>11</TotalTime>
  <ScaleCrop>false</ScaleCrop>
  <LinksUpToDate>false</LinksUpToDate>
  <CharactersWithSpaces>4785</CharactersWithSpaces>
  <Application>WPS Office_12.1.0.18276_F1E327BC-269C-435d-A152-05C5408002CA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2020-09-08T14:04:00Z</dcterms:created>
  <dc:creator>GXR</dc:creator>
  <cp:lastModifiedBy>Administrator</cp:lastModifiedBy>
  <dcterms:modified xsi:type="dcterms:W3CDTF">2024-10-08T03:16:00Z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BBCFAD78BCA24F6589BCD305A046CA5F_12</vt:lpwstr>
  </property>
</Properties>
</file>