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600" w:lineRule="atLeast"/>
        <w:jc w:val="center"/>
        <w:rPr>
          <w:rFonts w:ascii="方正小标宋简体" w:eastAsia="方正小标宋简体"/>
          <w:sz w:val="44"/>
          <w:szCs w:val="44"/>
        </w:rPr>
      </w:pPr>
      <w:bookmarkStart w:id="8" w:name="_GoBack"/>
      <w:bookmarkEnd w:id="8"/>
    </w:p>
    <w:p>
      <w:pPr>
        <w:spacing w:beforeLines="50" w:line="600" w:lineRule="atLeast"/>
        <w:jc w:val="center"/>
        <w:rPr>
          <w:rFonts w:ascii="方正小标宋简体" w:eastAsia="方正小标宋简体"/>
          <w:sz w:val="44"/>
          <w:szCs w:val="44"/>
        </w:rPr>
      </w:pPr>
    </w:p>
    <w:p>
      <w:pPr>
        <w:spacing w:beforeLines="50" w:line="600" w:lineRule="atLeast"/>
        <w:jc w:val="center"/>
        <w:rPr>
          <w:rFonts w:ascii="方正小标宋简体" w:eastAsia="方正小标宋简体"/>
          <w:sz w:val="52"/>
          <w:szCs w:val="52"/>
        </w:rPr>
      </w:pPr>
      <w:r>
        <w:rPr>
          <w:rFonts w:hint="eastAsia" w:ascii="方正小标宋简体" w:eastAsia="方正小标宋简体"/>
          <w:sz w:val="44"/>
          <w:szCs w:val="44"/>
        </w:rPr>
        <w:t>中国共产党新疆维吾尔自治区喀什地区委员会党校生专项经费项目支出绩效评价报告</w:t>
      </w:r>
    </w:p>
    <w:p>
      <w:pPr>
        <w:spacing w:beforeLines="50" w:line="600" w:lineRule="atLeast"/>
        <w:jc w:val="center"/>
        <w:rPr>
          <w:rFonts w:ascii="方正小标宋简体" w:eastAsia="方正小标宋简体"/>
          <w:sz w:val="52"/>
          <w:szCs w:val="52"/>
        </w:rPr>
      </w:pPr>
    </w:p>
    <w:p>
      <w:pPr>
        <w:spacing w:beforeLines="50" w:line="600" w:lineRule="atLeast"/>
        <w:jc w:val="center"/>
        <w:rPr>
          <w:rFonts w:ascii="方正小标宋简体" w:eastAsia="方正小标宋简体"/>
          <w:sz w:val="52"/>
          <w:szCs w:val="52"/>
        </w:rPr>
      </w:pPr>
    </w:p>
    <w:p>
      <w:pPr>
        <w:spacing w:beforeLines="50" w:line="600" w:lineRule="atLeast"/>
        <w:jc w:val="center"/>
        <w:rPr>
          <w:rFonts w:ascii="方正小标宋简体" w:eastAsia="方正小标宋简体"/>
          <w:sz w:val="52"/>
          <w:szCs w:val="52"/>
        </w:rPr>
      </w:pPr>
    </w:p>
    <w:p>
      <w:pPr>
        <w:autoSpaceDE w:val="0"/>
        <w:autoSpaceDN w:val="0"/>
        <w:spacing w:line="600" w:lineRule="atLeas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项目名称：生专项经费</w:t>
      </w:r>
    </w:p>
    <w:p>
      <w:pPr>
        <w:autoSpaceDE w:val="0"/>
        <w:autoSpaceDN w:val="0"/>
        <w:spacing w:line="600" w:lineRule="atLeas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实施单位：中国共产党新疆维吾尔自治区喀什地区委员会党校</w:t>
      </w:r>
    </w:p>
    <w:p>
      <w:pPr>
        <w:autoSpaceDE w:val="0"/>
        <w:autoSpaceDN w:val="0"/>
        <w:spacing w:line="600" w:lineRule="atLeas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评价部门：中国共产党新疆维吾尔自治区喀什地区委员会党校</w:t>
      </w:r>
    </w:p>
    <w:p>
      <w:pPr>
        <w:autoSpaceDE w:val="0"/>
        <w:autoSpaceDN w:val="0"/>
        <w:spacing w:line="600" w:lineRule="atLeast"/>
        <w:ind w:firstLine="712" w:firstLineChars="200"/>
        <w:rPr>
          <w:rFonts w:ascii="仿宋_GB2312" w:hAnsi="仿宋" w:eastAsia="仿宋_GB2312" w:cs="Times New Roman"/>
          <w:spacing w:val="-2"/>
          <w:sz w:val="36"/>
          <w:szCs w:val="36"/>
        </w:rPr>
      </w:pPr>
    </w:p>
    <w:p>
      <w:pPr>
        <w:autoSpaceDE w:val="0"/>
        <w:autoSpaceDN w:val="0"/>
        <w:spacing w:line="600" w:lineRule="atLeast"/>
        <w:ind w:firstLine="712" w:firstLineChars="200"/>
        <w:rPr>
          <w:rFonts w:ascii="仿宋_GB2312" w:hAnsi="仿宋" w:eastAsia="仿宋_GB2312" w:cs="Times New Roman"/>
          <w:spacing w:val="-2"/>
          <w:sz w:val="36"/>
          <w:szCs w:val="36"/>
        </w:rPr>
      </w:pPr>
    </w:p>
    <w:p>
      <w:pPr>
        <w:autoSpaceDE w:val="0"/>
        <w:autoSpaceDN w:val="0"/>
        <w:spacing w:line="600" w:lineRule="atLeast"/>
        <w:ind w:firstLine="712" w:firstLineChars="200"/>
        <w:rPr>
          <w:rFonts w:ascii="仿宋_GB2312" w:hAnsi="仿宋" w:eastAsia="仿宋_GB2312" w:cs="Times New Roman"/>
          <w:spacing w:val="-2"/>
          <w:sz w:val="36"/>
          <w:szCs w:val="36"/>
        </w:rPr>
      </w:pPr>
    </w:p>
    <w:p>
      <w:pPr>
        <w:autoSpaceDE w:val="0"/>
        <w:autoSpaceDN w:val="0"/>
        <w:spacing w:line="600" w:lineRule="atLeast"/>
        <w:ind w:firstLine="2136" w:firstLineChars="600"/>
        <w:rPr>
          <w:rFonts w:ascii="仿宋_GB2312" w:hAnsi="仿宋" w:eastAsia="仿宋_GB2312" w:cs="Times New Roman"/>
          <w:spacing w:val="-2"/>
          <w:sz w:val="36"/>
          <w:szCs w:val="36"/>
        </w:rPr>
      </w:pPr>
    </w:p>
    <w:p>
      <w:pPr>
        <w:autoSpaceDE w:val="0"/>
        <w:autoSpaceDN w:val="0"/>
        <w:spacing w:line="600" w:lineRule="atLeas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Lines="50" w:line="600" w:lineRule="atLeast"/>
        <w:jc w:val="left"/>
        <w:rPr>
          <w:sz w:val="28"/>
          <w:szCs w:val="28"/>
        </w:rPr>
      </w:pPr>
    </w:p>
    <w:p>
      <w:pPr>
        <w:spacing w:beforeLines="50" w:afterLines="50" w:line="600" w:lineRule="atLeast"/>
        <w:jc w:val="center"/>
        <w:rPr>
          <w:rFonts w:ascii="方正小标宋简体" w:hAnsi="仿宋_GB2312" w:eastAsia="方正小标宋简体" w:cs="仿宋_GB2312"/>
          <w:color w:val="FF0000"/>
          <w:kern w:val="0"/>
          <w:sz w:val="44"/>
          <w:szCs w:val="44"/>
          <w:shd w:val="clear" w:color="auto" w:fill="FFFFFF"/>
        </w:rPr>
      </w:pPr>
    </w:p>
    <w:p>
      <w:pPr>
        <w:spacing w:beforeLines="50" w:afterLines="50" w:line="600" w:lineRule="atLeast"/>
        <w:jc w:val="center"/>
        <w:rPr>
          <w:rFonts w:ascii="方正小标宋简体" w:hAnsi="仿宋_GB2312" w:eastAsia="方正小标宋简体" w:cs="仿宋_GB2312"/>
          <w:color w:val="FF0000"/>
          <w:kern w:val="0"/>
          <w:sz w:val="44"/>
          <w:szCs w:val="44"/>
          <w:shd w:val="clear" w:color="auto" w:fill="FFFFFF"/>
        </w:rPr>
      </w:pPr>
    </w:p>
    <w:p>
      <w:pPr>
        <w:pStyle w:val="21"/>
        <w:numPr>
          <w:ilvl w:val="0"/>
          <w:numId w:val="2"/>
        </w:numPr>
        <w:spacing w:line="600" w:lineRule="atLeast"/>
        <w:ind w:firstLineChars="0"/>
      </w:pPr>
      <w:r>
        <w:rPr>
          <w:rFonts w:hint="eastAsia"/>
        </w:rPr>
        <w:t>基本情况</w:t>
      </w:r>
    </w:p>
    <w:p>
      <w:pPr>
        <w:pStyle w:val="23"/>
        <w:spacing w:line="600" w:lineRule="atLeast"/>
        <w:ind w:left="0" w:firstLine="643" w:firstLineChars="200"/>
      </w:pPr>
      <w:bookmarkStart w:id="0" w:name="_Toc26401549"/>
      <w:r>
        <w:rPr>
          <w:rFonts w:hint="eastAsia"/>
        </w:rPr>
        <w:t>项目概况</w:t>
      </w:r>
      <w:bookmarkEnd w:id="0"/>
    </w:p>
    <w:p>
      <w:pPr>
        <w:pStyle w:val="17"/>
        <w:numPr>
          <w:ilvl w:val="0"/>
          <w:numId w:val="3"/>
        </w:numPr>
        <w:spacing w:beforeLines="50" w:line="600" w:lineRule="atLeast"/>
        <w:ind w:firstLineChars="0"/>
        <w:rPr>
          <w:rFonts w:ascii="仿宋_GB2312" w:hAnsi="仿宋" w:eastAsia="仿宋_GB2312" w:cs="宋体"/>
          <w:sz w:val="32"/>
          <w:szCs w:val="32"/>
        </w:rPr>
      </w:pPr>
      <w:r>
        <w:rPr>
          <w:rFonts w:hint="eastAsia" w:ascii="仿宋_GB2312" w:hAnsi="仿宋" w:eastAsia="仿宋_GB2312" w:cs="宋体"/>
          <w:sz w:val="32"/>
          <w:szCs w:val="32"/>
        </w:rPr>
        <w:t>项目背景及立项依据</w:t>
      </w:r>
    </w:p>
    <w:p>
      <w:pPr>
        <w:spacing w:beforeLines="50" w:line="600" w:lineRule="atLeast"/>
        <w:ind w:firstLine="645"/>
        <w:rPr>
          <w:rFonts w:ascii="仿宋_GB2312" w:hAnsi="仿宋" w:eastAsia="仿宋_GB2312" w:cs="宋体"/>
          <w:bCs/>
          <w:sz w:val="32"/>
          <w:szCs w:val="32"/>
        </w:rPr>
      </w:pPr>
      <w:r>
        <w:rPr>
          <w:rFonts w:hint="eastAsia" w:ascii="仿宋_GB2312" w:hAnsi="仿宋" w:eastAsia="仿宋_GB2312" w:cs="宋体"/>
          <w:sz w:val="32"/>
          <w:szCs w:val="32"/>
        </w:rPr>
        <w:t>本项目根据自治区、地区关于做好新生工作的要求立项，旨在通过该项目的实施，</w:t>
      </w:r>
      <w:r>
        <w:rPr>
          <w:rFonts w:hint="eastAsia" w:ascii="仿宋_GB2312" w:hAnsi="仿宋" w:eastAsia="仿宋_GB2312" w:cs="宋体"/>
          <w:bCs/>
          <w:sz w:val="32"/>
          <w:szCs w:val="32"/>
        </w:rPr>
        <w:t>提升生综合能力，改善喀什干部队伍结构。</w:t>
      </w:r>
    </w:p>
    <w:p>
      <w:pPr>
        <w:pStyle w:val="17"/>
        <w:numPr>
          <w:ilvl w:val="0"/>
          <w:numId w:val="3"/>
        </w:numPr>
        <w:spacing w:beforeLines="50" w:line="600" w:lineRule="atLeast"/>
        <w:ind w:firstLineChars="0"/>
        <w:rPr>
          <w:rFonts w:ascii="仿宋_GB2312" w:hAnsi="仿宋" w:eastAsia="仿宋_GB2312" w:cs="宋体"/>
          <w:sz w:val="32"/>
          <w:szCs w:val="32"/>
        </w:rPr>
      </w:pPr>
      <w:r>
        <w:rPr>
          <w:rFonts w:hint="eastAsia" w:ascii="仿宋_GB2312" w:hAnsi="仿宋" w:eastAsia="仿宋_GB2312" w:cs="宋体"/>
          <w:sz w:val="32"/>
          <w:szCs w:val="32"/>
        </w:rPr>
        <w:t>项目主要内容及实施情况</w:t>
      </w:r>
    </w:p>
    <w:p>
      <w:pPr>
        <w:spacing w:line="600" w:lineRule="atLeast"/>
        <w:ind w:firstLine="640" w:firstLineChars="200"/>
        <w:jc w:val="left"/>
        <w:rPr>
          <w:rFonts w:ascii="仿宋_GB2312" w:hAnsi="仿宋_GB2312" w:eastAsia="仿宋_GB2312" w:cs="仿宋_GB2312"/>
          <w:kern w:val="0"/>
          <w:sz w:val="32"/>
          <w:szCs w:val="32"/>
        </w:rPr>
      </w:pPr>
      <w:r>
        <w:rPr>
          <w:rFonts w:hint="eastAsia" w:ascii="仿宋_GB2312" w:hAnsi="仿宋" w:eastAsia="仿宋_GB2312" w:cs="宋体"/>
          <w:bCs/>
          <w:sz w:val="32"/>
          <w:szCs w:val="32"/>
        </w:rPr>
        <w:t>该项目经费属于非建设类项目，是生日常开支，无需招标，由本单位自行组织实施。</w:t>
      </w:r>
      <w:r>
        <w:rPr>
          <w:rFonts w:hint="eastAsia" w:ascii="仿宋_GB2312" w:hAnsi="仿宋_GB2312" w:eastAsia="仿宋_GB2312" w:cs="仿宋_GB2312"/>
          <w:kern w:val="0"/>
          <w:sz w:val="32"/>
          <w:szCs w:val="32"/>
        </w:rPr>
        <w:t>项目实施过程中，喀什地委党校建立了财务制度保障项目的顺利实施。项目的实施遵守相关法律法规和业务管理规定，项目资料齐全并及时归档。同时建立了日常检查监督机制，不定期对项目进度情况进行督导检查，对检查过程中发现的问题及时督促整改，确保了项目按时保质完成。</w:t>
      </w:r>
    </w:p>
    <w:p>
      <w:pPr>
        <w:pStyle w:val="23"/>
        <w:spacing w:line="600" w:lineRule="atLeast"/>
        <w:ind w:left="0" w:firstLine="643" w:firstLineChars="200"/>
      </w:pPr>
      <w:bookmarkStart w:id="1" w:name="_Toc26401550"/>
      <w:r>
        <w:rPr>
          <w:rFonts w:hint="eastAsia"/>
        </w:rPr>
        <w:t>资金</w:t>
      </w:r>
      <w:bookmarkEnd w:id="1"/>
      <w:r>
        <w:rPr>
          <w:rFonts w:hint="eastAsia"/>
        </w:rPr>
        <w:t>投入和使用情况</w:t>
      </w:r>
    </w:p>
    <w:p>
      <w:pPr>
        <w:spacing w:beforeLines="50" w:line="600" w:lineRule="atLeast"/>
        <w:ind w:firstLine="645"/>
        <w:rPr>
          <w:rFonts w:ascii="仿宋_GB2312" w:hAnsi="仿宋" w:eastAsia="仿宋_GB2312" w:cs="宋体"/>
          <w:color w:val="FF0000"/>
          <w:sz w:val="32"/>
          <w:szCs w:val="32"/>
        </w:rPr>
      </w:pPr>
      <w:r>
        <w:rPr>
          <w:rFonts w:hint="eastAsia" w:ascii="仿宋_GB2312" w:hAnsi="仿宋" w:eastAsia="仿宋_GB2312" w:cs="宋体"/>
          <w:sz w:val="32"/>
          <w:szCs w:val="32"/>
        </w:rPr>
        <w:t>本项目总投资191188.05元，资金来源为地区专项资金191188.05元。</w:t>
      </w:r>
    </w:p>
    <w:p>
      <w:pPr>
        <w:spacing w:beforeLines="50" w:line="600" w:lineRule="atLeast"/>
        <w:ind w:firstLine="645"/>
        <w:rPr>
          <w:rFonts w:ascii="仿宋_GB2312" w:hAnsi="仿宋" w:eastAsia="仿宋_GB2312" w:cs="宋体"/>
          <w:sz w:val="32"/>
          <w:szCs w:val="32"/>
        </w:rPr>
      </w:pPr>
      <w:r>
        <w:rPr>
          <w:rFonts w:hint="eastAsia" w:ascii="仿宋_GB2312" w:hAnsi="仿宋" w:eastAsia="仿宋_GB2312" w:cs="宋体"/>
          <w:sz w:val="32"/>
          <w:szCs w:val="32"/>
        </w:rPr>
        <w:t>生专项资金的使用范围：用于新生日常培训费用（伙食费、教材费、住宿费、活动费等）。</w:t>
      </w:r>
    </w:p>
    <w:p>
      <w:pPr>
        <w:spacing w:beforeLines="50" w:line="600" w:lineRule="atLeast"/>
        <w:ind w:firstLine="645"/>
        <w:rPr>
          <w:rFonts w:ascii="仿宋_GB2312" w:hAnsi="仿宋" w:eastAsia="仿宋_GB2312" w:cs="宋体"/>
          <w:sz w:val="32"/>
          <w:szCs w:val="32"/>
        </w:rPr>
      </w:pPr>
      <w:r>
        <w:rPr>
          <w:rFonts w:hint="eastAsia" w:ascii="仿宋_GB2312" w:hAnsi="仿宋" w:eastAsia="仿宋_GB2312" w:cs="宋体"/>
          <w:sz w:val="32"/>
          <w:szCs w:val="32"/>
        </w:rPr>
        <w:t>喀什地委党校制定了生专项资金管理办法，按照自治区、地区生文件进行使用。</w:t>
      </w:r>
    </w:p>
    <w:p>
      <w:pPr>
        <w:pStyle w:val="23"/>
        <w:spacing w:line="600" w:lineRule="atLeast"/>
        <w:ind w:left="0" w:firstLine="643" w:firstLineChars="200"/>
      </w:pPr>
      <w:bookmarkStart w:id="2" w:name="_Toc26401551"/>
      <w:r>
        <w:rPr>
          <w:rFonts w:hint="eastAsia"/>
        </w:rPr>
        <w:t>绩效目标</w:t>
      </w:r>
      <w:bookmarkEnd w:id="2"/>
    </w:p>
    <w:p>
      <w:pPr>
        <w:spacing w:line="600" w:lineRule="atLeast"/>
        <w:ind w:firstLine="640" w:firstLineChars="200"/>
        <w:rPr>
          <w:rFonts w:ascii="仿宋_GB2312" w:hAnsi="仿宋_GB2312" w:eastAsia="仿宋_GB2312" w:cs="仿宋_GB2312"/>
          <w:kern w:val="0"/>
          <w:sz w:val="32"/>
          <w:szCs w:val="32"/>
        </w:rPr>
      </w:pPr>
      <w:r>
        <w:rPr>
          <w:rFonts w:hint="eastAsia" w:ascii="仿宋_GB2312" w:hAnsi="仿宋" w:eastAsia="仿宋_GB2312" w:cs="宋体"/>
          <w:sz w:val="32"/>
          <w:szCs w:val="32"/>
        </w:rPr>
        <w:t>总体目标为：</w:t>
      </w:r>
      <w:r>
        <w:rPr>
          <w:rFonts w:hint="eastAsia" w:ascii="仿宋_GB2312" w:hAnsi="仿宋_GB2312" w:eastAsia="仿宋_GB2312" w:cs="仿宋_GB2312"/>
          <w:kern w:val="0"/>
          <w:sz w:val="32"/>
          <w:szCs w:val="32"/>
        </w:rPr>
        <w:t>解决教职员工及培训学员经费问题，满足培训需求；保障生人数315名；所需住宿房间数量126间、教室数量8间；及时报销相关经费；生培训合格率大于等于97%；生培训能力逐步提升；逐步改善喀什干部队伍结构；培训学员满意率大于等于95%，群众满意率大于等于98%。</w:t>
      </w:r>
    </w:p>
    <w:p>
      <w:pPr>
        <w:spacing w:beforeLines="50" w:line="600" w:lineRule="atLeast"/>
        <w:ind w:firstLine="640" w:firstLineChars="200"/>
        <w:rPr>
          <w:rFonts w:ascii="仿宋_GB2312" w:hAnsi="仿宋" w:eastAsia="仿宋_GB2312" w:cs="宋体"/>
          <w:color w:val="FF0000"/>
          <w:sz w:val="32"/>
          <w:szCs w:val="32"/>
        </w:rPr>
      </w:pPr>
      <w:r>
        <w:rPr>
          <w:rFonts w:hint="eastAsia" w:ascii="仿宋_GB2312" w:hAnsi="仿宋" w:eastAsia="仿宋_GB2312" w:cs="宋体"/>
          <w:sz w:val="32"/>
          <w:szCs w:val="32"/>
        </w:rPr>
        <w:t>项目共设置</w:t>
      </w:r>
      <w:r>
        <w:rPr>
          <w:rFonts w:ascii="仿宋_GB2312" w:hAnsi="仿宋" w:eastAsia="仿宋_GB2312" w:cs="宋体"/>
          <w:sz w:val="32"/>
          <w:szCs w:val="32"/>
        </w:rPr>
        <w:t>1</w:t>
      </w:r>
      <w:r>
        <w:rPr>
          <w:rFonts w:hint="eastAsia" w:ascii="仿宋_GB2312" w:hAnsi="仿宋" w:eastAsia="仿宋_GB2312" w:cs="宋体"/>
          <w:sz w:val="32"/>
          <w:szCs w:val="32"/>
        </w:rPr>
        <w:t>级指标3个，二级指标</w:t>
      </w:r>
      <w:r>
        <w:rPr>
          <w:rFonts w:hint="eastAsia" w:ascii="仿宋_GB2312" w:hAnsi="仿宋" w:eastAsia="仿宋_GB2312" w:cs="宋体"/>
          <w:sz w:val="32"/>
          <w:szCs w:val="32"/>
          <w:lang w:val="en-US" w:eastAsia="zh-CN"/>
        </w:rPr>
        <w:t>7</w:t>
      </w:r>
      <w:r>
        <w:rPr>
          <w:rFonts w:hint="eastAsia" w:ascii="仿宋_GB2312" w:hAnsi="仿宋" w:eastAsia="仿宋_GB2312" w:cs="宋体"/>
          <w:sz w:val="32"/>
          <w:szCs w:val="32"/>
        </w:rPr>
        <w:t>个，三级指标10个，绩效目标申报表详见附件1。</w:t>
      </w:r>
    </w:p>
    <w:p>
      <w:pPr>
        <w:pStyle w:val="21"/>
        <w:numPr>
          <w:ilvl w:val="0"/>
          <w:numId w:val="2"/>
        </w:numPr>
        <w:spacing w:line="600" w:lineRule="atLeast"/>
        <w:ind w:firstLineChars="0"/>
      </w:pPr>
      <w:bookmarkStart w:id="3" w:name="_Toc26401552"/>
      <w:r>
        <w:rPr>
          <w:rFonts w:hint="eastAsia"/>
        </w:rPr>
        <w:t>评价工作简述</w:t>
      </w:r>
      <w:bookmarkEnd w:id="3"/>
    </w:p>
    <w:p>
      <w:pPr>
        <w:pStyle w:val="23"/>
        <w:numPr>
          <w:ilvl w:val="0"/>
          <w:numId w:val="4"/>
        </w:numPr>
        <w:spacing w:line="600" w:lineRule="atLeast"/>
        <w:ind w:left="0" w:firstLine="643" w:firstLineChars="200"/>
      </w:pPr>
      <w:bookmarkStart w:id="4" w:name="_Toc26401553"/>
      <w:r>
        <w:rPr>
          <w:rFonts w:hint="eastAsia"/>
        </w:rPr>
        <w:t>评价目的</w:t>
      </w:r>
      <w:bookmarkEnd w:id="4"/>
    </w:p>
    <w:p>
      <w:pPr>
        <w:adjustRightInd w:val="0"/>
        <w:snapToGrid w:val="0"/>
        <w:spacing w:line="600" w:lineRule="atLeast"/>
        <w:ind w:firstLine="640" w:firstLineChars="200"/>
        <w:rPr>
          <w:rFonts w:ascii="仿宋_GB2312" w:hAnsi="仿宋_GB2312" w:eastAsia="仿宋_GB2312" w:cs="仿宋_GB2312"/>
          <w:color w:val="000000" w:themeColor="text1"/>
          <w:spacing w:val="-4"/>
          <w:sz w:val="32"/>
          <w:szCs w:val="32"/>
        </w:rPr>
      </w:pPr>
      <w:r>
        <w:rPr>
          <w:rFonts w:hint="eastAsia" w:ascii="仿宋_GB2312" w:hAnsi="仿宋" w:eastAsia="仿宋_GB2312" w:cs="宋体"/>
          <w:sz w:val="32"/>
          <w:szCs w:val="32"/>
        </w:rPr>
        <w:t>本次绩效评价遵循财政部《项目</w:t>
      </w:r>
      <w:r>
        <w:rPr>
          <w:rFonts w:ascii="仿宋_GB2312" w:hAnsi="仿宋" w:eastAsia="仿宋_GB2312" w:cs="宋体"/>
          <w:sz w:val="32"/>
          <w:szCs w:val="32"/>
        </w:rPr>
        <w:t>支出绩效评价管理办法》（财预〔2020〕10号）</w:t>
      </w:r>
      <w:r>
        <w:rPr>
          <w:rFonts w:hint="eastAsia" w:ascii="仿宋_GB2312" w:hAnsi="仿宋" w:eastAsia="仿宋_GB2312" w:cs="宋体"/>
          <w:sz w:val="32"/>
          <w:szCs w:val="32"/>
        </w:rPr>
        <w:t>、</w:t>
      </w:r>
      <w:r>
        <w:rPr>
          <w:rFonts w:ascii="仿宋_GB2312" w:hAnsi="仿宋" w:eastAsia="仿宋_GB2312" w:cs="宋体"/>
          <w:sz w:val="32"/>
          <w:szCs w:val="32"/>
        </w:rPr>
        <w:t>自治区财政厅</w:t>
      </w:r>
      <w:r>
        <w:rPr>
          <w:rFonts w:hint="eastAsia" w:ascii="仿宋_GB2312" w:hAnsi="仿宋_GB2312" w:eastAsia="仿宋_GB2312" w:cs="仿宋_GB2312"/>
          <w:kern w:val="0"/>
          <w:sz w:val="32"/>
          <w:szCs w:val="32"/>
          <w:shd w:val="clear" w:color="auto" w:fill="FFFFFF"/>
        </w:rPr>
        <w:t>《自治区财政支出绩效评价管理暂行办法》（新财预〔</w:t>
      </w:r>
      <w:r>
        <w:rPr>
          <w:rFonts w:ascii="仿宋_GB2312" w:hAnsi="仿宋_GB2312" w:eastAsia="仿宋_GB2312" w:cs="仿宋_GB2312"/>
          <w:kern w:val="0"/>
          <w:sz w:val="32"/>
          <w:szCs w:val="32"/>
          <w:shd w:val="clear" w:color="auto" w:fill="FFFFFF"/>
        </w:rPr>
        <w:t>2018〕189号</w:t>
      </w:r>
      <w:r>
        <w:rPr>
          <w:rFonts w:hint="eastAsia" w:ascii="仿宋_GB2312" w:hAnsi="仿宋_GB2312" w:eastAsia="仿宋_GB2312" w:cs="仿宋_GB2312"/>
          <w:kern w:val="0"/>
          <w:sz w:val="32"/>
          <w:szCs w:val="32"/>
          <w:shd w:val="clear" w:color="auto" w:fill="FFFFFF"/>
        </w:rPr>
        <w:t>）、</w:t>
      </w:r>
      <w:r>
        <w:rPr>
          <w:rFonts w:ascii="仿宋_GB2312" w:hAnsi="仿宋_GB2312" w:eastAsia="仿宋_GB2312" w:cs="仿宋_GB2312"/>
          <w:kern w:val="0"/>
          <w:sz w:val="32"/>
          <w:szCs w:val="32"/>
          <w:shd w:val="clear" w:color="auto" w:fill="FFFFFF"/>
        </w:rPr>
        <w:t>《喀什地区财政支出绩效评价管理暂行办法》</w:t>
      </w:r>
      <w:r>
        <w:rPr>
          <w:rFonts w:hint="eastAsia" w:ascii="仿宋_GB2312" w:hAnsi="仿宋_GB2312" w:eastAsia="仿宋_GB2312" w:cs="仿宋_GB2312"/>
          <w:kern w:val="0"/>
          <w:sz w:val="32"/>
          <w:szCs w:val="32"/>
          <w:shd w:val="clear" w:color="auto" w:fill="FFFFFF"/>
        </w:rPr>
        <w:t>（</w:t>
      </w:r>
      <w:r>
        <w:rPr>
          <w:rFonts w:ascii="仿宋_GB2312" w:hAnsi="仿宋_GB2312" w:eastAsia="仿宋_GB2312" w:cs="仿宋_GB2312"/>
          <w:kern w:val="0"/>
          <w:sz w:val="32"/>
          <w:szCs w:val="32"/>
          <w:shd w:val="clear" w:color="auto" w:fill="FFFFFF"/>
        </w:rPr>
        <w:t>喀地财预〔2019〕18号</w:t>
      </w:r>
      <w:r>
        <w:rPr>
          <w:rFonts w:hint="eastAsia" w:ascii="仿宋_GB2312" w:hAnsi="仿宋_GB2312" w:eastAsia="仿宋_GB2312" w:cs="仿宋_GB2312"/>
          <w:kern w:val="0"/>
          <w:sz w:val="32"/>
          <w:szCs w:val="32"/>
          <w:shd w:val="clear" w:color="auto" w:fill="FFFFFF"/>
        </w:rPr>
        <w:t>）</w:t>
      </w:r>
      <w:r>
        <w:rPr>
          <w:rFonts w:ascii="仿宋_GB2312" w:hAnsi="仿宋" w:eastAsia="仿宋_GB2312" w:cs="宋体"/>
          <w:sz w:val="32"/>
          <w:szCs w:val="32"/>
        </w:rPr>
        <w:t>等相关政策文件与规定，</w:t>
      </w:r>
      <w:r>
        <w:rPr>
          <w:rFonts w:hint="eastAsia" w:ascii="仿宋_GB2312" w:hAnsi="仿宋" w:eastAsia="仿宋_GB2312" w:cs="宋体"/>
          <w:sz w:val="32"/>
          <w:szCs w:val="32"/>
        </w:rPr>
        <w:t>旨在评价生专项经费项目实施前期、过程及效果，评价财政预算资金使用的效率及效益。通过此次项目绩效评价，</w:t>
      </w:r>
      <w:r>
        <w:rPr>
          <w:rFonts w:hint="eastAsia" w:ascii="仿宋_GB2312" w:hAnsi="仿宋_GB2312" w:eastAsia="仿宋_GB2312" w:cs="仿宋_GB2312"/>
          <w:color w:val="000000" w:themeColor="text1"/>
          <w:spacing w:val="-4"/>
          <w:sz w:val="32"/>
          <w:szCs w:val="32"/>
        </w:rPr>
        <w:t>全面了解生项目资金的使用效率和效果，项目管理过程规范，完成了预期绩效目标。同时，通过开展自我评价来总结经验和教训，为喀什地委党校生工作今后的开展提供参考建议。</w:t>
      </w:r>
    </w:p>
    <w:p>
      <w:pPr>
        <w:pStyle w:val="23"/>
        <w:numPr>
          <w:ilvl w:val="0"/>
          <w:numId w:val="4"/>
        </w:numPr>
        <w:spacing w:line="600" w:lineRule="atLeast"/>
        <w:ind w:left="0" w:firstLine="643" w:firstLineChars="200"/>
      </w:pPr>
      <w:r>
        <w:rPr>
          <w:rFonts w:hint="eastAsia"/>
        </w:rPr>
        <w:t>本次绩效评价的对象及范围</w:t>
      </w:r>
    </w:p>
    <w:p>
      <w:pPr>
        <w:spacing w:beforeLines="50" w:line="600" w:lineRule="atLeast"/>
        <w:ind w:firstLine="640" w:firstLineChars="200"/>
        <w:rPr>
          <w:rFonts w:ascii="仿宋_GB2312" w:hAnsi="仿宋" w:eastAsia="仿宋_GB2312" w:cs="宋体"/>
          <w:sz w:val="32"/>
          <w:szCs w:val="32"/>
        </w:rPr>
      </w:pPr>
      <w:bookmarkStart w:id="5" w:name="_Toc26401554"/>
      <w:r>
        <w:rPr>
          <w:rFonts w:ascii="仿宋_GB2312" w:hAnsi="仿宋" w:eastAsia="仿宋_GB2312" w:cs="宋体"/>
          <w:sz w:val="32"/>
          <w:szCs w:val="32"/>
        </w:rPr>
        <w:t>本次评价对象为</w:t>
      </w:r>
      <w:r>
        <w:rPr>
          <w:rFonts w:hint="eastAsia" w:ascii="仿宋_GB2312" w:hAnsi="仿宋" w:eastAsia="仿宋_GB2312" w:cs="宋体"/>
          <w:sz w:val="32"/>
          <w:szCs w:val="32"/>
        </w:rPr>
        <w:t>生专项经费项目</w:t>
      </w:r>
      <w:r>
        <w:rPr>
          <w:rFonts w:ascii="仿宋_GB2312" w:hAnsi="仿宋" w:eastAsia="仿宋_GB2312" w:cs="宋体"/>
          <w:sz w:val="32"/>
          <w:szCs w:val="32"/>
        </w:rPr>
        <w:t>资金，评价范围包括专项资</w:t>
      </w:r>
      <w:r>
        <w:rPr>
          <w:rFonts w:hint="eastAsia" w:ascii="仿宋_GB2312" w:hAnsi="仿宋" w:eastAsia="仿宋_GB2312" w:cs="宋体"/>
          <w:sz w:val="32"/>
          <w:szCs w:val="32"/>
        </w:rPr>
        <w:t>金的安排、组织及使用效益。</w:t>
      </w:r>
    </w:p>
    <w:p>
      <w:pPr>
        <w:pStyle w:val="23"/>
        <w:numPr>
          <w:ilvl w:val="0"/>
          <w:numId w:val="4"/>
        </w:numPr>
        <w:spacing w:line="600" w:lineRule="atLeast"/>
        <w:ind w:left="0" w:firstLine="643" w:firstLineChars="200"/>
      </w:pPr>
      <w:r>
        <w:rPr>
          <w:rFonts w:hint="eastAsia"/>
        </w:rPr>
        <w:t>绩效评价原则</w:t>
      </w:r>
      <w:bookmarkEnd w:id="5"/>
    </w:p>
    <w:p>
      <w:pPr>
        <w:spacing w:beforeLines="50" w:line="600" w:lineRule="atLeas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本次绩效评价遵循的原则包括：</w:t>
      </w:r>
    </w:p>
    <w:p>
      <w:pPr>
        <w:pStyle w:val="23"/>
        <w:keepNext w:val="0"/>
        <w:keepLines w:val="0"/>
        <w:numPr>
          <w:ilvl w:val="1"/>
          <w:numId w:val="5"/>
        </w:numPr>
        <w:spacing w:before="50" w:line="600" w:lineRule="atLeast"/>
        <w:ind w:left="0" w:firstLine="640" w:firstLineChars="200"/>
        <w:rPr>
          <w:rFonts w:hAnsi="仿宋" w:cs="宋体"/>
          <w:b w:val="0"/>
        </w:rPr>
      </w:pPr>
      <w:r>
        <w:rPr>
          <w:rFonts w:hint="eastAsia" w:hAnsi="仿宋" w:cs="宋体"/>
          <w:b w:val="0"/>
        </w:rPr>
        <w:t>科学公正。绩效评价应当运用科学合理的方法，按照规范的程序，对项目绩效进行客观、公正的反映。</w:t>
      </w:r>
    </w:p>
    <w:p>
      <w:pPr>
        <w:pStyle w:val="23"/>
        <w:keepNext w:val="0"/>
        <w:keepLines w:val="0"/>
        <w:numPr>
          <w:ilvl w:val="1"/>
          <w:numId w:val="5"/>
        </w:numPr>
        <w:spacing w:before="50" w:line="600" w:lineRule="atLeast"/>
        <w:ind w:left="0" w:firstLine="640" w:firstLineChars="200"/>
        <w:rPr>
          <w:rFonts w:hAnsi="仿宋" w:cs="宋体"/>
          <w:b w:val="0"/>
        </w:rPr>
      </w:pPr>
      <w:r>
        <w:rPr>
          <w:rFonts w:hint="eastAsia" w:hAnsi="仿宋" w:cs="宋体"/>
          <w:b w:val="0"/>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3"/>
        <w:keepNext w:val="0"/>
        <w:keepLines w:val="0"/>
        <w:numPr>
          <w:ilvl w:val="1"/>
          <w:numId w:val="5"/>
        </w:numPr>
        <w:spacing w:before="50" w:line="600" w:lineRule="atLeast"/>
        <w:ind w:left="0" w:firstLine="640" w:firstLineChars="200"/>
        <w:rPr>
          <w:rFonts w:hAnsi="仿宋" w:cs="宋体"/>
          <w:b w:val="0"/>
        </w:rPr>
      </w:pPr>
      <w:r>
        <w:rPr>
          <w:rFonts w:hint="eastAsia" w:hAnsi="仿宋" w:cs="宋体"/>
          <w:b w:val="0"/>
        </w:rPr>
        <w:t>激励约束。绩效评价结果应与预算安排、政策调整、改进管理实质性挂钩，体现奖优罚劣和激励相容导向，有效要安排、低效要压减、无效要问责。</w:t>
      </w:r>
    </w:p>
    <w:p>
      <w:pPr>
        <w:pStyle w:val="23"/>
        <w:keepNext w:val="0"/>
        <w:keepLines w:val="0"/>
        <w:numPr>
          <w:ilvl w:val="1"/>
          <w:numId w:val="5"/>
        </w:numPr>
        <w:spacing w:before="50" w:line="600" w:lineRule="atLeast"/>
        <w:ind w:left="0" w:firstLine="640" w:firstLineChars="200"/>
        <w:rPr>
          <w:b w:val="0"/>
        </w:rPr>
      </w:pPr>
      <w:r>
        <w:rPr>
          <w:rFonts w:hint="eastAsia" w:hAnsi="仿宋" w:cs="宋体"/>
          <w:b w:val="0"/>
        </w:rPr>
        <w:t>公开透明。绩效评价结果应依法依规公开，并自觉接受社会监督。</w:t>
      </w:r>
      <w:r>
        <w:rPr>
          <w:rFonts w:hint="eastAsia"/>
          <w:b w:val="0"/>
        </w:rPr>
        <w:t>绩效评价体系</w:t>
      </w:r>
    </w:p>
    <w:p>
      <w:pPr>
        <w:pStyle w:val="23"/>
        <w:numPr>
          <w:ilvl w:val="0"/>
          <w:numId w:val="4"/>
        </w:numPr>
        <w:spacing w:line="600" w:lineRule="atLeast"/>
        <w:ind w:left="0" w:firstLine="643" w:firstLineChars="200"/>
      </w:pPr>
      <w:r>
        <w:rPr>
          <w:rFonts w:hint="eastAsia"/>
        </w:rPr>
        <w:t>本项目绩效评价体系</w:t>
      </w:r>
    </w:p>
    <w:p>
      <w:pPr>
        <w:pStyle w:val="23"/>
        <w:numPr>
          <w:ilvl w:val="0"/>
          <w:numId w:val="0"/>
        </w:numPr>
        <w:spacing w:line="600" w:lineRule="atLeast"/>
        <w:ind w:firstLine="640" w:firstLineChars="200"/>
        <w:rPr>
          <w:b w:val="0"/>
          <w:color w:val="auto"/>
        </w:rPr>
      </w:pPr>
      <w:r>
        <w:rPr>
          <w:rFonts w:hint="eastAsia"/>
          <w:b w:val="0"/>
          <w:color w:val="auto"/>
        </w:rPr>
        <w:t>本项目绩效评价体系为根据财预</w:t>
      </w:r>
      <w:r>
        <w:rPr>
          <w:rFonts w:hint="eastAsia" w:ascii="仿宋" w:hAnsi="仿宋" w:eastAsia="仿宋"/>
          <w:b w:val="0"/>
          <w:color w:val="auto"/>
        </w:rPr>
        <w:t>﹝</w:t>
      </w:r>
      <w:r>
        <w:rPr>
          <w:rFonts w:hint="eastAsia"/>
          <w:b w:val="0"/>
          <w:color w:val="auto"/>
        </w:rPr>
        <w:t>2</w:t>
      </w:r>
      <w:r>
        <w:rPr>
          <w:b w:val="0"/>
          <w:color w:val="auto"/>
        </w:rPr>
        <w:t>020</w:t>
      </w:r>
      <w:r>
        <w:rPr>
          <w:rFonts w:hint="eastAsia" w:ascii="仿宋" w:hAnsi="仿宋" w:eastAsia="仿宋"/>
          <w:b w:val="0"/>
          <w:color w:val="auto"/>
        </w:rPr>
        <w:t>﹞</w:t>
      </w:r>
      <w:r>
        <w:rPr>
          <w:rFonts w:hint="eastAsia"/>
          <w:b w:val="0"/>
          <w:color w:val="auto"/>
        </w:rPr>
        <w:t>1</w:t>
      </w:r>
      <w:r>
        <w:rPr>
          <w:b w:val="0"/>
          <w:color w:val="auto"/>
        </w:rPr>
        <w:t>0</w:t>
      </w:r>
      <w:r>
        <w:rPr>
          <w:rFonts w:hint="eastAsia"/>
          <w:b w:val="0"/>
          <w:color w:val="auto"/>
        </w:rPr>
        <w:t>号共性指标及个性化指标设置，详见附件</w:t>
      </w:r>
      <w:r>
        <w:rPr>
          <w:rFonts w:hint="eastAsia"/>
          <w:b w:val="0"/>
          <w:color w:val="auto"/>
          <w:lang w:val="en-US" w:eastAsia="zh-CN"/>
        </w:rPr>
        <w:t>3</w:t>
      </w:r>
      <w:r>
        <w:rPr>
          <w:rFonts w:hint="eastAsia"/>
          <w:b w:val="0"/>
          <w:color w:val="auto"/>
        </w:rPr>
        <w:t>。</w:t>
      </w:r>
    </w:p>
    <w:p>
      <w:pPr>
        <w:pStyle w:val="23"/>
        <w:keepNext w:val="0"/>
        <w:keepLines w:val="0"/>
        <w:numPr>
          <w:ilvl w:val="0"/>
          <w:numId w:val="4"/>
        </w:numPr>
        <w:spacing w:line="600" w:lineRule="atLeast"/>
        <w:ind w:left="0" w:firstLine="643" w:firstLineChars="200"/>
      </w:pPr>
      <w:bookmarkStart w:id="6" w:name="_Toc26401555"/>
      <w:r>
        <w:rPr>
          <w:rFonts w:hint="eastAsia"/>
        </w:rPr>
        <w:t>绩效评价方法</w:t>
      </w:r>
      <w:bookmarkEnd w:id="6"/>
    </w:p>
    <w:p>
      <w:pPr>
        <w:spacing w:beforeLines="50" w:line="600" w:lineRule="atLeast"/>
        <w:ind w:firstLine="645"/>
        <w:rPr>
          <w:rFonts w:ascii="仿宋_GB2312" w:hAnsi="仿宋" w:eastAsia="仿宋_GB2312" w:cs="宋体"/>
          <w:sz w:val="32"/>
          <w:szCs w:val="32"/>
        </w:rPr>
      </w:pPr>
      <w:r>
        <w:rPr>
          <w:rFonts w:hint="eastAsia" w:ascii="仿宋_GB2312" w:hAnsi="仿宋" w:eastAsia="仿宋_GB2312" w:cs="宋体"/>
          <w:sz w:val="32"/>
          <w:szCs w:val="32"/>
        </w:rPr>
        <w:t>本次绩效评价方法的选用坚持简便有效的原则采用成本效益分析法、综合指数评价法、综合分析法。</w:t>
      </w:r>
    </w:p>
    <w:p>
      <w:pPr>
        <w:pStyle w:val="23"/>
        <w:keepNext w:val="0"/>
        <w:keepLines w:val="0"/>
        <w:numPr>
          <w:ilvl w:val="0"/>
          <w:numId w:val="4"/>
        </w:numPr>
        <w:spacing w:line="600" w:lineRule="atLeast"/>
        <w:ind w:left="0" w:firstLine="643" w:firstLineChars="200"/>
      </w:pPr>
      <w:r>
        <w:rPr>
          <w:rFonts w:hint="eastAsia"/>
        </w:rPr>
        <w:t>评价标准</w:t>
      </w:r>
    </w:p>
    <w:p>
      <w:pPr>
        <w:pStyle w:val="23"/>
        <w:keepNext w:val="0"/>
        <w:keepLines w:val="0"/>
        <w:numPr>
          <w:ilvl w:val="0"/>
          <w:numId w:val="0"/>
        </w:numPr>
        <w:spacing w:line="600" w:lineRule="atLeast"/>
        <w:ind w:firstLine="643" w:firstLineChars="200"/>
      </w:pPr>
      <w:r>
        <w:rPr>
          <w:rFonts w:hint="eastAsia"/>
        </w:rPr>
        <w:t>项目评价标准采用</w:t>
      </w:r>
      <w:r>
        <w:rPr>
          <w:rFonts w:hint="eastAsia"/>
          <w:bCs w:val="0"/>
        </w:rPr>
        <w:t>计划标准、行业标准、历史标准。</w:t>
      </w:r>
    </w:p>
    <w:p>
      <w:pPr>
        <w:pStyle w:val="23"/>
        <w:keepNext w:val="0"/>
        <w:keepLines w:val="0"/>
        <w:numPr>
          <w:ilvl w:val="0"/>
          <w:numId w:val="4"/>
        </w:numPr>
        <w:spacing w:line="600" w:lineRule="atLeast"/>
        <w:ind w:left="0" w:firstLine="643" w:firstLineChars="200"/>
      </w:pPr>
      <w:r>
        <w:rPr>
          <w:rFonts w:hint="eastAsia"/>
        </w:rPr>
        <w:t>绩效评价工作过程</w:t>
      </w:r>
    </w:p>
    <w:p>
      <w:pPr>
        <w:pStyle w:val="23"/>
        <w:keepNext w:val="0"/>
        <w:keepLines w:val="0"/>
        <w:numPr>
          <w:ilvl w:val="0"/>
          <w:numId w:val="0"/>
        </w:numPr>
        <w:spacing w:line="600" w:lineRule="atLeast"/>
        <w:ind w:firstLine="640" w:firstLineChars="200"/>
        <w:outlineLvl w:val="9"/>
        <w:rPr>
          <w:b w:val="0"/>
          <w:bCs w:val="0"/>
        </w:rPr>
      </w:pPr>
      <w:r>
        <w:rPr>
          <w:rFonts w:hint="eastAsia"/>
          <w:b w:val="0"/>
          <w:bCs w:val="0"/>
        </w:rPr>
        <w:t>本次评价成立了评价，成员如下：</w:t>
      </w:r>
    </w:p>
    <w:tbl>
      <w:tblPr>
        <w:tblStyle w:val="13"/>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3"/>
              <w:keepNext w:val="0"/>
              <w:keepLines w:val="0"/>
              <w:numPr>
                <w:ilvl w:val="0"/>
                <w:numId w:val="0"/>
              </w:numPr>
              <w:spacing w:line="600" w:lineRule="atLeast"/>
              <w:jc w:val="center"/>
              <w:rPr>
                <w:b w:val="0"/>
                <w:bCs w:val="0"/>
              </w:rPr>
            </w:pPr>
            <w:r>
              <w:rPr>
                <w:rFonts w:hint="eastAsia"/>
                <w:b w:val="0"/>
                <w:bCs w:val="0"/>
              </w:rPr>
              <w:t>评价人</w:t>
            </w:r>
          </w:p>
        </w:tc>
        <w:tc>
          <w:tcPr>
            <w:tcW w:w="2765" w:type="dxa"/>
            <w:vAlign w:val="center"/>
          </w:tcPr>
          <w:p>
            <w:pPr>
              <w:pStyle w:val="23"/>
              <w:keepNext w:val="0"/>
              <w:keepLines w:val="0"/>
              <w:numPr>
                <w:ilvl w:val="0"/>
                <w:numId w:val="0"/>
              </w:numPr>
              <w:spacing w:line="600" w:lineRule="atLeast"/>
              <w:jc w:val="center"/>
              <w:rPr>
                <w:b w:val="0"/>
                <w:bCs w:val="0"/>
              </w:rPr>
            </w:pPr>
            <w:r>
              <w:rPr>
                <w:rFonts w:hint="eastAsia"/>
                <w:b w:val="0"/>
                <w:bCs w:val="0"/>
              </w:rPr>
              <w:t>职责</w:t>
            </w:r>
          </w:p>
        </w:tc>
        <w:tc>
          <w:tcPr>
            <w:tcW w:w="2766" w:type="dxa"/>
            <w:vAlign w:val="center"/>
          </w:tcPr>
          <w:p>
            <w:pPr>
              <w:pStyle w:val="23"/>
              <w:keepNext w:val="0"/>
              <w:keepLines w:val="0"/>
              <w:numPr>
                <w:ilvl w:val="0"/>
                <w:numId w:val="0"/>
              </w:numPr>
              <w:spacing w:line="600" w:lineRule="atLeast"/>
              <w:jc w:val="center"/>
              <w:rPr>
                <w:b w:val="0"/>
                <w:bCs w:val="0"/>
              </w:rPr>
            </w:pPr>
            <w:r>
              <w:rPr>
                <w:rFonts w:hint="eastAsia"/>
                <w:b w:val="0"/>
                <w:bCs w:val="0"/>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3"/>
              <w:keepNext w:val="0"/>
              <w:keepLines w:val="0"/>
              <w:numPr>
                <w:ilvl w:val="0"/>
                <w:numId w:val="0"/>
              </w:numPr>
              <w:spacing w:line="600" w:lineRule="atLeast"/>
              <w:jc w:val="center"/>
              <w:rPr>
                <w:b w:val="0"/>
                <w:bCs w:val="0"/>
              </w:rPr>
            </w:pPr>
            <w:r>
              <w:rPr>
                <w:rFonts w:hint="eastAsia"/>
                <w:b w:val="0"/>
                <w:bCs w:val="0"/>
              </w:rPr>
              <w:t xml:space="preserve"> 张茹蓉</w:t>
            </w:r>
          </w:p>
        </w:tc>
        <w:tc>
          <w:tcPr>
            <w:tcW w:w="2765" w:type="dxa"/>
            <w:vAlign w:val="center"/>
          </w:tcPr>
          <w:p>
            <w:pPr>
              <w:pStyle w:val="23"/>
              <w:keepNext w:val="0"/>
              <w:keepLines w:val="0"/>
              <w:numPr>
                <w:ilvl w:val="0"/>
                <w:numId w:val="0"/>
              </w:numPr>
              <w:spacing w:line="600" w:lineRule="atLeast"/>
              <w:jc w:val="center"/>
              <w:rPr>
                <w:b w:val="0"/>
                <w:bCs w:val="0"/>
              </w:rPr>
            </w:pPr>
            <w:r>
              <w:rPr>
                <w:rFonts w:hint="eastAsia"/>
                <w:b w:val="0"/>
                <w:bCs w:val="0"/>
              </w:rPr>
              <w:t>评价组组长</w:t>
            </w:r>
          </w:p>
        </w:tc>
        <w:tc>
          <w:tcPr>
            <w:tcW w:w="2766" w:type="dxa"/>
            <w:vAlign w:val="center"/>
          </w:tcPr>
          <w:p>
            <w:pPr>
              <w:pStyle w:val="23"/>
              <w:keepNext w:val="0"/>
              <w:keepLines w:val="0"/>
              <w:numPr>
                <w:ilvl w:val="0"/>
                <w:numId w:val="0"/>
              </w:numPr>
              <w:spacing w:line="600" w:lineRule="atLeast"/>
              <w:jc w:val="center"/>
              <w:rPr>
                <w:b w:val="0"/>
                <w:bCs w:val="0"/>
              </w:rPr>
            </w:pPr>
            <w:r>
              <w:rPr>
                <w:rFonts w:hint="eastAsia"/>
                <w:b w:val="0"/>
                <w:bCs w:val="0"/>
              </w:rPr>
              <w:t xml:space="preserve">副校长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3"/>
              <w:keepNext w:val="0"/>
              <w:keepLines w:val="0"/>
              <w:numPr>
                <w:ilvl w:val="0"/>
                <w:numId w:val="0"/>
              </w:numPr>
              <w:spacing w:line="600" w:lineRule="atLeast"/>
              <w:jc w:val="center"/>
              <w:rPr>
                <w:b w:val="0"/>
                <w:bCs w:val="0"/>
              </w:rPr>
            </w:pPr>
            <w:r>
              <w:rPr>
                <w:b w:val="0"/>
                <w:bCs w:val="0"/>
              </w:rPr>
              <w:t>许磊</w:t>
            </w:r>
          </w:p>
        </w:tc>
        <w:tc>
          <w:tcPr>
            <w:tcW w:w="2765" w:type="dxa"/>
            <w:vAlign w:val="center"/>
          </w:tcPr>
          <w:p>
            <w:pPr>
              <w:pStyle w:val="23"/>
              <w:keepNext w:val="0"/>
              <w:keepLines w:val="0"/>
              <w:numPr>
                <w:ilvl w:val="0"/>
                <w:numId w:val="0"/>
              </w:numPr>
              <w:spacing w:line="600" w:lineRule="atLeast"/>
              <w:jc w:val="center"/>
              <w:rPr>
                <w:b w:val="0"/>
                <w:bCs w:val="0"/>
              </w:rPr>
            </w:pPr>
            <w:r>
              <w:rPr>
                <w:rFonts w:hint="eastAsia"/>
                <w:b w:val="0"/>
                <w:bCs w:val="0"/>
              </w:rPr>
              <w:t>评价组成员</w:t>
            </w:r>
          </w:p>
        </w:tc>
        <w:tc>
          <w:tcPr>
            <w:tcW w:w="2766" w:type="dxa"/>
            <w:vAlign w:val="center"/>
          </w:tcPr>
          <w:p>
            <w:pPr>
              <w:pStyle w:val="23"/>
              <w:keepNext w:val="0"/>
              <w:keepLines w:val="0"/>
              <w:numPr>
                <w:ilvl w:val="0"/>
                <w:numId w:val="0"/>
              </w:numPr>
              <w:spacing w:line="600" w:lineRule="atLeast"/>
              <w:jc w:val="center"/>
              <w:rPr>
                <w:b w:val="0"/>
                <w:bCs w:val="0"/>
              </w:rPr>
            </w:pPr>
            <w:r>
              <w:rPr>
                <w:b w:val="0"/>
                <w:bCs w:val="0"/>
              </w:rPr>
              <w:t>公务员培训科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3"/>
              <w:keepNext w:val="0"/>
              <w:keepLines w:val="0"/>
              <w:numPr>
                <w:ilvl w:val="0"/>
                <w:numId w:val="0"/>
              </w:numPr>
              <w:spacing w:line="600" w:lineRule="atLeast"/>
              <w:jc w:val="center"/>
              <w:rPr>
                <w:b w:val="0"/>
                <w:bCs w:val="0"/>
              </w:rPr>
            </w:pPr>
            <w:r>
              <w:rPr>
                <w:rFonts w:hint="eastAsia"/>
                <w:b w:val="0"/>
                <w:bCs w:val="0"/>
              </w:rPr>
              <w:t>李晓蓉</w:t>
            </w:r>
          </w:p>
        </w:tc>
        <w:tc>
          <w:tcPr>
            <w:tcW w:w="2765" w:type="dxa"/>
            <w:vAlign w:val="center"/>
          </w:tcPr>
          <w:p>
            <w:pPr>
              <w:pStyle w:val="23"/>
              <w:keepNext w:val="0"/>
              <w:keepLines w:val="0"/>
              <w:numPr>
                <w:ilvl w:val="0"/>
                <w:numId w:val="0"/>
              </w:numPr>
              <w:spacing w:line="600" w:lineRule="atLeast"/>
              <w:jc w:val="center"/>
              <w:rPr>
                <w:b w:val="0"/>
                <w:bCs w:val="0"/>
              </w:rPr>
            </w:pPr>
            <w:r>
              <w:rPr>
                <w:rFonts w:hint="eastAsia"/>
                <w:b w:val="0"/>
                <w:bCs w:val="0"/>
              </w:rPr>
              <w:t>评价组成员</w:t>
            </w:r>
          </w:p>
        </w:tc>
        <w:tc>
          <w:tcPr>
            <w:tcW w:w="2766" w:type="dxa"/>
            <w:vAlign w:val="center"/>
          </w:tcPr>
          <w:p>
            <w:pPr>
              <w:pStyle w:val="23"/>
              <w:keepNext w:val="0"/>
              <w:keepLines w:val="0"/>
              <w:numPr>
                <w:ilvl w:val="0"/>
                <w:numId w:val="0"/>
              </w:numPr>
              <w:spacing w:line="600" w:lineRule="atLeast"/>
              <w:jc w:val="center"/>
              <w:rPr>
                <w:b w:val="0"/>
                <w:bCs w:val="0"/>
              </w:rPr>
            </w:pPr>
            <w:r>
              <w:rPr>
                <w:rFonts w:hint="eastAsia"/>
                <w:b w:val="0"/>
                <w:bCs w:val="0"/>
              </w:rPr>
              <w:t>财务室会计</w:t>
            </w:r>
          </w:p>
        </w:tc>
      </w:tr>
    </w:tbl>
    <w:p>
      <w:pPr>
        <w:pStyle w:val="23"/>
        <w:keepNext w:val="0"/>
        <w:keepLines w:val="0"/>
        <w:numPr>
          <w:ilvl w:val="0"/>
          <w:numId w:val="0"/>
        </w:numPr>
        <w:spacing w:line="600" w:lineRule="atLeast"/>
        <w:ind w:firstLine="640" w:firstLineChars="200"/>
        <w:outlineLvl w:val="9"/>
        <w:rPr>
          <w:b w:val="0"/>
          <w:bCs w:val="0"/>
        </w:rPr>
      </w:pPr>
      <w:r>
        <w:rPr>
          <w:rFonts w:hint="eastAsia"/>
          <w:b w:val="0"/>
          <w:bCs w:val="0"/>
        </w:rPr>
        <w:t>本次评价设计了评价方案、评价指标体系，通过资料分析、调研、访谈满意度调查等方式形成评价结论，在与项目单位沟通后确定评价意见，并出具评价报告。　</w:t>
      </w:r>
    </w:p>
    <w:p>
      <w:pPr>
        <w:pStyle w:val="21"/>
        <w:numPr>
          <w:ilvl w:val="0"/>
          <w:numId w:val="2"/>
        </w:numPr>
        <w:spacing w:line="600" w:lineRule="atLeast"/>
        <w:ind w:firstLineChars="0"/>
        <w:rPr>
          <w:color w:val="FF0000"/>
        </w:rPr>
      </w:pPr>
      <w:bookmarkStart w:id="7" w:name="_Toc26401558"/>
      <w:r>
        <w:rPr>
          <w:rFonts w:hint="eastAsia" w:ascii="黑体" w:hAnsi="黑体"/>
        </w:rPr>
        <w:t>综合评价情况及评价结论</w:t>
      </w:r>
    </w:p>
    <w:p>
      <w:pPr>
        <w:pStyle w:val="21"/>
        <w:spacing w:line="600" w:lineRule="atLeast"/>
        <w:ind w:firstLine="640"/>
        <w:rPr>
          <w:rFonts w:ascii="仿宋_GB2312" w:eastAsia="仿宋_GB2312" w:hAnsiTheme="majorHAnsi"/>
          <w:b w:val="0"/>
          <w:bCs w:val="0"/>
          <w:kern w:val="2"/>
        </w:rPr>
      </w:pPr>
      <w:r>
        <w:rPr>
          <w:rFonts w:hint="eastAsia" w:ascii="仿宋_GB2312" w:eastAsia="仿宋_GB2312" w:hAnsiTheme="majorHAnsi"/>
          <w:b w:val="0"/>
          <w:bCs w:val="0"/>
          <w:kern w:val="2"/>
        </w:rPr>
        <w:t>经评价组通过实地调研、资料分析等方式，采用综合分析法、成本效益分析法、最低成本法、标杆管理法（根据实际情况去留）等对项目的决策、管理、绩效进行的综合评价分析，项目得分为86分，评价结果为良，详见附件</w:t>
      </w:r>
      <w:r>
        <w:rPr>
          <w:rFonts w:hint="eastAsia" w:ascii="仿宋_GB2312" w:eastAsia="仿宋_GB2312" w:hAnsiTheme="majorHAnsi"/>
          <w:b w:val="0"/>
          <w:bCs w:val="0"/>
          <w:kern w:val="2"/>
          <w:lang w:val="en-US" w:eastAsia="zh-CN"/>
        </w:rPr>
        <w:t>5</w:t>
      </w:r>
      <w:r>
        <w:rPr>
          <w:rFonts w:hint="eastAsia" w:ascii="仿宋_GB2312" w:eastAsia="仿宋_GB2312" w:hAnsiTheme="majorHAnsi"/>
          <w:b w:val="0"/>
          <w:bCs w:val="0"/>
          <w:kern w:val="2"/>
        </w:rPr>
        <w:t>。</w:t>
      </w:r>
    </w:p>
    <w:p>
      <w:pPr>
        <w:pStyle w:val="21"/>
        <w:numPr>
          <w:ilvl w:val="0"/>
          <w:numId w:val="2"/>
        </w:numPr>
        <w:spacing w:line="600" w:lineRule="atLeast"/>
        <w:ind w:firstLineChars="0"/>
      </w:pPr>
      <w:r>
        <w:rPr>
          <w:rFonts w:hint="eastAsia"/>
        </w:rPr>
        <w:t>绩效评价指标分析</w:t>
      </w:r>
      <w:bookmarkEnd w:id="7"/>
    </w:p>
    <w:p>
      <w:pPr>
        <w:pStyle w:val="17"/>
        <w:numPr>
          <w:ilvl w:val="0"/>
          <w:numId w:val="6"/>
        </w:numPr>
        <w:spacing w:beforeLines="50" w:line="600" w:lineRule="atLeas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项目的决策情况</w:t>
      </w:r>
    </w:p>
    <w:p>
      <w:pPr>
        <w:pStyle w:val="26"/>
        <w:spacing w:line="600" w:lineRule="atLeast"/>
        <w:ind w:firstLine="640"/>
        <w:rPr>
          <w:rFonts w:ascii="仿宋_GB2312" w:hAnsi="仿宋" w:cs="宋体"/>
          <w:sz w:val="32"/>
          <w:szCs w:val="32"/>
        </w:rPr>
      </w:pPr>
      <w:r>
        <w:rPr>
          <w:rFonts w:hint="eastAsia" w:ascii="仿宋_GB2312" w:hAnsi="仿宋" w:cs="宋体"/>
          <w:sz w:val="32"/>
          <w:szCs w:val="32"/>
        </w:rPr>
        <w:t>本项目的实施符合自治区和地区关于开展新生培训工作的要求，项目前期结合工作实际开展了事前绩效评估。</w:t>
      </w:r>
    </w:p>
    <w:p>
      <w:pPr>
        <w:spacing w:beforeLines="50" w:line="600" w:lineRule="atLeas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根据相关要求设置了绩效目标，项目绩效目标基本合理，与实际工作内容紧密相连；项目预期产出效益和效果符合正常的业绩水平；与预算确定的项目投资额或资金量相匹配。同时将项目绩效目标细化分解为具体的绩效指标，通过清晰、可衡量的指标值予以体现，扎实推进项目的实施。</w:t>
      </w:r>
    </w:p>
    <w:p>
      <w:pPr>
        <w:spacing w:beforeLines="50" w:line="600" w:lineRule="atLeas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项目在资金投入方面，预算编制经过科学论证、有明确标准，资金额度与年度目标相适应，用以反映和考核项目预算编制的科学性、合理性情况。项目预算资金分配是有测算依据，与补助单位或工作实际相适应。</w:t>
      </w:r>
    </w:p>
    <w:p>
      <w:pPr>
        <w:pStyle w:val="17"/>
        <w:numPr>
          <w:ilvl w:val="0"/>
          <w:numId w:val="6"/>
        </w:numPr>
        <w:spacing w:beforeLines="50" w:line="600" w:lineRule="atLeas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项目的过程情况</w:t>
      </w:r>
    </w:p>
    <w:p>
      <w:pPr>
        <w:spacing w:line="600" w:lineRule="atLeast"/>
        <w:ind w:firstLine="646"/>
        <w:rPr>
          <w:rFonts w:ascii="仿宋_GB2312" w:hAnsi="仿宋" w:eastAsia="仿宋_GB2312" w:cs="宋体"/>
          <w:sz w:val="32"/>
          <w:szCs w:val="32"/>
        </w:rPr>
      </w:pPr>
      <w:r>
        <w:rPr>
          <w:rFonts w:hint="eastAsia" w:ascii="仿宋_GB2312" w:hAnsi="仿宋" w:eastAsia="仿宋_GB2312" w:cs="宋体"/>
          <w:sz w:val="32"/>
          <w:szCs w:val="32"/>
        </w:rPr>
        <w:t>在资金管理方面，项目资金到位足额及时，按照项目实际进度及时支付，资金使用符合国家法规和财务管理制度；资金拨付有完整的审批程序和手续，符合项目预算批复或合同规定的用途；不存在截留、挤占、挪用、虚列支出等情况。</w:t>
      </w:r>
    </w:p>
    <w:p>
      <w:pPr>
        <w:spacing w:line="600" w:lineRule="atLeast"/>
        <w:ind w:firstLine="646"/>
        <w:rPr>
          <w:rFonts w:ascii="仿宋_GB2312" w:hAnsi="仿宋" w:eastAsia="仿宋_GB2312" w:cs="宋体"/>
          <w:sz w:val="32"/>
          <w:szCs w:val="32"/>
        </w:rPr>
      </w:pPr>
      <w:r>
        <w:rPr>
          <w:rFonts w:hint="eastAsia" w:ascii="仿宋_GB2312" w:hAnsi="仿宋" w:eastAsia="仿宋_GB2312" w:cs="宋体"/>
          <w:sz w:val="32"/>
          <w:szCs w:val="32"/>
        </w:rPr>
        <w:t>在项目组织实施方面，地委党校已制定相应的财务和业务管理制度，财务和业务管理制度合法、合规、完整。项目实施严格遵守相关法律法规和相关管理规定。</w:t>
      </w:r>
    </w:p>
    <w:p>
      <w:pPr>
        <w:pStyle w:val="17"/>
        <w:numPr>
          <w:ilvl w:val="0"/>
          <w:numId w:val="6"/>
        </w:numPr>
        <w:spacing w:beforeLines="50" w:line="600" w:lineRule="atLeas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项目产出情况</w:t>
      </w:r>
    </w:p>
    <w:p>
      <w:pPr>
        <w:spacing w:beforeLines="50" w:line="600" w:lineRule="atLeast"/>
        <w:ind w:firstLine="660"/>
        <w:rPr>
          <w:rFonts w:ascii="仿宋_GB2312" w:eastAsia="仿宋_GB2312"/>
          <w:sz w:val="32"/>
          <w:szCs w:val="32"/>
        </w:rPr>
      </w:pPr>
      <w:r>
        <w:rPr>
          <w:rFonts w:hint="eastAsia" w:ascii="仿宋_GB2312" w:eastAsia="仿宋_GB2312"/>
          <w:sz w:val="32"/>
          <w:szCs w:val="32"/>
        </w:rPr>
        <w:t>项目产出数量为所需客房数量（间），预期指标值为126，实际完成值为126，项目产出数量指标达到预期目标。</w:t>
      </w:r>
    </w:p>
    <w:p>
      <w:pPr>
        <w:spacing w:beforeLines="50" w:line="600" w:lineRule="atLeast"/>
        <w:ind w:firstLine="660"/>
        <w:rPr>
          <w:rFonts w:ascii="仿宋_GB2312" w:eastAsia="仿宋_GB2312"/>
          <w:sz w:val="32"/>
          <w:szCs w:val="32"/>
        </w:rPr>
      </w:pPr>
      <w:r>
        <w:rPr>
          <w:rFonts w:hint="eastAsia" w:ascii="仿宋_GB2312" w:eastAsia="仿宋_GB2312"/>
          <w:sz w:val="32"/>
          <w:szCs w:val="32"/>
        </w:rPr>
        <w:t>所需教室数量（间）,预期指标值为8，实际完成值为8，项目产出数量指标达到预期目标。</w:t>
      </w:r>
    </w:p>
    <w:p>
      <w:pPr>
        <w:spacing w:beforeLines="50" w:line="600" w:lineRule="atLeast"/>
        <w:ind w:firstLine="660"/>
        <w:rPr>
          <w:rFonts w:ascii="仿宋_GB2312" w:eastAsia="仿宋_GB2312"/>
          <w:sz w:val="32"/>
          <w:szCs w:val="32"/>
        </w:rPr>
      </w:pPr>
      <w:r>
        <w:rPr>
          <w:rFonts w:hint="eastAsia" w:ascii="仿宋_GB2312" w:eastAsia="仿宋_GB2312"/>
          <w:sz w:val="32"/>
          <w:szCs w:val="32"/>
        </w:rPr>
        <w:t>保障生人数（人），预期指标值为315，实际完成值为315，项目产出数量指标达到预期目标。</w:t>
      </w:r>
    </w:p>
    <w:p>
      <w:pPr>
        <w:spacing w:beforeLines="50" w:line="600" w:lineRule="atLeast"/>
        <w:ind w:firstLine="660"/>
        <w:rPr>
          <w:rFonts w:ascii="仿宋_GB2312" w:eastAsia="仿宋_GB2312"/>
          <w:sz w:val="32"/>
          <w:szCs w:val="32"/>
        </w:rPr>
      </w:pPr>
      <w:r>
        <w:rPr>
          <w:rFonts w:hint="eastAsia" w:ascii="仿宋_GB2312" w:eastAsia="仿宋_GB2312"/>
          <w:sz w:val="32"/>
          <w:szCs w:val="32"/>
        </w:rPr>
        <w:t>项目产出质量为生培训合格率（≥</w:t>
      </w:r>
      <w:r>
        <w:rPr>
          <w:rFonts w:ascii="仿宋_GB2312" w:eastAsia="仿宋_GB2312"/>
          <w:sz w:val="32"/>
          <w:szCs w:val="32"/>
        </w:rPr>
        <w:t>*%）</w:t>
      </w:r>
      <w:r>
        <w:rPr>
          <w:rFonts w:hint="eastAsia" w:ascii="仿宋_GB2312" w:eastAsia="仿宋_GB2312"/>
          <w:sz w:val="32"/>
          <w:szCs w:val="32"/>
        </w:rPr>
        <w:t>，预期指标值为97%，实际完成值为97%，项目产出质量指标达到预期目标。</w:t>
      </w:r>
    </w:p>
    <w:p>
      <w:pPr>
        <w:spacing w:beforeLines="50" w:line="600" w:lineRule="atLeast"/>
        <w:ind w:firstLine="660"/>
        <w:rPr>
          <w:rFonts w:ascii="仿宋_GB2312" w:eastAsia="仿宋_GB2312"/>
          <w:sz w:val="32"/>
          <w:szCs w:val="32"/>
        </w:rPr>
      </w:pPr>
      <w:r>
        <w:rPr>
          <w:rFonts w:hint="eastAsia" w:ascii="仿宋_GB2312" w:eastAsia="仿宋_GB2312"/>
          <w:sz w:val="32"/>
          <w:szCs w:val="32"/>
        </w:rPr>
        <w:t>项目产出时效为经费的报销及时率（</w:t>
      </w:r>
      <w:r>
        <w:rPr>
          <w:rFonts w:ascii="仿宋_GB2312" w:eastAsia="仿宋_GB2312"/>
          <w:sz w:val="32"/>
          <w:szCs w:val="32"/>
        </w:rPr>
        <w:t>%）</w:t>
      </w:r>
      <w:r>
        <w:rPr>
          <w:rFonts w:hint="eastAsia" w:ascii="仿宋_GB2312" w:eastAsia="仿宋_GB2312"/>
          <w:sz w:val="32"/>
          <w:szCs w:val="32"/>
        </w:rPr>
        <w:t>，预期指标值为100%，实际完成值为100%，项目产出时效指标达到预期目标。</w:t>
      </w:r>
    </w:p>
    <w:p>
      <w:pPr>
        <w:spacing w:beforeLines="50" w:line="600" w:lineRule="atLeast"/>
        <w:ind w:firstLine="660"/>
        <w:rPr>
          <w:rFonts w:ascii="仿宋_GB2312" w:eastAsia="仿宋_GB2312"/>
          <w:sz w:val="32"/>
          <w:szCs w:val="32"/>
        </w:rPr>
      </w:pPr>
      <w:r>
        <w:rPr>
          <w:rFonts w:hint="eastAsia" w:ascii="仿宋_GB2312" w:eastAsia="仿宋_GB2312"/>
          <w:sz w:val="32"/>
          <w:szCs w:val="32"/>
        </w:rPr>
        <w:t>项目产出成本指标为生经费支出（元），预期指标值为</w:t>
      </w:r>
      <w:r>
        <w:rPr>
          <w:rFonts w:ascii="仿宋_GB2312" w:eastAsia="仿宋_GB2312"/>
          <w:sz w:val="32"/>
          <w:szCs w:val="32"/>
        </w:rPr>
        <w:t>19.118805</w:t>
      </w:r>
      <w:r>
        <w:rPr>
          <w:rFonts w:hint="eastAsia" w:ascii="仿宋_GB2312" w:eastAsia="仿宋_GB2312"/>
          <w:sz w:val="32"/>
          <w:szCs w:val="32"/>
        </w:rPr>
        <w:t>元，实际完成值为</w:t>
      </w:r>
      <w:r>
        <w:rPr>
          <w:rFonts w:ascii="仿宋_GB2312" w:eastAsia="仿宋_GB2312"/>
          <w:sz w:val="32"/>
          <w:szCs w:val="32"/>
        </w:rPr>
        <w:t>19.05091</w:t>
      </w:r>
      <w:r>
        <w:rPr>
          <w:rFonts w:hint="eastAsia" w:ascii="仿宋_GB2312" w:eastAsia="仿宋_GB2312"/>
          <w:sz w:val="32"/>
          <w:szCs w:val="32"/>
        </w:rPr>
        <w:t>元，项目产出成本指标未达到预期目标。原因：项目预算不够精准，导致剩余资金</w:t>
      </w:r>
      <w:r>
        <w:rPr>
          <w:rFonts w:ascii="仿宋_GB2312" w:eastAsia="仿宋_GB2312"/>
          <w:sz w:val="32"/>
          <w:szCs w:val="32"/>
        </w:rPr>
        <w:t>678.95元，已上交国库。改进措施：严格做好资金预算，按照项目资金预算推进项目实施。</w:t>
      </w:r>
    </w:p>
    <w:p>
      <w:pPr>
        <w:pStyle w:val="17"/>
        <w:numPr>
          <w:ilvl w:val="0"/>
          <w:numId w:val="6"/>
        </w:numPr>
        <w:spacing w:beforeLines="50" w:line="600" w:lineRule="atLeas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项目效益情况</w:t>
      </w:r>
    </w:p>
    <w:p>
      <w:pPr>
        <w:spacing w:beforeLines="50" w:line="600" w:lineRule="atLeas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项目实施产生的经济效益</w:t>
      </w:r>
      <w:r>
        <w:rPr>
          <w:rFonts w:hint="eastAsia" w:ascii="仿宋_GB2312" w:eastAsia="仿宋_GB2312"/>
          <w:sz w:val="32"/>
          <w:szCs w:val="32"/>
        </w:rPr>
        <w:t>指标无。</w:t>
      </w:r>
    </w:p>
    <w:p>
      <w:pPr>
        <w:spacing w:beforeLines="50" w:line="600" w:lineRule="atLeast"/>
        <w:ind w:firstLine="660"/>
        <w:rPr>
          <w:rFonts w:ascii="仿宋_GB2312" w:eastAsia="仿宋_GB2312"/>
          <w:sz w:val="32"/>
          <w:szCs w:val="32"/>
          <w:highlight w:val="none"/>
        </w:rPr>
      </w:pPr>
      <w:r>
        <w:rPr>
          <w:rFonts w:hint="eastAsia" w:ascii="仿宋_GB2312" w:hAnsi="仿宋" w:eastAsia="仿宋_GB2312" w:cs="宋体"/>
          <w:bCs/>
          <w:sz w:val="32"/>
          <w:szCs w:val="32"/>
        </w:rPr>
        <w:t>项目实施产生的社会效益</w:t>
      </w:r>
      <w:r>
        <w:rPr>
          <w:rFonts w:hint="eastAsia" w:ascii="仿宋_GB2312" w:eastAsia="仿宋_GB2312"/>
          <w:sz w:val="32"/>
          <w:szCs w:val="32"/>
        </w:rPr>
        <w:t>指标为生综合素质提升，预期指标值为逐步提升，</w:t>
      </w:r>
      <w:r>
        <w:rPr>
          <w:rFonts w:hint="eastAsia" w:ascii="仿宋_GB2312" w:eastAsia="仿宋_GB2312"/>
          <w:sz w:val="32"/>
          <w:szCs w:val="32"/>
          <w:highlight w:val="none"/>
        </w:rPr>
        <w:t>实际完成值为</w:t>
      </w:r>
      <w:r>
        <w:rPr>
          <w:rFonts w:hint="eastAsia" w:ascii="仿宋_GB2312" w:eastAsia="仿宋_GB2312"/>
          <w:sz w:val="32"/>
          <w:szCs w:val="32"/>
          <w:highlight w:val="none"/>
          <w:lang w:val="en-US" w:eastAsia="zh-CN"/>
        </w:rPr>
        <w:t>100%</w:t>
      </w:r>
      <w:r>
        <w:rPr>
          <w:rFonts w:hint="eastAsia" w:ascii="仿宋_GB2312" w:hAnsi="仿宋" w:eastAsia="仿宋_GB2312" w:cs="宋体"/>
          <w:bCs/>
          <w:sz w:val="32"/>
          <w:szCs w:val="32"/>
          <w:highlight w:val="none"/>
        </w:rPr>
        <w:t>，</w:t>
      </w:r>
      <w:r>
        <w:rPr>
          <w:rFonts w:hint="eastAsia" w:ascii="仿宋_GB2312" w:eastAsia="仿宋_GB2312"/>
          <w:sz w:val="32"/>
          <w:szCs w:val="32"/>
          <w:highlight w:val="none"/>
        </w:rPr>
        <w:t>项目实施产生的社会效益指标达到预期目标。</w:t>
      </w:r>
    </w:p>
    <w:p>
      <w:pPr>
        <w:spacing w:beforeLines="50" w:line="600" w:lineRule="atLeast"/>
        <w:ind w:firstLine="640" w:firstLineChars="200"/>
        <w:rPr>
          <w:rFonts w:ascii="仿宋_GB2312" w:hAnsi="仿宋" w:eastAsia="仿宋_GB2312" w:cs="宋体"/>
          <w:bCs/>
          <w:sz w:val="32"/>
          <w:szCs w:val="32"/>
          <w:highlight w:val="none"/>
        </w:rPr>
      </w:pPr>
      <w:r>
        <w:rPr>
          <w:rFonts w:hint="eastAsia" w:ascii="仿宋_GB2312" w:hAnsi="仿宋" w:eastAsia="仿宋_GB2312" w:cs="宋体"/>
          <w:bCs/>
          <w:sz w:val="32"/>
          <w:szCs w:val="32"/>
          <w:highlight w:val="none"/>
        </w:rPr>
        <w:t>项目实施产生的生态效益</w:t>
      </w:r>
      <w:r>
        <w:rPr>
          <w:rFonts w:hint="eastAsia" w:ascii="仿宋_GB2312" w:eastAsia="仿宋_GB2312"/>
          <w:sz w:val="32"/>
          <w:szCs w:val="32"/>
          <w:highlight w:val="none"/>
        </w:rPr>
        <w:t>指标无。</w:t>
      </w:r>
    </w:p>
    <w:p>
      <w:pPr>
        <w:spacing w:beforeLines="50" w:line="600" w:lineRule="atLeast"/>
        <w:ind w:firstLine="660"/>
        <w:rPr>
          <w:rFonts w:ascii="仿宋_GB2312" w:eastAsia="仿宋_GB2312"/>
          <w:sz w:val="32"/>
          <w:szCs w:val="32"/>
        </w:rPr>
      </w:pPr>
      <w:r>
        <w:rPr>
          <w:rFonts w:hint="eastAsia" w:ascii="仿宋_GB2312" w:hAnsi="仿宋" w:eastAsia="仿宋_GB2312" w:cs="宋体"/>
          <w:bCs/>
          <w:sz w:val="32"/>
          <w:szCs w:val="32"/>
          <w:highlight w:val="none"/>
        </w:rPr>
        <w:t>项目的可持续效益</w:t>
      </w:r>
      <w:r>
        <w:rPr>
          <w:rFonts w:hint="eastAsia" w:ascii="仿宋_GB2312" w:eastAsia="仿宋_GB2312"/>
          <w:sz w:val="32"/>
          <w:szCs w:val="32"/>
          <w:highlight w:val="none"/>
        </w:rPr>
        <w:t>指标为改善喀什干部队伍结构，预期指标值为逐步改善，实际完成值为</w:t>
      </w:r>
      <w:r>
        <w:rPr>
          <w:rFonts w:hint="eastAsia" w:ascii="仿宋_GB2312" w:eastAsia="仿宋_GB2312"/>
          <w:sz w:val="32"/>
          <w:szCs w:val="32"/>
          <w:highlight w:val="none"/>
          <w:lang w:val="en-US" w:eastAsia="zh-CN"/>
        </w:rPr>
        <w:t>100%</w:t>
      </w:r>
      <w:r>
        <w:rPr>
          <w:rFonts w:hint="eastAsia" w:ascii="仿宋_GB2312" w:hAnsi="仿宋" w:eastAsia="仿宋_GB2312" w:cs="宋体"/>
          <w:bCs/>
          <w:sz w:val="32"/>
          <w:szCs w:val="32"/>
          <w:highlight w:val="none"/>
        </w:rPr>
        <w:t>，</w:t>
      </w:r>
      <w:r>
        <w:rPr>
          <w:rFonts w:hint="eastAsia" w:ascii="仿宋_GB2312" w:eastAsia="仿宋_GB2312"/>
          <w:sz w:val="32"/>
          <w:szCs w:val="32"/>
          <w:highlight w:val="none"/>
        </w:rPr>
        <w:t>项目的可</w:t>
      </w:r>
      <w:r>
        <w:rPr>
          <w:rFonts w:hint="eastAsia" w:ascii="仿宋_GB2312" w:eastAsia="仿宋_GB2312"/>
          <w:sz w:val="32"/>
          <w:szCs w:val="32"/>
        </w:rPr>
        <w:t>持续效益指标达到预期目标。</w:t>
      </w:r>
    </w:p>
    <w:p>
      <w:pPr>
        <w:spacing w:beforeLines="50" w:line="600" w:lineRule="atLeast"/>
        <w:ind w:firstLine="660"/>
        <w:rPr>
          <w:rFonts w:ascii="仿宋_GB2312" w:eastAsia="仿宋_GB2312"/>
          <w:sz w:val="32"/>
          <w:szCs w:val="32"/>
        </w:rPr>
      </w:pPr>
      <w:r>
        <w:rPr>
          <w:rFonts w:hint="eastAsia" w:ascii="仿宋_GB2312" w:hAnsi="仿宋" w:eastAsia="仿宋_GB2312" w:cs="宋体"/>
          <w:bCs/>
          <w:sz w:val="32"/>
          <w:szCs w:val="32"/>
        </w:rPr>
        <w:t>经问卷</w:t>
      </w:r>
      <w:r>
        <w:rPr>
          <w:rFonts w:hint="eastAsia" w:ascii="仿宋_GB2312" w:hAnsi="仿宋" w:eastAsia="仿宋_GB2312" w:cs="宋体"/>
          <w:bCs/>
          <w:color w:val="auto"/>
          <w:sz w:val="32"/>
          <w:szCs w:val="32"/>
        </w:rPr>
        <w:t>调查，</w:t>
      </w:r>
      <w:r>
        <w:rPr>
          <w:rFonts w:hint="eastAsia" w:ascii="仿宋_GB2312" w:hAnsi="仿宋" w:eastAsia="仿宋_GB2312" w:cs="宋体"/>
          <w:bCs/>
          <w:sz w:val="32"/>
          <w:szCs w:val="32"/>
        </w:rPr>
        <w:t>项目受益群众满意度指标为群众满意率（≥</w:t>
      </w:r>
      <w:r>
        <w:rPr>
          <w:rFonts w:ascii="仿宋_GB2312" w:hAnsi="仿宋" w:eastAsia="仿宋_GB2312" w:cs="宋体"/>
          <w:bCs/>
          <w:sz w:val="32"/>
          <w:szCs w:val="32"/>
        </w:rPr>
        <w:t>*%）</w:t>
      </w:r>
      <w:r>
        <w:rPr>
          <w:rFonts w:hint="eastAsia" w:ascii="仿宋_GB2312" w:hAnsi="仿宋" w:eastAsia="仿宋_GB2312" w:cs="宋体"/>
          <w:bCs/>
          <w:sz w:val="32"/>
          <w:szCs w:val="32"/>
        </w:rPr>
        <w:t>，</w:t>
      </w:r>
      <w:r>
        <w:rPr>
          <w:rFonts w:hint="eastAsia" w:ascii="仿宋_GB2312" w:eastAsia="仿宋_GB2312"/>
          <w:sz w:val="32"/>
          <w:szCs w:val="32"/>
        </w:rPr>
        <w:t>预期指标值为98%，实际完成值为98%，项目满意度指标达到预期目标。</w:t>
      </w:r>
    </w:p>
    <w:p>
      <w:pPr>
        <w:spacing w:beforeLines="50" w:line="600" w:lineRule="atLeast"/>
        <w:ind w:firstLine="660"/>
        <w:rPr>
          <w:rFonts w:ascii="仿宋_GB2312" w:eastAsia="仿宋_GB2312"/>
          <w:sz w:val="32"/>
          <w:szCs w:val="32"/>
        </w:rPr>
      </w:pPr>
      <w:r>
        <w:rPr>
          <w:rFonts w:hint="eastAsia" w:ascii="仿宋_GB2312" w:eastAsia="仿宋_GB2312"/>
          <w:sz w:val="32"/>
          <w:szCs w:val="32"/>
        </w:rPr>
        <w:t>培训学员满意率（≥</w:t>
      </w:r>
      <w:r>
        <w:rPr>
          <w:rFonts w:ascii="仿宋_GB2312" w:eastAsia="仿宋_GB2312"/>
          <w:sz w:val="32"/>
          <w:szCs w:val="32"/>
        </w:rPr>
        <w:t>*%），</w:t>
      </w:r>
      <w:r>
        <w:rPr>
          <w:rFonts w:hint="eastAsia" w:ascii="仿宋_GB2312" w:eastAsia="仿宋_GB2312"/>
          <w:sz w:val="32"/>
          <w:szCs w:val="32"/>
        </w:rPr>
        <w:t>预期指标值为95%，实际完成值为95%，项目满意度指标达到预期目标。</w:t>
      </w:r>
    </w:p>
    <w:p>
      <w:pPr>
        <w:pStyle w:val="17"/>
        <w:numPr>
          <w:ilvl w:val="0"/>
          <w:numId w:val="7"/>
        </w:numPr>
        <w:spacing w:beforeLines="50" w:line="600" w:lineRule="atLeast"/>
        <w:ind w:firstLineChars="0"/>
        <w:rPr>
          <w:rFonts w:ascii="黑体" w:hAnsi="黑体" w:eastAsia="黑体"/>
          <w:b/>
          <w:sz w:val="32"/>
          <w:szCs w:val="32"/>
        </w:rPr>
      </w:pPr>
      <w:r>
        <w:rPr>
          <w:rFonts w:hint="eastAsia" w:ascii="黑体" w:hAnsi="黑体" w:eastAsia="黑体"/>
          <w:b/>
          <w:sz w:val="32"/>
          <w:szCs w:val="32"/>
        </w:rPr>
        <w:t>主要经验及做法、存在的问题及原因分析</w:t>
      </w:r>
    </w:p>
    <w:p>
      <w:pPr>
        <w:pStyle w:val="17"/>
        <w:numPr>
          <w:ilvl w:val="1"/>
          <w:numId w:val="4"/>
        </w:numPr>
        <w:spacing w:beforeLines="50" w:line="600" w:lineRule="atLeast"/>
        <w:ind w:firstLineChars="0"/>
        <w:rPr>
          <w:rFonts w:ascii="仿宋_GB2312" w:eastAsia="仿宋_GB2312"/>
          <w:b/>
          <w:sz w:val="32"/>
          <w:szCs w:val="32"/>
        </w:rPr>
      </w:pPr>
      <w:r>
        <w:rPr>
          <w:rFonts w:hint="eastAsia" w:ascii="仿宋_GB2312" w:eastAsia="仿宋_GB2312"/>
          <w:b/>
          <w:sz w:val="32"/>
          <w:szCs w:val="32"/>
        </w:rPr>
        <w:t>主要经验及做法</w:t>
      </w:r>
    </w:p>
    <w:p>
      <w:pPr>
        <w:spacing w:beforeLines="50" w:line="600" w:lineRule="atLeast"/>
        <w:ind w:left="420" w:leftChars="200" w:firstLine="640" w:firstLineChars="200"/>
        <w:rPr>
          <w:rFonts w:ascii="仿宋_GB2312" w:hAnsi="黑体" w:eastAsia="仿宋_GB2312"/>
          <w:b/>
          <w:sz w:val="32"/>
          <w:szCs w:val="32"/>
        </w:rPr>
      </w:pPr>
      <w:r>
        <w:rPr>
          <w:rFonts w:hint="eastAsia" w:ascii="仿宋_GB2312" w:eastAsia="仿宋_GB2312"/>
          <w:sz w:val="32"/>
          <w:szCs w:val="32"/>
        </w:rPr>
        <w:t>本项目实施效果较好的原因主要是管理制度完善、责任落实到位，跟踪考核机制完善且运行有效，在项目实施过程中创新管理办法，采用与主管部门联合管理生方式使项目取得了良好的效果</w:t>
      </w:r>
      <w:r>
        <w:rPr>
          <w:rFonts w:hint="eastAsia" w:ascii="仿宋_GB2312" w:eastAsia="仿宋_GB2312"/>
          <w:color w:val="000000" w:themeColor="text1"/>
          <w:sz w:val="32"/>
          <w:szCs w:val="32"/>
        </w:rPr>
        <w:t>。</w:t>
      </w:r>
    </w:p>
    <w:p>
      <w:pPr>
        <w:pStyle w:val="23"/>
        <w:numPr>
          <w:ilvl w:val="0"/>
          <w:numId w:val="0"/>
        </w:numPr>
        <w:spacing w:line="600" w:lineRule="atLeast"/>
        <w:ind w:left="567" w:leftChars="270" w:firstLine="157" w:firstLineChars="49"/>
      </w:pPr>
      <w:r>
        <w:rPr>
          <w:rFonts w:hint="eastAsia"/>
        </w:rPr>
        <w:t>（二）存在的问题及原因分析</w:t>
      </w:r>
    </w:p>
    <w:p>
      <w:pPr>
        <w:pStyle w:val="23"/>
        <w:numPr>
          <w:ilvl w:val="0"/>
          <w:numId w:val="0"/>
        </w:numPr>
        <w:spacing w:line="600" w:lineRule="atLeast"/>
        <w:ind w:firstLine="640" w:firstLineChars="200"/>
        <w:rPr>
          <w:b w:val="0"/>
        </w:rPr>
      </w:pPr>
      <w:r>
        <w:rPr>
          <w:rFonts w:hint="eastAsia"/>
          <w:b w:val="0"/>
        </w:rPr>
        <w:t>资金未全部使用，结余资金</w:t>
      </w:r>
      <w:r>
        <w:rPr>
          <w:b w:val="0"/>
        </w:rPr>
        <w:t>678.95元</w:t>
      </w:r>
      <w:r>
        <w:rPr>
          <w:rFonts w:hint="eastAsia"/>
          <w:b w:val="0"/>
        </w:rPr>
        <w:t xml:space="preserve"> 。</w:t>
      </w:r>
    </w:p>
    <w:p>
      <w:pPr>
        <w:pStyle w:val="23"/>
        <w:numPr>
          <w:ilvl w:val="0"/>
          <w:numId w:val="0"/>
        </w:numPr>
        <w:spacing w:line="600" w:lineRule="atLeast"/>
        <w:ind w:firstLine="640" w:firstLineChars="200"/>
        <w:rPr>
          <w:b w:val="0"/>
        </w:rPr>
      </w:pPr>
      <w:r>
        <w:rPr>
          <w:rFonts w:hint="eastAsia"/>
          <w:b w:val="0"/>
        </w:rPr>
        <w:t>原因分析：项目预算不够精准，实际支出资金与预算资金不符。</w:t>
      </w:r>
    </w:p>
    <w:p>
      <w:pPr>
        <w:pStyle w:val="21"/>
        <w:numPr>
          <w:ilvl w:val="0"/>
          <w:numId w:val="7"/>
        </w:numPr>
        <w:spacing w:line="600" w:lineRule="atLeast"/>
        <w:ind w:firstLineChars="0"/>
        <w:rPr>
          <w:rFonts w:ascii="黑体" w:hAnsi="黑体"/>
        </w:rPr>
      </w:pPr>
      <w:r>
        <w:rPr>
          <w:rFonts w:hint="eastAsia" w:ascii="黑体" w:hAnsi="黑体"/>
        </w:rPr>
        <w:t>有关建议</w:t>
      </w:r>
    </w:p>
    <w:p>
      <w:pPr>
        <w:pStyle w:val="23"/>
        <w:numPr>
          <w:ilvl w:val="0"/>
          <w:numId w:val="0"/>
        </w:numPr>
        <w:spacing w:line="600" w:lineRule="atLeast"/>
        <w:ind w:left="990" w:leftChars="272" w:hanging="419" w:hangingChars="131"/>
        <w:rPr>
          <w:b w:val="0"/>
        </w:rPr>
      </w:pPr>
      <w:r>
        <w:rPr>
          <w:rFonts w:hint="eastAsia"/>
          <w:b w:val="0"/>
        </w:rPr>
        <w:t>严格做好资金预算，按照项目资金预算推进项目实施。</w:t>
      </w:r>
    </w:p>
    <w:p>
      <w:pPr>
        <w:pStyle w:val="21"/>
        <w:numPr>
          <w:ilvl w:val="0"/>
          <w:numId w:val="8"/>
        </w:numPr>
        <w:spacing w:line="600" w:lineRule="atLeast"/>
        <w:ind w:firstLineChars="0"/>
        <w:rPr>
          <w:rFonts w:ascii="黑体" w:hAnsi="黑体"/>
          <w:b w:val="0"/>
        </w:rPr>
      </w:pPr>
      <w:r>
        <w:rPr>
          <w:rFonts w:hint="eastAsia" w:ascii="黑体" w:hAnsi="黑体"/>
        </w:rPr>
        <w:t>其他需要说明的问题</w:t>
      </w:r>
    </w:p>
    <w:p>
      <w:pPr>
        <w:pStyle w:val="21"/>
        <w:spacing w:line="600" w:lineRule="atLeast"/>
        <w:ind w:firstLine="640"/>
        <w:rPr>
          <w:rFonts w:ascii="仿宋_GB2312" w:hAnsi="仿宋" w:eastAsia="仿宋_GB2312" w:cs="宋体"/>
          <w:b w:val="0"/>
          <w:kern w:val="2"/>
        </w:rPr>
      </w:pPr>
      <w:r>
        <w:rPr>
          <w:rFonts w:hint="eastAsia" w:ascii="仿宋_GB2312" w:hAnsi="仿宋" w:eastAsia="仿宋_GB2312" w:cs="宋体"/>
          <w:b w:val="0"/>
          <w:kern w:val="2"/>
        </w:rPr>
        <w:t xml:space="preserve"> 无</w:t>
      </w:r>
    </w:p>
    <w:p>
      <w:pPr>
        <w:pStyle w:val="21"/>
        <w:spacing w:line="600" w:lineRule="atLeast"/>
        <w:ind w:firstLine="0" w:firstLineChars="0"/>
        <w:rPr>
          <w:rFonts w:ascii="仿宋_GB2312" w:hAnsi="仿宋" w:eastAsia="仿宋_GB2312" w:cs="宋体"/>
        </w:rPr>
      </w:pPr>
    </w:p>
    <w:p>
      <w:pPr>
        <w:spacing w:beforeLines="50" w:line="600" w:lineRule="atLeast"/>
        <w:ind w:firstLine="640" w:firstLineChars="200"/>
        <w:rPr>
          <w:rFonts w:ascii="仿宋_GB2312" w:hAnsi="仿宋" w:eastAsia="仿宋_GB2312" w:cs="宋体"/>
          <w:color w:val="FF0000"/>
          <w:sz w:val="32"/>
          <w:szCs w:val="32"/>
        </w:rPr>
      </w:pPr>
      <w:r>
        <w:rPr>
          <w:rFonts w:hint="eastAsia" w:ascii="仿宋_GB2312" w:hAnsi="仿宋" w:eastAsia="仿宋_GB2312" w:cs="宋体"/>
          <w:sz w:val="32"/>
          <w:szCs w:val="32"/>
        </w:rPr>
        <w:t>附件1：喀什地委党校生专项经费项目支出绩效目标申报表</w:t>
      </w:r>
    </w:p>
    <w:p>
      <w:pPr>
        <w:spacing w:beforeLines="50" w:line="600" w:lineRule="atLeas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附件2：喀什地委党校生专项经费项目支出绩效评价指标体系</w:t>
      </w:r>
    </w:p>
    <w:p>
      <w:pPr>
        <w:spacing w:beforeLines="50" w:line="600" w:lineRule="atLeas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附件3：喀什地委党校生专项经费项目支出绩效评价评分表</w:t>
      </w:r>
    </w:p>
    <w:p>
      <w:pPr>
        <w:spacing w:beforeLines="50" w:line="600" w:lineRule="atLeas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附件4：绩效评价依据</w:t>
      </w:r>
    </w:p>
    <w:p>
      <w:pPr>
        <w:spacing w:beforeLines="50" w:line="600" w:lineRule="atLeast"/>
        <w:ind w:firstLine="640" w:firstLineChars="200"/>
        <w:rPr>
          <w:rFonts w:ascii="仿宋_GB2312" w:eastAsia="仿宋_GB2312"/>
          <w:sz w:val="32"/>
          <w:szCs w:val="32"/>
        </w:rPr>
      </w:pPr>
      <w:r>
        <w:rPr>
          <w:rFonts w:hint="eastAsia" w:ascii="仿宋_GB2312" w:hAnsi="仿宋" w:eastAsia="仿宋_GB2312" w:cs="宋体"/>
          <w:sz w:val="32"/>
          <w:szCs w:val="32"/>
        </w:rPr>
        <w:t>附件5：喀什地委党校生专项经费项目支出绩效自评表</w:t>
      </w:r>
    </w:p>
    <w:sectPr>
      <w:footerReference r:id="rId3"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70EA2"/>
    <w:multiLevelType w:val="multilevel"/>
    <w:tmpl w:val="0FB70EA2"/>
    <w:lvl w:ilvl="0" w:tentative="0">
      <w:start w:val="5"/>
      <w:numFmt w:val="japaneseCounting"/>
      <w:lvlText w:val="%1、"/>
      <w:lvlJc w:val="left"/>
      <w:pPr>
        <w:ind w:left="1380" w:hanging="720"/>
      </w:pPr>
      <w:rPr>
        <w:rFonts w:hint="default"/>
      </w:rPr>
    </w:lvl>
    <w:lvl w:ilvl="1" w:tentative="0">
      <w:start w:val="1"/>
      <w:numFmt w:val="lowerLetter"/>
      <w:lvlText w:val="%2)"/>
      <w:lvlJc w:val="left"/>
      <w:pPr>
        <w:ind w:left="1500" w:hanging="420"/>
      </w:pPr>
    </w:lvl>
    <w:lvl w:ilvl="2" w:tentative="0">
      <w:start w:val="1"/>
      <w:numFmt w:val="lowerRoman"/>
      <w:lvlText w:val="%3."/>
      <w:lvlJc w:val="right"/>
      <w:pPr>
        <w:ind w:left="1920" w:hanging="420"/>
      </w:pPr>
    </w:lvl>
    <w:lvl w:ilvl="3" w:tentative="0">
      <w:start w:val="1"/>
      <w:numFmt w:val="decimal"/>
      <w:lvlText w:val="%4."/>
      <w:lvlJc w:val="left"/>
      <w:pPr>
        <w:ind w:left="2340" w:hanging="420"/>
      </w:pPr>
    </w:lvl>
    <w:lvl w:ilvl="4" w:tentative="0">
      <w:start w:val="1"/>
      <w:numFmt w:val="lowerLetter"/>
      <w:lvlText w:val="%5)"/>
      <w:lvlJc w:val="left"/>
      <w:pPr>
        <w:ind w:left="2760" w:hanging="420"/>
      </w:pPr>
    </w:lvl>
    <w:lvl w:ilvl="5" w:tentative="0">
      <w:start w:val="1"/>
      <w:numFmt w:val="lowerRoman"/>
      <w:lvlText w:val="%6."/>
      <w:lvlJc w:val="right"/>
      <w:pPr>
        <w:ind w:left="3180" w:hanging="420"/>
      </w:pPr>
    </w:lvl>
    <w:lvl w:ilvl="6" w:tentative="0">
      <w:start w:val="1"/>
      <w:numFmt w:val="decimal"/>
      <w:lvlText w:val="%7."/>
      <w:lvlJc w:val="left"/>
      <w:pPr>
        <w:ind w:left="3600" w:hanging="420"/>
      </w:pPr>
    </w:lvl>
    <w:lvl w:ilvl="7" w:tentative="0">
      <w:start w:val="1"/>
      <w:numFmt w:val="lowerLetter"/>
      <w:lvlText w:val="%8)"/>
      <w:lvlJc w:val="left"/>
      <w:pPr>
        <w:ind w:left="4020" w:hanging="420"/>
      </w:pPr>
    </w:lvl>
    <w:lvl w:ilvl="8" w:tentative="0">
      <w:start w:val="1"/>
      <w:numFmt w:val="lowerRoman"/>
      <w:lvlText w:val="%9."/>
      <w:lvlJc w:val="right"/>
      <w:pPr>
        <w:ind w:left="4440" w:hanging="420"/>
      </w:pPr>
    </w:lvl>
  </w:abstractNum>
  <w:abstractNum w:abstractNumId="1">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2">
    <w:nsid w:val="3A7260C0"/>
    <w:multiLevelType w:val="multilevel"/>
    <w:tmpl w:val="3A7260C0"/>
    <w:lvl w:ilvl="0" w:tentative="0">
      <w:start w:val="1"/>
      <w:numFmt w:val="chineseCountingThousand"/>
      <w:pStyle w:val="2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5">
    <w:nsid w:val="5B493FDA"/>
    <w:multiLevelType w:val="multilevel"/>
    <w:tmpl w:val="5B493FDA"/>
    <w:lvl w:ilvl="0" w:tentative="0">
      <w:start w:val="1"/>
      <w:numFmt w:val="chineseCountingThousand"/>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6757463D"/>
    <w:multiLevelType w:val="multilevel"/>
    <w:tmpl w:val="6757463D"/>
    <w:lvl w:ilvl="0" w:tentative="0">
      <w:start w:val="1"/>
      <w:numFmt w:val="chineseCountingThousand"/>
      <w:lvlText w:val="%1、"/>
      <w:lvlJc w:val="left"/>
      <w:pPr>
        <w:ind w:left="1272" w:hanging="420"/>
      </w:pPr>
      <w:rPr>
        <w:rFonts w:hint="eastAsia"/>
        <w:color w:val="000000" w:themeColor="text1"/>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7">
    <w:nsid w:val="77D749E8"/>
    <w:multiLevelType w:val="multilevel"/>
    <w:tmpl w:val="77D749E8"/>
    <w:lvl w:ilvl="0" w:tentative="0">
      <w:start w:val="7"/>
      <w:numFmt w:val="japaneseCounting"/>
      <w:lvlText w:val="%1、"/>
      <w:lvlJc w:val="left"/>
      <w:pPr>
        <w:ind w:left="1341" w:hanging="720"/>
      </w:pPr>
      <w:rPr>
        <w:rFonts w:hint="default"/>
        <w:b/>
      </w:rPr>
    </w:lvl>
    <w:lvl w:ilvl="1" w:tentative="0">
      <w:start w:val="1"/>
      <w:numFmt w:val="lowerLetter"/>
      <w:lvlText w:val="%2)"/>
      <w:lvlJc w:val="left"/>
      <w:pPr>
        <w:ind w:left="1461" w:hanging="420"/>
      </w:pPr>
    </w:lvl>
    <w:lvl w:ilvl="2" w:tentative="0">
      <w:start w:val="1"/>
      <w:numFmt w:val="lowerRoman"/>
      <w:lvlText w:val="%3."/>
      <w:lvlJc w:val="right"/>
      <w:pPr>
        <w:ind w:left="1881" w:hanging="420"/>
      </w:pPr>
    </w:lvl>
    <w:lvl w:ilvl="3" w:tentative="0">
      <w:start w:val="1"/>
      <w:numFmt w:val="decimal"/>
      <w:lvlText w:val="%4."/>
      <w:lvlJc w:val="left"/>
      <w:pPr>
        <w:ind w:left="2301" w:hanging="420"/>
      </w:pPr>
    </w:lvl>
    <w:lvl w:ilvl="4" w:tentative="0">
      <w:start w:val="1"/>
      <w:numFmt w:val="lowerLetter"/>
      <w:lvlText w:val="%5)"/>
      <w:lvlJc w:val="left"/>
      <w:pPr>
        <w:ind w:left="2721" w:hanging="420"/>
      </w:pPr>
    </w:lvl>
    <w:lvl w:ilvl="5" w:tentative="0">
      <w:start w:val="1"/>
      <w:numFmt w:val="lowerRoman"/>
      <w:lvlText w:val="%6."/>
      <w:lvlJc w:val="right"/>
      <w:pPr>
        <w:ind w:left="3141" w:hanging="420"/>
      </w:pPr>
    </w:lvl>
    <w:lvl w:ilvl="6" w:tentative="0">
      <w:start w:val="1"/>
      <w:numFmt w:val="decimal"/>
      <w:lvlText w:val="%7."/>
      <w:lvlJc w:val="left"/>
      <w:pPr>
        <w:ind w:left="3561" w:hanging="420"/>
      </w:pPr>
    </w:lvl>
    <w:lvl w:ilvl="7" w:tentative="0">
      <w:start w:val="1"/>
      <w:numFmt w:val="lowerLetter"/>
      <w:lvlText w:val="%8)"/>
      <w:lvlJc w:val="left"/>
      <w:pPr>
        <w:ind w:left="3981" w:hanging="420"/>
      </w:pPr>
    </w:lvl>
    <w:lvl w:ilvl="8" w:tentative="0">
      <w:start w:val="1"/>
      <w:numFmt w:val="lowerRoman"/>
      <w:lvlText w:val="%9."/>
      <w:lvlJc w:val="right"/>
      <w:pPr>
        <w:ind w:left="4401" w:hanging="420"/>
      </w:pPr>
    </w:lvl>
  </w:abstractNum>
  <w:num w:numId="1">
    <w:abstractNumId w:val="2"/>
  </w:num>
  <w:num w:numId="2">
    <w:abstractNumId w:val="6"/>
  </w:num>
  <w:num w:numId="3">
    <w:abstractNumId w:val="4"/>
  </w:num>
  <w:num w:numId="4">
    <w:abstractNumId w:val="3"/>
  </w:num>
  <w:num w:numId="5">
    <w:abstractNumId w:val="1"/>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0"/>
  <w:drawingGridHorizontalSpacing w:val="210"/>
  <w:drawingGridVerticalSpacing w:val="158"/>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75715"/>
    <w:rsid w:val="00022413"/>
    <w:rsid w:val="00037F93"/>
    <w:rsid w:val="00042126"/>
    <w:rsid w:val="00045077"/>
    <w:rsid w:val="00053D6C"/>
    <w:rsid w:val="000B0597"/>
    <w:rsid w:val="000B1D67"/>
    <w:rsid w:val="000D23EF"/>
    <w:rsid w:val="000E0C7B"/>
    <w:rsid w:val="000F2007"/>
    <w:rsid w:val="00100A64"/>
    <w:rsid w:val="00100AA9"/>
    <w:rsid w:val="001143D6"/>
    <w:rsid w:val="0012798F"/>
    <w:rsid w:val="00132553"/>
    <w:rsid w:val="00151AF1"/>
    <w:rsid w:val="00161642"/>
    <w:rsid w:val="00174F3A"/>
    <w:rsid w:val="0018169D"/>
    <w:rsid w:val="00193649"/>
    <w:rsid w:val="0019720C"/>
    <w:rsid w:val="001A1902"/>
    <w:rsid w:val="001A4FFA"/>
    <w:rsid w:val="001B5B44"/>
    <w:rsid w:val="001D2079"/>
    <w:rsid w:val="001D5FF2"/>
    <w:rsid w:val="001D6F2E"/>
    <w:rsid w:val="001E3709"/>
    <w:rsid w:val="00203FB6"/>
    <w:rsid w:val="00213D79"/>
    <w:rsid w:val="00214EC0"/>
    <w:rsid w:val="00233ECE"/>
    <w:rsid w:val="00253007"/>
    <w:rsid w:val="002A1BF4"/>
    <w:rsid w:val="002B3A72"/>
    <w:rsid w:val="002C6231"/>
    <w:rsid w:val="002D78D5"/>
    <w:rsid w:val="002F1218"/>
    <w:rsid w:val="002F7CDC"/>
    <w:rsid w:val="00324E56"/>
    <w:rsid w:val="00331AF1"/>
    <w:rsid w:val="003468D7"/>
    <w:rsid w:val="00363E52"/>
    <w:rsid w:val="00382736"/>
    <w:rsid w:val="003A04D1"/>
    <w:rsid w:val="003C327E"/>
    <w:rsid w:val="003C4B3D"/>
    <w:rsid w:val="003C6E7F"/>
    <w:rsid w:val="003D2557"/>
    <w:rsid w:val="003E0E95"/>
    <w:rsid w:val="003F1C70"/>
    <w:rsid w:val="003F2C28"/>
    <w:rsid w:val="003F2E47"/>
    <w:rsid w:val="00403544"/>
    <w:rsid w:val="004115AA"/>
    <w:rsid w:val="004255B2"/>
    <w:rsid w:val="00434C92"/>
    <w:rsid w:val="00443C47"/>
    <w:rsid w:val="00452560"/>
    <w:rsid w:val="004657EB"/>
    <w:rsid w:val="00467DBB"/>
    <w:rsid w:val="004A0587"/>
    <w:rsid w:val="004C56AB"/>
    <w:rsid w:val="004D088E"/>
    <w:rsid w:val="004D4F06"/>
    <w:rsid w:val="004E620C"/>
    <w:rsid w:val="005225F1"/>
    <w:rsid w:val="00531253"/>
    <w:rsid w:val="00540B36"/>
    <w:rsid w:val="00561340"/>
    <w:rsid w:val="00563E06"/>
    <w:rsid w:val="0058554B"/>
    <w:rsid w:val="005920CA"/>
    <w:rsid w:val="00596DDF"/>
    <w:rsid w:val="005A0DE0"/>
    <w:rsid w:val="005B6EAB"/>
    <w:rsid w:val="005D7AC7"/>
    <w:rsid w:val="006028A0"/>
    <w:rsid w:val="00620211"/>
    <w:rsid w:val="00630E69"/>
    <w:rsid w:val="006362B2"/>
    <w:rsid w:val="0065420A"/>
    <w:rsid w:val="006842F9"/>
    <w:rsid w:val="00686495"/>
    <w:rsid w:val="006869EC"/>
    <w:rsid w:val="00694A44"/>
    <w:rsid w:val="006A18C6"/>
    <w:rsid w:val="006D0AA4"/>
    <w:rsid w:val="006F2513"/>
    <w:rsid w:val="006F64CB"/>
    <w:rsid w:val="00713EE0"/>
    <w:rsid w:val="0071759F"/>
    <w:rsid w:val="007253B3"/>
    <w:rsid w:val="00731D46"/>
    <w:rsid w:val="00734BAD"/>
    <w:rsid w:val="00752C57"/>
    <w:rsid w:val="00756FCB"/>
    <w:rsid w:val="00780CEF"/>
    <w:rsid w:val="00781733"/>
    <w:rsid w:val="007C5CF9"/>
    <w:rsid w:val="007D340B"/>
    <w:rsid w:val="007E6392"/>
    <w:rsid w:val="007F3C25"/>
    <w:rsid w:val="00811F2D"/>
    <w:rsid w:val="00815938"/>
    <w:rsid w:val="008226BA"/>
    <w:rsid w:val="00827DA6"/>
    <w:rsid w:val="00835103"/>
    <w:rsid w:val="00854416"/>
    <w:rsid w:val="008565AB"/>
    <w:rsid w:val="00866F54"/>
    <w:rsid w:val="00883FF2"/>
    <w:rsid w:val="0089293E"/>
    <w:rsid w:val="00893E6C"/>
    <w:rsid w:val="008C11E7"/>
    <w:rsid w:val="008D7BC7"/>
    <w:rsid w:val="0090104C"/>
    <w:rsid w:val="00933252"/>
    <w:rsid w:val="0093562D"/>
    <w:rsid w:val="0094654E"/>
    <w:rsid w:val="00960C95"/>
    <w:rsid w:val="00982B10"/>
    <w:rsid w:val="009C0267"/>
    <w:rsid w:val="009E5354"/>
    <w:rsid w:val="00A10F1E"/>
    <w:rsid w:val="00A12A0C"/>
    <w:rsid w:val="00A365D5"/>
    <w:rsid w:val="00A41B1D"/>
    <w:rsid w:val="00A41DB8"/>
    <w:rsid w:val="00A43094"/>
    <w:rsid w:val="00A53361"/>
    <w:rsid w:val="00A5786D"/>
    <w:rsid w:val="00A60191"/>
    <w:rsid w:val="00A81609"/>
    <w:rsid w:val="00A85237"/>
    <w:rsid w:val="00AB07C5"/>
    <w:rsid w:val="00AE1FDF"/>
    <w:rsid w:val="00AE3042"/>
    <w:rsid w:val="00B03B29"/>
    <w:rsid w:val="00B16C8F"/>
    <w:rsid w:val="00B24F12"/>
    <w:rsid w:val="00B32FA4"/>
    <w:rsid w:val="00B36F46"/>
    <w:rsid w:val="00B37689"/>
    <w:rsid w:val="00B47B13"/>
    <w:rsid w:val="00B53BE4"/>
    <w:rsid w:val="00B6063F"/>
    <w:rsid w:val="00B863C9"/>
    <w:rsid w:val="00B9042A"/>
    <w:rsid w:val="00BA0855"/>
    <w:rsid w:val="00BA65AD"/>
    <w:rsid w:val="00BB7EF1"/>
    <w:rsid w:val="00BC7696"/>
    <w:rsid w:val="00C2671D"/>
    <w:rsid w:val="00C563AA"/>
    <w:rsid w:val="00C6676D"/>
    <w:rsid w:val="00C71FF0"/>
    <w:rsid w:val="00C77259"/>
    <w:rsid w:val="00C97E2D"/>
    <w:rsid w:val="00CE137B"/>
    <w:rsid w:val="00D043D7"/>
    <w:rsid w:val="00D064BB"/>
    <w:rsid w:val="00D117FB"/>
    <w:rsid w:val="00D23C2E"/>
    <w:rsid w:val="00D61EC8"/>
    <w:rsid w:val="00D75A16"/>
    <w:rsid w:val="00D84488"/>
    <w:rsid w:val="00D93516"/>
    <w:rsid w:val="00DA7F4C"/>
    <w:rsid w:val="00DC002B"/>
    <w:rsid w:val="00DC5F94"/>
    <w:rsid w:val="00DD4935"/>
    <w:rsid w:val="00DE152F"/>
    <w:rsid w:val="00DE293B"/>
    <w:rsid w:val="00E05626"/>
    <w:rsid w:val="00E20C38"/>
    <w:rsid w:val="00E25B2F"/>
    <w:rsid w:val="00E31A13"/>
    <w:rsid w:val="00E373A5"/>
    <w:rsid w:val="00E66A4D"/>
    <w:rsid w:val="00E70EC9"/>
    <w:rsid w:val="00E72B1C"/>
    <w:rsid w:val="00E903C2"/>
    <w:rsid w:val="00E95414"/>
    <w:rsid w:val="00E96169"/>
    <w:rsid w:val="00EB47B8"/>
    <w:rsid w:val="00EF4345"/>
    <w:rsid w:val="00F0780F"/>
    <w:rsid w:val="00F16D54"/>
    <w:rsid w:val="00F51F2B"/>
    <w:rsid w:val="00F536A8"/>
    <w:rsid w:val="00F6015C"/>
    <w:rsid w:val="00F75715"/>
    <w:rsid w:val="00FB2E2F"/>
    <w:rsid w:val="00FC2953"/>
    <w:rsid w:val="00FC57C0"/>
    <w:rsid w:val="00FD300A"/>
    <w:rsid w:val="00FD6CC5"/>
    <w:rsid w:val="00FF137F"/>
    <w:rsid w:val="00FF6959"/>
    <w:rsid w:val="00FF6C14"/>
    <w:rsid w:val="01BE6316"/>
    <w:rsid w:val="024A76CF"/>
    <w:rsid w:val="064D4134"/>
    <w:rsid w:val="24E73B1F"/>
    <w:rsid w:val="26F03C06"/>
    <w:rsid w:val="2A547683"/>
    <w:rsid w:val="3C882A3C"/>
    <w:rsid w:val="3DF21266"/>
    <w:rsid w:val="54D65A3F"/>
    <w:rsid w:val="667765BF"/>
    <w:rsid w:val="68FD78A0"/>
    <w:rsid w:val="7775238E"/>
    <w:rsid w:val="7A8638D9"/>
    <w:rsid w:val="7EBC48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6"/>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semiHidden/>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semiHidden/>
    <w:unhideWhenUsed/>
    <w:qFormat/>
    <w:uiPriority w:val="39"/>
    <w:rPr>
      <w:rFonts w:eastAsia="仿宋_GB2312"/>
      <w:sz w:val="28"/>
    </w:rPr>
  </w:style>
  <w:style w:type="paragraph" w:styleId="6">
    <w:name w:val="Balloon Text"/>
    <w:basedOn w:val="1"/>
    <w:link w:val="20"/>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rPr>
      <w:rFonts w:eastAsia="仿宋_GB2312"/>
      <w:sz w:val="28"/>
    </w:rPr>
  </w:style>
  <w:style w:type="paragraph" w:styleId="10">
    <w:name w:val="toc 2"/>
    <w:basedOn w:val="1"/>
    <w:next w:val="1"/>
    <w:unhideWhenUsed/>
    <w:qFormat/>
    <w:uiPriority w:val="39"/>
    <w:rPr>
      <w:rFonts w:eastAsia="仿宋_GB2312"/>
      <w:sz w:val="2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unhideWhenUsed/>
    <w:qFormat/>
    <w:uiPriority w:val="99"/>
    <w:rPr>
      <w:color w:val="0563C1" w:themeColor="hyperlink"/>
      <w:u w:val="single"/>
    </w:rPr>
  </w:style>
  <w:style w:type="character" w:customStyle="1" w:styleId="16">
    <w:name w:val="标题 1 Char"/>
    <w:basedOn w:val="14"/>
    <w:link w:val="2"/>
    <w:qFormat/>
    <w:uiPriority w:val="9"/>
    <w:rPr>
      <w:rFonts w:ascii="Times New Roman" w:hAnsi="Times New Roman" w:eastAsia="黑体" w:cs="Arial"/>
      <w:b/>
      <w:bCs/>
      <w:kern w:val="44"/>
      <w:sz w:val="28"/>
      <w:szCs w:val="44"/>
    </w:rPr>
  </w:style>
  <w:style w:type="paragraph" w:styleId="17">
    <w:name w:val="List Paragraph"/>
    <w:basedOn w:val="1"/>
    <w:qFormat/>
    <w:uiPriority w:val="34"/>
    <w:pPr>
      <w:ind w:firstLine="420" w:firstLineChars="200"/>
    </w:pPr>
  </w:style>
  <w:style w:type="character" w:customStyle="1" w:styleId="18">
    <w:name w:val="页眉 Char"/>
    <w:basedOn w:val="14"/>
    <w:link w:val="8"/>
    <w:qFormat/>
    <w:uiPriority w:val="99"/>
    <w:rPr>
      <w:sz w:val="18"/>
      <w:szCs w:val="18"/>
    </w:rPr>
  </w:style>
  <w:style w:type="character" w:customStyle="1" w:styleId="19">
    <w:name w:val="页脚 Char"/>
    <w:basedOn w:val="14"/>
    <w:link w:val="7"/>
    <w:qFormat/>
    <w:uiPriority w:val="99"/>
    <w:rPr>
      <w:sz w:val="18"/>
      <w:szCs w:val="18"/>
    </w:rPr>
  </w:style>
  <w:style w:type="character" w:customStyle="1" w:styleId="20">
    <w:name w:val="批注框文本 Char"/>
    <w:basedOn w:val="14"/>
    <w:link w:val="6"/>
    <w:semiHidden/>
    <w:qFormat/>
    <w:uiPriority w:val="99"/>
    <w:rPr>
      <w:sz w:val="18"/>
      <w:szCs w:val="18"/>
    </w:rPr>
  </w:style>
  <w:style w:type="paragraph" w:customStyle="1" w:styleId="21">
    <w:name w:val="标题1"/>
    <w:basedOn w:val="2"/>
    <w:qFormat/>
    <w:uiPriority w:val="0"/>
    <w:pPr>
      <w:spacing w:before="120" w:after="120" w:line="500" w:lineRule="exact"/>
      <w:ind w:firstLine="200" w:firstLineChars="200"/>
    </w:pPr>
    <w:rPr>
      <w:rFonts w:cs="Times New Roman"/>
      <w:sz w:val="32"/>
      <w:szCs w:val="32"/>
    </w:rPr>
  </w:style>
  <w:style w:type="character" w:customStyle="1" w:styleId="22">
    <w:name w:val="标题 2 Char"/>
    <w:basedOn w:val="14"/>
    <w:link w:val="3"/>
    <w:qFormat/>
    <w:uiPriority w:val="9"/>
    <w:rPr>
      <w:rFonts w:asciiTheme="majorHAnsi" w:hAnsiTheme="majorHAnsi" w:eastAsiaTheme="majorEastAsia" w:cstheme="majorBidi"/>
      <w:b/>
      <w:bCs/>
      <w:sz w:val="32"/>
      <w:szCs w:val="32"/>
    </w:rPr>
  </w:style>
  <w:style w:type="paragraph" w:customStyle="1" w:styleId="23">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25">
    <w:name w:val="闻政正文 Char"/>
    <w:link w:val="26"/>
    <w:qFormat/>
    <w:uiPriority w:val="0"/>
    <w:rPr>
      <w:rFonts w:ascii="Times New Roman" w:hAnsi="Times New Roman" w:eastAsia="仿宋_GB2312" w:cs="Times New Roman"/>
      <w:sz w:val="28"/>
      <w:szCs w:val="28"/>
    </w:rPr>
  </w:style>
  <w:style w:type="paragraph" w:customStyle="1" w:styleId="26">
    <w:name w:val="闻政正文"/>
    <w:basedOn w:val="1"/>
    <w:link w:val="25"/>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7">
    <w:name w:val="闻政表 Char"/>
    <w:link w:val="28"/>
    <w:qFormat/>
    <w:uiPriority w:val="0"/>
    <w:rPr>
      <w:rFonts w:ascii="Times New Roman" w:hAnsi="Times New Roman" w:eastAsia="仿宋_GB2312" w:cs="Times New Roman"/>
      <w:b/>
      <w:sz w:val="24"/>
      <w:szCs w:val="28"/>
    </w:rPr>
  </w:style>
  <w:style w:type="paragraph" w:customStyle="1" w:styleId="28">
    <w:name w:val="闻政表"/>
    <w:basedOn w:val="1"/>
    <w:link w:val="27"/>
    <w:qFormat/>
    <w:uiPriority w:val="0"/>
    <w:pPr>
      <w:spacing w:before="60" w:after="60"/>
      <w:jc w:val="center"/>
    </w:pPr>
    <w:rPr>
      <w:rFonts w:ascii="Times New Roman" w:hAnsi="Times New Roman" w:eastAsia="仿宋_GB2312" w:cs="Times New Roman"/>
      <w:b/>
      <w:sz w:val="24"/>
      <w:szCs w:val="28"/>
    </w:rPr>
  </w:style>
  <w:style w:type="paragraph" w:customStyle="1" w:styleId="29">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0">
    <w:name w:val="闻政标题3 Char"/>
    <w:link w:val="31"/>
    <w:qFormat/>
    <w:uiPriority w:val="0"/>
    <w:rPr>
      <w:rFonts w:ascii="黑体" w:hAnsi="黑体" w:eastAsia="黑体" w:cs="Times New Roman"/>
      <w:bCs/>
      <w:sz w:val="32"/>
      <w:szCs w:val="32"/>
    </w:rPr>
  </w:style>
  <w:style w:type="paragraph" w:customStyle="1" w:styleId="31">
    <w:name w:val="闻政标题3"/>
    <w:basedOn w:val="4"/>
    <w:link w:val="30"/>
    <w:qFormat/>
    <w:uiPriority w:val="99"/>
    <w:pPr>
      <w:spacing w:before="120" w:after="60" w:line="500" w:lineRule="exact"/>
      <w:jc w:val="left"/>
      <w:outlineLvl w:val="0"/>
    </w:pPr>
    <w:rPr>
      <w:rFonts w:ascii="黑体" w:hAnsi="黑体" w:eastAsia="黑体" w:cs="Times New Roman"/>
      <w:b w:val="0"/>
    </w:rPr>
  </w:style>
  <w:style w:type="character" w:customStyle="1" w:styleId="32">
    <w:name w:val="标题 3 Char"/>
    <w:basedOn w:val="14"/>
    <w:link w:val="4"/>
    <w:semiHidden/>
    <w:qFormat/>
    <w:uiPriority w:val="9"/>
    <w:rPr>
      <w:b/>
      <w:bCs/>
      <w:sz w:val="32"/>
      <w:szCs w:val="32"/>
    </w:rPr>
  </w:style>
  <w:style w:type="paragraph" w:customStyle="1" w:styleId="33">
    <w:name w:val="Body text|1"/>
    <w:basedOn w:val="1"/>
    <w:link w:val="34"/>
    <w:qFormat/>
    <w:uiPriority w:val="0"/>
    <w:pPr>
      <w:spacing w:after="40" w:line="334" w:lineRule="auto"/>
    </w:pPr>
    <w:rPr>
      <w:rFonts w:ascii="MingLiU" w:hAnsi="MingLiU" w:eastAsia="MingLiU" w:cs="MingLiU"/>
      <w:sz w:val="20"/>
      <w:szCs w:val="20"/>
      <w:lang w:val="zh-TW" w:eastAsia="zh-TW" w:bidi="zh-TW"/>
    </w:rPr>
  </w:style>
  <w:style w:type="character" w:customStyle="1" w:styleId="34">
    <w:name w:val="Body text|1_"/>
    <w:basedOn w:val="14"/>
    <w:link w:val="33"/>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2F1EB-F90A-43BA-ADA9-C32044478457}">
  <ds:schemaRefs/>
</ds:datastoreItem>
</file>

<file path=docProps/app.xml><?xml version="1.0" encoding="utf-8"?>
<Properties xmlns="http://schemas.openxmlformats.org/officeDocument/2006/extended-properties" xmlns:vt="http://schemas.openxmlformats.org/officeDocument/2006/docPropsVTypes">
  <Template>Normal</Template>
  <Pages>10</Pages>
  <Words>482</Words>
  <Characters>2751</Characters>
  <Lines>22</Lines>
  <Paragraphs>6</Paragraphs>
  <TotalTime>205</TotalTime>
  <ScaleCrop>false</ScaleCrop>
  <LinksUpToDate>false</LinksUpToDate>
  <CharactersWithSpaces>3227</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Apple</cp:lastModifiedBy>
  <cp:lastPrinted>2020-04-16T09:04:00Z</cp:lastPrinted>
  <dcterms:modified xsi:type="dcterms:W3CDTF">2020-09-05T10:07:41Z</dcterms:modified>
  <dc:title>新疆普天鹏华商务信息咨询有限公司</dc:title>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