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ascii="方正小标宋简体" w:eastAsia="方正小标宋简体"/>
          <w:sz w:val="44"/>
          <w:szCs w:val="44"/>
        </w:rPr>
      </w:pPr>
      <w:bookmarkStart w:id="8" w:name="_GoBack"/>
      <w:bookmarkEnd w:id="8"/>
    </w:p>
    <w:p>
      <w:pPr>
        <w:spacing w:before="156"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="156"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="156" w:before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喀什地区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机关事务管理局综合办公区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劳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保经费</w:t>
      </w:r>
      <w:r>
        <w:rPr>
          <w:rFonts w:hint="eastAsia" w:ascii="方正小标宋简体" w:eastAsia="方正小标宋简体"/>
          <w:sz w:val="44"/>
          <w:szCs w:val="44"/>
        </w:rPr>
        <w:t>项目支出绩效评价报告</w:t>
      </w:r>
    </w:p>
    <w:p>
      <w:pPr>
        <w:spacing w:before="156"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="156"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="156"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="156"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项目名称：</w:t>
      </w:r>
      <w:r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  <w:t>综合办公区劳保经费项目</w:t>
      </w:r>
    </w:p>
    <w:p>
      <w:pPr>
        <w:autoSpaceDE w:val="0"/>
        <w:autoSpaceDN w:val="0"/>
        <w:spacing w:line="540" w:lineRule="exact"/>
        <w:ind w:firstLine="712" w:firstLineChars="200"/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实施单位：</w:t>
      </w:r>
      <w:r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  <w:t>喀什地区机关事务管理局</w:t>
      </w:r>
    </w:p>
    <w:p>
      <w:pPr>
        <w:autoSpaceDE w:val="0"/>
        <w:autoSpaceDN w:val="0"/>
        <w:spacing w:line="540" w:lineRule="exact"/>
        <w:ind w:firstLine="712" w:firstLineChars="200"/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评价部门：</w:t>
      </w:r>
      <w:r>
        <w:rPr>
          <w:rFonts w:hint="eastAsia" w:ascii="仿宋_GB2312" w:hAnsi="仿宋" w:eastAsia="仿宋_GB2312" w:cs="Times New Roman"/>
          <w:spacing w:val="-2"/>
          <w:sz w:val="36"/>
          <w:szCs w:val="36"/>
          <w:lang w:eastAsia="zh-CN"/>
        </w:rPr>
        <w:t>喀什地区机关事务管理局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136" w:firstLineChars="6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848" w:firstLineChars="8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二零二零年四月</w:t>
      </w:r>
    </w:p>
    <w:p>
      <w:pPr>
        <w:spacing w:before="156" w:beforeLines="50" w:line="0" w:lineRule="atLeast"/>
        <w:jc w:val="left"/>
        <w:rPr>
          <w:sz w:val="28"/>
          <w:szCs w:val="28"/>
        </w:rPr>
      </w:pPr>
    </w:p>
    <w:p>
      <w:pPr>
        <w:spacing w:before="156" w:beforeLines="50" w:after="156" w:afterLines="50" w:line="600" w:lineRule="exact"/>
        <w:jc w:val="center"/>
        <w:rPr>
          <w:rFonts w:hint="eastAsia" w:ascii="方正小标宋简体" w:hAnsi="仿宋_GB2312" w:eastAsia="方正小标宋简体" w:cs="仿宋_GB2312"/>
          <w:color w:val="FF0000"/>
          <w:kern w:val="0"/>
          <w:sz w:val="44"/>
          <w:szCs w:val="44"/>
          <w:shd w:val="clear" w:color="auto" w:fill="FFFFFF"/>
          <w:lang w:bidi="ar"/>
        </w:rPr>
      </w:pPr>
    </w:p>
    <w:p>
      <w:pPr>
        <w:spacing w:before="156" w:beforeLines="50" w:after="156" w:afterLines="50" w:line="600" w:lineRule="exact"/>
        <w:jc w:val="center"/>
        <w:rPr>
          <w:rFonts w:hint="eastAsia" w:ascii="方正小标宋简体" w:hAnsi="仿宋_GB2312" w:eastAsia="方正小标宋简体" w:cs="仿宋_GB2312"/>
          <w:color w:val="FF0000"/>
          <w:kern w:val="0"/>
          <w:sz w:val="44"/>
          <w:szCs w:val="44"/>
          <w:shd w:val="clear" w:color="auto" w:fill="FFFFFF"/>
          <w:lang w:bidi="ar"/>
        </w:rPr>
      </w:pPr>
    </w:p>
    <w:p>
      <w:pPr>
        <w:spacing w:before="156" w:beforeLines="50" w:after="156" w:afterLines="50" w:line="600" w:lineRule="exact"/>
        <w:jc w:val="center"/>
        <w:rPr>
          <w:rFonts w:hint="eastAsia" w:ascii="方正小标宋简体" w:hAnsi="仿宋_GB2312" w:eastAsia="方正小标宋简体" w:cs="仿宋_GB2312"/>
          <w:color w:val="FF0000"/>
          <w:kern w:val="0"/>
          <w:sz w:val="44"/>
          <w:szCs w:val="44"/>
          <w:shd w:val="clear" w:color="auto" w:fill="FFFFFF"/>
          <w:lang w:bidi="ar"/>
        </w:rPr>
      </w:pPr>
    </w:p>
    <w:p>
      <w:pPr>
        <w:pStyle w:val="21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基本情况</w:t>
      </w:r>
    </w:p>
    <w:p>
      <w:pPr>
        <w:pStyle w:val="2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0" w:name="_Toc26401549"/>
      <w:r>
        <w:rPr>
          <w:rFonts w:hint="eastAsia"/>
          <w:lang w:bidi="ar"/>
        </w:rPr>
        <w:t>项目概况</w:t>
      </w:r>
      <w:bookmarkEnd w:id="0"/>
    </w:p>
    <w:p>
      <w:pPr>
        <w:pStyle w:val="17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项目背景及立项依据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为进一步贯彻落实</w:t>
      </w:r>
      <w:r>
        <w:rPr>
          <w:rFonts w:ascii="仿宋" w:hAnsi="仿宋" w:eastAsia="仿宋" w:cs="仿宋"/>
          <w:sz w:val="32"/>
          <w:szCs w:val="32"/>
          <w:lang w:eastAsia="zh-CN"/>
        </w:rPr>
        <w:t>《中华人民共和国劳动法》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，改善职工工作条件，充分调动职工工作积极性，更好的完成各项工作，更好的为机关服务，为民服务。地直机关综合办公区于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2019年6月正式投入使用，为确保各项保洁、保绿工作顺利开展，需购置劳保用品一批。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立项依据：一是根据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喀什地区机关事务管理局职能配置内设机构和人员编制规定》的通知》（喀党办字〔2019〕63号）文件中规定的机关事务管理局职能确定；二是根据《劳动防护用品配备标准（试行）》，符合国家、自治区以及喀什地区等相关扶贫政策、规划和法律法规。</w:t>
      </w:r>
    </w:p>
    <w:p>
      <w:pPr>
        <w:pStyle w:val="17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项目主要内容及实施情况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项目的主要内容为：本项目的主管部门为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喀什地区机关事务管理局</w:t>
      </w:r>
      <w:r>
        <w:rPr>
          <w:rFonts w:ascii="仿宋_GB2312" w:hAnsi="仿宋" w:eastAsia="仿宋_GB2312" w:cs="宋体"/>
          <w:sz w:val="32"/>
          <w:szCs w:val="32"/>
          <w:lang w:bidi="ar"/>
        </w:rPr>
        <w:t>,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实施单位为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喀什地区机关事务管理局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，主要职责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：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负责地直机关综合办公区内后勤保障工作。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项目的实施情况：本项目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按照行署领导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文件批复，确定了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采购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小组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，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由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喀什地区机关事务管理局负责物品采购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default" w:ascii="仿宋_GB2312" w:hAnsi="仿宋" w:eastAsia="仿宋_GB2312" w:cs="宋体"/>
          <w:sz w:val="32"/>
          <w:szCs w:val="32"/>
          <w:lang w:val="en-US" w:eastAsia="zh-CN" w:bidi="ar"/>
        </w:rPr>
      </w:pP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3.项目负责人为地区机关事务管理局后勤服务管理科科长王磊，主要职责为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负责劳保用品采购管理，监督工作。</w:t>
      </w:r>
    </w:p>
    <w:p>
      <w:pPr>
        <w:pStyle w:val="2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1" w:name="_Toc26401550"/>
      <w:r>
        <w:rPr>
          <w:rFonts w:hint="eastAsia"/>
          <w:lang w:bidi="ar"/>
        </w:rPr>
        <w:t>资金</w:t>
      </w:r>
      <w:bookmarkEnd w:id="1"/>
      <w:r>
        <w:rPr>
          <w:rFonts w:hint="eastAsia"/>
          <w:lang w:bidi="ar"/>
        </w:rPr>
        <w:t>投入和使用情况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本项目总投资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36000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元，资金来源为本级部门预算资金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36000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元。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综合办公区劳保经费项目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资金的使用范围：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主要用于</w:t>
      </w:r>
      <w:r>
        <w:rPr>
          <w:rFonts w:hint="eastAsia" w:ascii="仿宋_GB2312" w:eastAsia="仿宋_GB2312"/>
          <w:sz w:val="32"/>
          <w:szCs w:val="32"/>
        </w:rPr>
        <w:t>购置保洁工具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保绿工具一批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地区机关事务管理局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制定了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《机关事务管理局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资金管理办法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》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，根据中央和自治区项目资金管理办法的要求，严格按照项目资金规定的专项资金支持的项目条件和范围要求，严格按照有</w:t>
      </w:r>
      <w:r>
        <w:rPr>
          <w:rFonts w:hint="eastAsia" w:ascii="仿宋" w:hAnsi="仿宋" w:eastAsia="仿宋"/>
          <w:bCs/>
          <w:spacing w:val="-4"/>
          <w:sz w:val="30"/>
          <w:szCs w:val="30"/>
        </w:rPr>
        <w:t>关规定使用管理项目资金。</w:t>
      </w:r>
    </w:p>
    <w:p>
      <w:pPr>
        <w:pStyle w:val="2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2" w:name="_Toc26401551"/>
      <w:r>
        <w:rPr>
          <w:rFonts w:hint="eastAsia"/>
          <w:lang w:bidi="ar"/>
        </w:rPr>
        <w:t>绩效目标</w:t>
      </w:r>
      <w:bookmarkEnd w:id="2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总体目标为：结合地直机关综合办公区实际情况，为保障办公区内公共区域卫生环境，6.2亩绿化区各类制备的存活，计划购置保洁工具1批，预计支出1万元；保绿工具一批，预计支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出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2.6万元，确保办公区内环境卫生整洁，绿化保障开工及时率达到100%，绿化保障完工及时率达到100%，不断提升办公区美化、绿化效果，干部职工对工作环境满意率达到90%。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color w:val="FF0000"/>
          <w:sz w:val="32"/>
          <w:szCs w:val="32"/>
          <w:lang w:bidi="ar"/>
        </w:rPr>
      </w:pPr>
      <w:r>
        <w:rPr>
          <w:rFonts w:ascii="仿宋_GB2312" w:hAnsi="仿宋" w:eastAsia="仿宋_GB2312" w:cs="宋体"/>
          <w:sz w:val="32"/>
          <w:szCs w:val="32"/>
          <w:lang w:bidi="ar"/>
        </w:rPr>
        <w:t xml:space="preserve"> 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项目共设置</w:t>
      </w:r>
      <w:r>
        <w:rPr>
          <w:rFonts w:ascii="仿宋_GB2312" w:hAnsi="仿宋" w:eastAsia="仿宋_GB2312" w:cs="宋体"/>
          <w:sz w:val="32"/>
          <w:szCs w:val="32"/>
          <w:lang w:bidi="ar"/>
        </w:rPr>
        <w:t>1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级指标3个，二级指标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7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个，三级指标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10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个，绩效目标申报表详见附件1。</w:t>
      </w:r>
    </w:p>
    <w:p>
      <w:pPr>
        <w:pStyle w:val="21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3" w:name="_Toc26401552"/>
      <w:r>
        <w:rPr>
          <w:rFonts w:hint="eastAsia"/>
          <w:lang w:bidi="ar"/>
        </w:rPr>
        <w:t>评价工作简述</w:t>
      </w:r>
      <w:bookmarkEnd w:id="3"/>
    </w:p>
    <w:p>
      <w:pPr>
        <w:pStyle w:val="23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4" w:name="_Toc26401553"/>
      <w:r>
        <w:rPr>
          <w:rFonts w:hint="eastAsia"/>
          <w:lang w:bidi="ar"/>
        </w:rPr>
        <w:t>评价目的</w:t>
      </w:r>
      <w:bookmarkEnd w:id="4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color w:val="FF0000"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本次绩效评价遵循财政部《项目</w:t>
      </w:r>
      <w:r>
        <w:rPr>
          <w:rFonts w:ascii="仿宋_GB2312" w:hAnsi="仿宋" w:eastAsia="仿宋_GB2312" w:cs="宋体"/>
          <w:sz w:val="32"/>
          <w:szCs w:val="32"/>
          <w:lang w:bidi="ar"/>
        </w:rPr>
        <w:t>支出绩效评价管理办法》（财预〔2020〕10号）和自治区财政厅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  <w:lang w:bidi="ar"/>
        </w:rPr>
        <w:t>《自治区财政支出绩效评价管理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暂行办法》（新财预〔2018〕189号）等相关政策文件与规定，旨在评价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综合办公区劳保经费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项目实施前期、过程及效果，评价财政预算资金使用的效率及效益。根据实际情况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，本项目绩效评价主要是通过各个指标的完成，确保财政资金合理、高效的使用，此项目额实施，有效解决地直机关综合办公区劳保用品短</w:t>
      </w:r>
      <w:r>
        <w:rPr>
          <w:rFonts w:hint="eastAsia" w:ascii="仿宋_GB2312" w:hAnsi="仿宋" w:eastAsia="仿宋_GB2312" w:cs="宋体"/>
          <w:color w:val="auto"/>
          <w:sz w:val="32"/>
          <w:szCs w:val="32"/>
          <w:lang w:eastAsia="zh-CN" w:bidi="ar"/>
        </w:rPr>
        <w:t>缺问题。</w:t>
      </w:r>
    </w:p>
    <w:p>
      <w:pPr>
        <w:pStyle w:val="23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本次绩效评价的对象及范围</w:t>
      </w:r>
      <w:bookmarkStart w:id="5" w:name="_Toc26401554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ascii="仿宋_GB2312" w:hAnsi="仿宋" w:eastAsia="仿宋_GB2312" w:cs="宋体"/>
          <w:sz w:val="32"/>
          <w:szCs w:val="32"/>
          <w:lang w:bidi="ar"/>
        </w:rPr>
        <w:t>本次评价对象为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综合办公区劳保经费项目</w:t>
      </w:r>
      <w:r>
        <w:rPr>
          <w:rFonts w:ascii="仿宋_GB2312" w:hAnsi="仿宋" w:eastAsia="仿宋_GB2312" w:cs="宋体"/>
          <w:sz w:val="32"/>
          <w:szCs w:val="32"/>
          <w:lang w:bidi="ar"/>
        </w:rPr>
        <w:t>项目资金，评价范围包括专项资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金的安排、组织及使用效益。</w:t>
      </w:r>
    </w:p>
    <w:p>
      <w:pPr>
        <w:pStyle w:val="23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绩效评价原则</w:t>
      </w:r>
      <w:bookmarkEnd w:id="5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本次绩效评价遵循的原则包括：</w:t>
      </w:r>
    </w:p>
    <w:p>
      <w:pPr>
        <w:pStyle w:val="23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Ansi="仿宋" w:cs="宋体"/>
          <w:b w:val="0"/>
          <w:lang w:bidi="ar"/>
        </w:rPr>
      </w:pPr>
      <w:r>
        <w:rPr>
          <w:rFonts w:hint="eastAsia" w:hAnsi="仿宋" w:cs="宋体"/>
          <w:b w:val="0"/>
          <w:lang w:bidi="ar"/>
        </w:rPr>
        <w:t>科学公正。绩效评价应当运用科学合理的方法，按照规范的程序，对项目绩效进行客观、公正的反映。</w:t>
      </w:r>
    </w:p>
    <w:p>
      <w:pPr>
        <w:pStyle w:val="23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Ansi="仿宋" w:cs="宋体"/>
          <w:b w:val="0"/>
          <w:lang w:bidi="ar"/>
        </w:rPr>
      </w:pPr>
      <w:r>
        <w:rPr>
          <w:rFonts w:hint="eastAsia" w:hAnsi="仿宋" w:cs="宋体"/>
          <w:b w:val="0"/>
          <w:lang w:bidi="ar"/>
        </w:rPr>
        <w:t>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</w:p>
    <w:p>
      <w:pPr>
        <w:pStyle w:val="23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Ansi="仿宋" w:cs="宋体"/>
          <w:b w:val="0"/>
          <w:lang w:bidi="ar"/>
        </w:rPr>
      </w:pPr>
      <w:r>
        <w:rPr>
          <w:rFonts w:hint="eastAsia" w:hAnsi="仿宋" w:cs="宋体"/>
          <w:b w:val="0"/>
          <w:lang w:bidi="ar"/>
        </w:rPr>
        <w:t>激励约束。绩效评价结果应与预算安排、政策调整、改进管理实质性挂钩，体现奖优罚劣和激励相容导向，有效要安排、低效要压减、无效要问责。</w:t>
      </w:r>
    </w:p>
    <w:p>
      <w:pPr>
        <w:pStyle w:val="23"/>
        <w:keepNext w:val="0"/>
        <w:keepLines w:val="0"/>
        <w:pageBreakBefore w:val="0"/>
        <w:widowControl w:val="0"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b w:val="0"/>
          <w:lang w:bidi="ar"/>
        </w:rPr>
      </w:pPr>
      <w:r>
        <w:rPr>
          <w:rFonts w:hint="eastAsia" w:hAnsi="仿宋" w:cs="宋体"/>
          <w:b w:val="0"/>
          <w:lang w:bidi="ar"/>
        </w:rPr>
        <w:t>公开透明。绩效评价结果应依法依规公开，并自觉接受社会监督。</w:t>
      </w:r>
      <w:r>
        <w:rPr>
          <w:rFonts w:hint="eastAsia"/>
          <w:b w:val="0"/>
          <w:lang w:bidi="ar"/>
        </w:rPr>
        <w:t>绩效评价体系</w:t>
      </w:r>
    </w:p>
    <w:p>
      <w:pPr>
        <w:pStyle w:val="23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本项目绩效评价体系</w:t>
      </w:r>
    </w:p>
    <w:p>
      <w:pPr>
        <w:pStyle w:val="2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b w:val="0"/>
          <w:lang w:bidi="ar"/>
        </w:rPr>
      </w:pPr>
      <w:r>
        <w:rPr>
          <w:rFonts w:hint="eastAsia"/>
          <w:b w:val="0"/>
          <w:lang w:bidi="ar"/>
        </w:rPr>
        <w:t>本项</w:t>
      </w:r>
      <w:r>
        <w:rPr>
          <w:rFonts w:hint="eastAsia"/>
          <w:b w:val="0"/>
          <w:color w:val="auto"/>
          <w:lang w:bidi="ar"/>
        </w:rPr>
        <w:t>目绩效评价体系为根据财预</w:t>
      </w:r>
      <w:r>
        <w:rPr>
          <w:rFonts w:hint="eastAsia" w:ascii="仿宋" w:hAnsi="仿宋" w:eastAsia="仿宋"/>
          <w:b w:val="0"/>
          <w:color w:val="auto"/>
          <w:lang w:bidi="ar"/>
        </w:rPr>
        <w:t>﹝</w:t>
      </w:r>
      <w:r>
        <w:rPr>
          <w:rFonts w:hint="eastAsia"/>
          <w:b w:val="0"/>
          <w:color w:val="auto"/>
          <w:lang w:bidi="ar"/>
        </w:rPr>
        <w:t>2</w:t>
      </w:r>
      <w:r>
        <w:rPr>
          <w:b w:val="0"/>
          <w:color w:val="auto"/>
          <w:lang w:bidi="ar"/>
        </w:rPr>
        <w:t>020</w:t>
      </w:r>
      <w:r>
        <w:rPr>
          <w:rFonts w:hint="eastAsia" w:ascii="仿宋" w:hAnsi="仿宋" w:eastAsia="仿宋"/>
          <w:b w:val="0"/>
          <w:color w:val="auto"/>
          <w:lang w:bidi="ar"/>
        </w:rPr>
        <w:t>﹞</w:t>
      </w:r>
      <w:r>
        <w:rPr>
          <w:rFonts w:hint="eastAsia"/>
          <w:b w:val="0"/>
          <w:color w:val="auto"/>
          <w:lang w:bidi="ar"/>
        </w:rPr>
        <w:t>1</w:t>
      </w:r>
      <w:r>
        <w:rPr>
          <w:b w:val="0"/>
          <w:color w:val="auto"/>
          <w:lang w:bidi="ar"/>
        </w:rPr>
        <w:t>0</w:t>
      </w:r>
      <w:r>
        <w:rPr>
          <w:rFonts w:hint="eastAsia"/>
          <w:b w:val="0"/>
          <w:color w:val="auto"/>
          <w:lang w:bidi="ar"/>
        </w:rPr>
        <w:t>号共性指标及个性化指标设置，详见附件</w:t>
      </w:r>
      <w:r>
        <w:rPr>
          <w:rFonts w:hint="eastAsia"/>
          <w:b w:val="0"/>
          <w:color w:val="auto"/>
          <w:lang w:val="en-US" w:eastAsia="zh-CN" w:bidi="ar"/>
        </w:rPr>
        <w:t>4</w:t>
      </w:r>
      <w:r>
        <w:rPr>
          <w:rFonts w:hint="eastAsia"/>
          <w:b w:val="0"/>
          <w:color w:val="auto"/>
          <w:lang w:bidi="ar"/>
        </w:rPr>
        <w:t>。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bookmarkStart w:id="6" w:name="_Toc26401555"/>
      <w:r>
        <w:rPr>
          <w:rFonts w:hint="eastAsia"/>
          <w:lang w:bidi="ar"/>
        </w:rPr>
        <w:t>绩效评价方法</w:t>
      </w:r>
      <w:bookmarkEnd w:id="6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本次绩效评价方法的选用坚持简便有效的原则采用最低成本法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，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问卷调查法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。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评价标准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仿宋_GB2312"/>
          <w:b w:val="0"/>
          <w:bCs w:val="0"/>
          <w:lang w:eastAsia="zh-CN" w:bidi="ar"/>
        </w:rPr>
      </w:pPr>
      <w:r>
        <w:rPr>
          <w:b w:val="0"/>
          <w:bCs w:val="0"/>
          <w:lang w:bidi="ar"/>
        </w:rPr>
        <w:t xml:space="preserve"> </w:t>
      </w:r>
      <w:r>
        <w:rPr>
          <w:rFonts w:hint="eastAsia"/>
          <w:b w:val="0"/>
          <w:bCs w:val="0"/>
          <w:lang w:bidi="ar"/>
        </w:rPr>
        <w:t>项目评价标准采用</w:t>
      </w:r>
      <w:r>
        <w:rPr>
          <w:rFonts w:hint="eastAsia"/>
          <w:b w:val="0"/>
          <w:bCs w:val="0"/>
          <w:lang w:eastAsia="zh-CN"/>
        </w:rPr>
        <w:t>计划</w:t>
      </w:r>
      <w:r>
        <w:rPr>
          <w:rFonts w:hint="eastAsia"/>
          <w:b w:val="0"/>
          <w:bCs w:val="0"/>
        </w:rPr>
        <w:t>标准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绩效评价工作过程</w:t>
      </w:r>
    </w:p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b w:val="0"/>
          <w:bCs w:val="0"/>
          <w:lang w:bidi="ar"/>
        </w:rPr>
      </w:pPr>
      <w:r>
        <w:rPr>
          <w:rFonts w:hint="eastAsia"/>
          <w:b w:val="0"/>
          <w:bCs w:val="0"/>
          <w:lang w:bidi="ar"/>
        </w:rPr>
        <w:t>本次评价成立了评价，成员如下：</w:t>
      </w:r>
    </w:p>
    <w:tbl>
      <w:tblPr>
        <w:tblStyle w:val="13"/>
        <w:tblW w:w="94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2460"/>
        <w:gridCol w:w="4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评价人</w:t>
            </w:r>
          </w:p>
        </w:tc>
        <w:tc>
          <w:tcPr>
            <w:tcW w:w="246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职责</w:t>
            </w:r>
          </w:p>
        </w:tc>
        <w:tc>
          <w:tcPr>
            <w:tcW w:w="458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rFonts w:hint="eastAsia" w:eastAsia="仿宋_GB2312"/>
                <w:b w:val="0"/>
                <w:bCs w:val="0"/>
                <w:lang w:eastAsia="zh-CN"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巩波</w:t>
            </w:r>
          </w:p>
        </w:tc>
        <w:tc>
          <w:tcPr>
            <w:tcW w:w="246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评价组组长</w:t>
            </w:r>
          </w:p>
        </w:tc>
        <w:tc>
          <w:tcPr>
            <w:tcW w:w="458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rFonts w:hint="eastAsia" w:eastAsia="仿宋_GB2312"/>
                <w:b w:val="0"/>
                <w:bCs w:val="0"/>
                <w:lang w:eastAsia="zh-CN"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喀什地区机关事务管理局副局长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244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rFonts w:hint="eastAsia" w:eastAsia="仿宋_GB2312"/>
                <w:b w:val="0"/>
                <w:bCs w:val="0"/>
                <w:lang w:eastAsia="zh-CN"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王磊</w:t>
            </w:r>
          </w:p>
        </w:tc>
        <w:tc>
          <w:tcPr>
            <w:tcW w:w="246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评价组成员</w:t>
            </w:r>
          </w:p>
        </w:tc>
        <w:tc>
          <w:tcPr>
            <w:tcW w:w="458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喀什地区机关事务管理局后勤服务管理科负责人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rFonts w:hint="eastAsia" w:eastAsia="仿宋_GB2312"/>
                <w:b w:val="0"/>
                <w:bCs w:val="0"/>
                <w:lang w:eastAsia="zh-CN"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周斌</w:t>
            </w:r>
          </w:p>
        </w:tc>
        <w:tc>
          <w:tcPr>
            <w:tcW w:w="2460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bidi="ar"/>
              </w:rPr>
              <w:t>评价组成员</w:t>
            </w:r>
          </w:p>
        </w:tc>
        <w:tc>
          <w:tcPr>
            <w:tcW w:w="4583" w:type="dxa"/>
            <w:vAlign w:val="center"/>
          </w:tcPr>
          <w:p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640" w:firstLineChars="200"/>
              <w:jc w:val="both"/>
              <w:textAlignment w:val="auto"/>
              <w:outlineLvl w:val="9"/>
              <w:rPr>
                <w:b w:val="0"/>
                <w:bCs w:val="0"/>
                <w:lang w:bidi="ar"/>
              </w:rPr>
            </w:pPr>
            <w:r>
              <w:rPr>
                <w:rFonts w:hint="eastAsia"/>
                <w:b w:val="0"/>
                <w:bCs w:val="0"/>
                <w:lang w:eastAsia="zh-CN" w:bidi="ar"/>
              </w:rPr>
              <w:t>喀什地区机关事务管理局规划财务（审计）科负责人</w:t>
            </w:r>
          </w:p>
        </w:tc>
      </w:tr>
    </w:tbl>
    <w:p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b w:val="0"/>
          <w:bCs w:val="0"/>
          <w:lang w:bidi="ar"/>
        </w:rPr>
      </w:pPr>
      <w:r>
        <w:rPr>
          <w:rFonts w:hint="eastAsia"/>
          <w:b w:val="0"/>
          <w:bCs w:val="0"/>
          <w:lang w:bidi="ar"/>
        </w:rPr>
        <w:t>本次评价设计了评价方案、评价指标体系，通过资料分析、调研、访谈满意度调查等方式形成评价结论，在与项目单位沟通后确定评价意见，并出具评价报告。　</w:t>
      </w:r>
    </w:p>
    <w:p>
      <w:pPr>
        <w:pStyle w:val="2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color w:val="FF0000"/>
          <w:highlight w:val="none"/>
          <w:lang w:bidi="ar"/>
        </w:rPr>
      </w:pPr>
      <w:bookmarkStart w:id="7" w:name="_Toc26401558"/>
      <w:r>
        <w:rPr>
          <w:rFonts w:hint="eastAsia" w:ascii="黑体" w:hAnsi="黑体"/>
          <w:color w:val="auto"/>
          <w:highlight w:val="none"/>
          <w:lang w:eastAsia="zh-CN"/>
        </w:rPr>
        <w:t>三、</w:t>
      </w:r>
      <w:r>
        <w:rPr>
          <w:rFonts w:hint="eastAsia" w:ascii="黑体" w:hAnsi="黑体"/>
          <w:color w:val="auto"/>
          <w:highlight w:val="none"/>
        </w:rPr>
        <w:t>综合评</w:t>
      </w:r>
      <w:r>
        <w:rPr>
          <w:rFonts w:hint="eastAsia" w:ascii="黑体" w:hAnsi="黑体"/>
          <w:highlight w:val="none"/>
        </w:rPr>
        <w:t>价情况及评价结论</w:t>
      </w:r>
    </w:p>
    <w:p>
      <w:pPr>
        <w:pStyle w:val="21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eastAsia="仿宋_GB2312" w:hAnsiTheme="majorHAnsi"/>
          <w:b w:val="0"/>
          <w:bCs w:val="0"/>
          <w:kern w:val="2"/>
          <w:highlight w:val="none"/>
          <w:lang w:bidi="ar"/>
        </w:rPr>
      </w:pP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bidi="ar"/>
        </w:rPr>
        <w:t>经评价组通过实地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eastAsia="zh-CN" w:bidi="ar"/>
        </w:rPr>
        <w:t>询价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bidi="ar"/>
        </w:rPr>
        <w:t>、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eastAsia="zh-CN" w:bidi="ar"/>
        </w:rPr>
        <w:t>综合对比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bidi="ar"/>
        </w:rPr>
        <w:t>等方式，采用综合分析法、最低成本法等对项目的决策、管理、绩效进行的综合评价分析，项目得分为</w:t>
      </w:r>
      <w:r>
        <w:rPr>
          <w:rFonts w:hint="eastAsia" w:ascii="仿宋_GB2312" w:eastAsia="仿宋_GB2312" w:hAnsiTheme="majorHAnsi"/>
          <w:b w:val="0"/>
          <w:bCs w:val="0"/>
          <w:color w:val="auto"/>
          <w:kern w:val="2"/>
          <w:highlight w:val="none"/>
          <w:lang w:val="en-US" w:eastAsia="zh-CN" w:bidi="ar"/>
        </w:rPr>
        <w:t>96</w:t>
      </w:r>
      <w:r>
        <w:rPr>
          <w:rFonts w:hint="eastAsia" w:ascii="仿宋_GB2312" w:eastAsia="仿宋_GB2312" w:hAnsiTheme="majorHAnsi"/>
          <w:b w:val="0"/>
          <w:bCs w:val="0"/>
          <w:color w:val="auto"/>
          <w:kern w:val="2"/>
          <w:highlight w:val="none"/>
          <w:lang w:bidi="ar"/>
        </w:rPr>
        <w:t>分，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bidi="ar"/>
        </w:rPr>
        <w:t>评价结果为优，详见附件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val="en-US" w:eastAsia="zh-CN" w:bidi="ar"/>
        </w:rPr>
        <w:t>6</w:t>
      </w:r>
      <w:r>
        <w:rPr>
          <w:rFonts w:hint="eastAsia" w:ascii="仿宋_GB2312" w:eastAsia="仿宋_GB2312" w:hAnsiTheme="majorHAnsi"/>
          <w:b w:val="0"/>
          <w:bCs w:val="0"/>
          <w:kern w:val="2"/>
          <w:highlight w:val="none"/>
          <w:lang w:bidi="ar"/>
        </w:rPr>
        <w:t>。</w:t>
      </w:r>
    </w:p>
    <w:p>
      <w:pPr>
        <w:pStyle w:val="2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eastAsia="zh-CN" w:bidi="ar"/>
        </w:rPr>
        <w:t>四、</w:t>
      </w:r>
      <w:r>
        <w:rPr>
          <w:rFonts w:hint="eastAsia"/>
          <w:lang w:bidi="ar"/>
        </w:rPr>
        <w:t>绩效评价指标分析</w:t>
      </w:r>
      <w:bookmarkEnd w:id="7"/>
    </w:p>
    <w:p>
      <w:pPr>
        <w:pStyle w:val="17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3" w:firstLineChars="200"/>
        <w:jc w:val="both"/>
        <w:textAlignment w:val="auto"/>
        <w:outlineLvl w:val="9"/>
        <w:rPr>
          <w:rFonts w:ascii="仿宋_GB2312" w:hAnsi="仿宋" w:eastAsia="仿宋_GB2312" w:cs="宋体"/>
          <w:b/>
          <w:bCs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lang w:bidi="ar"/>
        </w:rPr>
        <w:t>项目的决策情况</w:t>
      </w:r>
    </w:p>
    <w:p>
      <w:pPr>
        <w:pStyle w:val="26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" w:cs="宋体"/>
          <w:sz w:val="32"/>
          <w:szCs w:val="32"/>
          <w:lang w:eastAsia="zh-CN" w:bidi="ar"/>
        </w:rPr>
      </w:pPr>
      <w:r>
        <w:rPr>
          <w:rFonts w:hint="eastAsia" w:ascii="仿宋_GB2312" w:hAnsi="仿宋" w:cs="宋体"/>
          <w:sz w:val="32"/>
          <w:szCs w:val="32"/>
          <w:lang w:bidi="ar"/>
        </w:rPr>
        <w:t>本项目的立项符合相关法规政策及部门职责，依据充分；项目按照规定的程序申请设立；审批文件、材料符合相关要求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项目根据相关文件要求设置了绩效目标，项目绩效目标基本合理，与实际工作内容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一致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；项目预期产出效益和效果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达到预期目标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；与预算确定的项目投资额或资金量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基本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匹配。项目绩效目标细化分解为具体的绩效指标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，且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通过清晰、可衡量的指标值予以体现。</w:t>
      </w:r>
    </w:p>
    <w:p>
      <w:pPr>
        <w:spacing w:before="156"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项目在资金投入方面，预算编制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中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资金额度与年度目标相适应，项目预算资金分配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有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测算依据，与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我单位实际情况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相适应。</w:t>
      </w:r>
    </w:p>
    <w:p>
      <w:pPr>
        <w:pStyle w:val="17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3" w:firstLineChars="200"/>
        <w:jc w:val="both"/>
        <w:textAlignment w:val="auto"/>
        <w:outlineLvl w:val="9"/>
        <w:rPr>
          <w:rFonts w:ascii="仿宋_GB2312" w:hAnsi="仿宋" w:eastAsia="仿宋_GB2312" w:cs="宋体"/>
          <w:b/>
          <w:bCs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lang w:bidi="ar"/>
        </w:rPr>
        <w:t>项目的过程情况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在资金管理方面，项目资金到位足额及时，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资金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及时支付，资金使用符合国家法规和财务管理制度；资金拨付有完整的审批程序和手续，符合项目预算批复或合同规定的用途；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不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存在截留、挤占、挪用、虚列支出等情况。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在项目组织实施方面，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地区机关事务管理局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已制定相应的财务和业务管理制度，项目实施遵守相关法律法规和相关管理规定。</w:t>
      </w:r>
    </w:p>
    <w:p>
      <w:pPr>
        <w:pStyle w:val="17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3" w:firstLineChars="200"/>
        <w:jc w:val="both"/>
        <w:textAlignment w:val="auto"/>
        <w:outlineLvl w:val="9"/>
        <w:rPr>
          <w:rFonts w:ascii="仿宋_GB2312" w:hAnsi="仿宋" w:eastAsia="仿宋_GB2312" w:cs="宋体"/>
          <w:b/>
          <w:bCs/>
          <w:sz w:val="32"/>
          <w:szCs w:val="32"/>
          <w:highlight w:val="none"/>
          <w:lang w:bidi="ar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  <w:lang w:bidi="ar"/>
        </w:rPr>
        <w:t>项目产出情况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项目产出数量为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保障绿化面积</w:t>
      </w:r>
      <w:r>
        <w:rPr>
          <w:rFonts w:hint="eastAsia" w:ascii="仿宋_GB2312" w:eastAsia="仿宋_GB2312"/>
          <w:sz w:val="32"/>
          <w:szCs w:val="32"/>
        </w:rPr>
        <w:t>，预期指标值为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6.2亩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6.2亩</w:t>
      </w:r>
      <w:r>
        <w:rPr>
          <w:rFonts w:hint="eastAsia" w:ascii="仿宋_GB2312" w:eastAsia="仿宋_GB2312"/>
          <w:sz w:val="32"/>
          <w:szCs w:val="32"/>
        </w:rPr>
        <w:t>，指标达到预期目标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项目产出质量为植被成活率，预期指标值为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80%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80%</w:t>
      </w:r>
      <w:r>
        <w:rPr>
          <w:rFonts w:hint="eastAsia" w:ascii="仿宋_GB2312" w:eastAsia="仿宋_GB2312"/>
          <w:sz w:val="32"/>
          <w:szCs w:val="32"/>
        </w:rPr>
        <w:t>，指标达到预期目标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项目产出时效为绿化保障完工及时率，预期指标值为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，达到预期目标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绿化保障开工及时率，</w:t>
      </w:r>
      <w:r>
        <w:rPr>
          <w:rFonts w:hint="eastAsia" w:ascii="仿宋_GB2312" w:eastAsia="仿宋_GB2312"/>
          <w:sz w:val="32"/>
          <w:szCs w:val="32"/>
        </w:rPr>
        <w:t>预期指标值为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，指标达到预期目标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</w:rPr>
        <w:t>项目产出成本指标为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购置保绿工具费用，预期指标是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2.6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eastAsia="仿宋_GB2312"/>
          <w:sz w:val="32"/>
          <w:szCs w:val="32"/>
        </w:rPr>
        <w:t>指标达到预期目标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</w:rPr>
        <w:t>购置保洁工具费用，预期指标值为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1万元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1万元</w:t>
      </w:r>
      <w:r>
        <w:rPr>
          <w:rFonts w:hint="eastAsia" w:ascii="仿宋_GB2312" w:eastAsia="仿宋_GB2312"/>
          <w:sz w:val="32"/>
          <w:szCs w:val="32"/>
        </w:rPr>
        <w:t>，指标达到预期目标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17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3" w:firstLineChars="200"/>
        <w:jc w:val="both"/>
        <w:textAlignment w:val="auto"/>
        <w:outlineLvl w:val="9"/>
        <w:rPr>
          <w:rFonts w:ascii="仿宋_GB2312" w:hAnsi="仿宋" w:eastAsia="仿宋_GB2312" w:cs="宋体"/>
          <w:b/>
          <w:bCs/>
          <w:sz w:val="32"/>
          <w:szCs w:val="32"/>
          <w:highlight w:val="none"/>
          <w:lang w:bidi="ar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  <w:lang w:bidi="ar"/>
        </w:rPr>
        <w:t>项目效益情况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项目实施产生的经济效益</w:t>
      </w:r>
      <w:r>
        <w:rPr>
          <w:rFonts w:hint="eastAsia" w:ascii="仿宋_GB2312" w:eastAsia="仿宋_GB2312"/>
          <w:sz w:val="32"/>
          <w:szCs w:val="32"/>
        </w:rPr>
        <w:t>指标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项目实施产生的社会效益</w:t>
      </w:r>
      <w:r>
        <w:rPr>
          <w:rFonts w:hint="eastAsia" w:ascii="仿宋_GB2312" w:eastAsia="仿宋_GB2312"/>
          <w:sz w:val="32"/>
          <w:szCs w:val="32"/>
        </w:rPr>
        <w:t>指标为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提升办公区美化、绿化效果，</w:t>
      </w:r>
      <w:r>
        <w:rPr>
          <w:rFonts w:hint="eastAsia" w:ascii="仿宋_GB2312" w:eastAsia="仿宋_GB2312"/>
          <w:sz w:val="32"/>
          <w:szCs w:val="32"/>
        </w:rPr>
        <w:t>预期指标值为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有效提升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有效提升</w:t>
      </w: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，达到了预期目标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项目实施产生的生态效益</w:t>
      </w:r>
      <w:r>
        <w:rPr>
          <w:rFonts w:hint="eastAsia" w:ascii="仿宋_GB2312" w:eastAsia="仿宋_GB2312"/>
          <w:sz w:val="32"/>
          <w:szCs w:val="32"/>
        </w:rPr>
        <w:t>指标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项目的可持续效益效益</w:t>
      </w:r>
      <w:r>
        <w:rPr>
          <w:rFonts w:hint="eastAsia" w:ascii="仿宋_GB2312" w:eastAsia="仿宋_GB2312"/>
          <w:sz w:val="32"/>
          <w:szCs w:val="32"/>
        </w:rPr>
        <w:t>指标为长期有效保持环境卫生，预期指标值为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长期</w:t>
      </w:r>
      <w:r>
        <w:rPr>
          <w:rFonts w:hint="eastAsia" w:ascii="仿宋_GB2312" w:eastAsia="仿宋_GB2312"/>
          <w:sz w:val="32"/>
          <w:szCs w:val="32"/>
        </w:rPr>
        <w:t>，实际完成值为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长期</w:t>
      </w: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，达到了预期目标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经</w:t>
      </w:r>
      <w:r>
        <w:rPr>
          <w:rFonts w:hint="eastAsia" w:ascii="仿宋_GB2312" w:hAnsi="仿宋" w:eastAsia="仿宋_GB2312" w:cs="宋体"/>
          <w:bCs/>
          <w:color w:val="auto"/>
          <w:sz w:val="32"/>
          <w:szCs w:val="32"/>
          <w:lang w:bidi="ar"/>
        </w:rPr>
        <w:t>问卷调查，</w:t>
      </w: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项目收益群众满意度为</w:t>
      </w:r>
      <w:r>
        <w:rPr>
          <w:rFonts w:hint="eastAsia" w:ascii="仿宋_GB2312" w:hAnsi="仿宋" w:eastAsia="仿宋_GB2312" w:cs="宋体"/>
          <w:bCs/>
          <w:sz w:val="32"/>
          <w:szCs w:val="32"/>
          <w:lang w:val="en-US" w:eastAsia="zh-CN" w:bidi="ar"/>
        </w:rPr>
        <w:t>90%</w:t>
      </w:r>
      <w:r>
        <w:rPr>
          <w:rFonts w:hint="eastAsia" w:ascii="仿宋_GB2312" w:hAnsi="仿宋" w:eastAsia="仿宋_GB2312" w:cs="宋体"/>
          <w:bCs/>
          <w:sz w:val="32"/>
          <w:szCs w:val="32"/>
          <w:lang w:bidi="ar"/>
        </w:rPr>
        <w:t>：达到了预期目标</w:t>
      </w:r>
      <w:r>
        <w:rPr>
          <w:rFonts w:hint="eastAsia" w:ascii="仿宋_GB2312" w:hAnsi="仿宋" w:eastAsia="仿宋_GB2312" w:cs="宋体"/>
          <w:bCs/>
          <w:sz w:val="32"/>
          <w:szCs w:val="32"/>
          <w:lang w:eastAsia="zh-CN" w:bidi="ar"/>
        </w:rPr>
        <w:t>。</w:t>
      </w:r>
    </w:p>
    <w:p>
      <w:pPr>
        <w:pStyle w:val="2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 w:ascii="黑体" w:hAnsi="黑体"/>
          <w:lang w:eastAsia="zh-CN"/>
        </w:rPr>
        <w:t>五、</w:t>
      </w:r>
      <w:r>
        <w:rPr>
          <w:rFonts w:hint="eastAsia" w:ascii="黑体" w:hAnsi="黑体"/>
        </w:rPr>
        <w:t>主要经验及做法、存在的问题及原因分析</w:t>
      </w:r>
    </w:p>
    <w:p>
      <w:pPr>
        <w:pStyle w:val="23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lang w:bidi="ar"/>
        </w:rPr>
      </w:pPr>
      <w:r>
        <w:rPr>
          <w:rFonts w:hint="eastAsia"/>
          <w:lang w:bidi="ar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在项目资金的使用过程中，我们坚持原则、实事求是、如实发放，确保资金管理使用合理、合法、合规，没有发生资金使用不当问题，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严格履行会计制度，严格执行项目预算，严格执行有关项目资金管理规定和资金使用的相关要求，对项目实施全过程进行日常监督管理，确保项目资金落实。</w:t>
      </w:r>
    </w:p>
    <w:p>
      <w:pPr>
        <w:pStyle w:val="2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rFonts w:hint="eastAsia"/>
          <w:lang w:bidi="ar"/>
        </w:rPr>
      </w:pPr>
      <w:r>
        <w:rPr>
          <w:rFonts w:hint="eastAsia"/>
          <w:lang w:eastAsia="zh-CN" w:bidi="ar"/>
        </w:rPr>
        <w:t>（二）</w:t>
      </w:r>
      <w:r>
        <w:rPr>
          <w:rFonts w:hint="eastAsia"/>
          <w:lang w:bidi="ar"/>
        </w:rPr>
        <w:t>存在的问题及原因分析</w:t>
      </w:r>
    </w:p>
    <w:p>
      <w:pPr>
        <w:pStyle w:val="1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420" w:firstLineChars="200"/>
        <w:jc w:val="both"/>
        <w:textAlignment w:val="auto"/>
        <w:outlineLvl w:val="9"/>
        <w:rPr>
          <w:rFonts w:hint="eastAsia" w:eastAsia="宋体"/>
          <w:b w:val="0"/>
          <w:lang w:eastAsia="zh-CN" w:bidi="ar"/>
        </w:rPr>
      </w:pPr>
      <w:r>
        <w:rPr>
          <w:rFonts w:hint="eastAsia"/>
          <w:b w:val="0"/>
          <w:lang w:bidi="ar"/>
        </w:rPr>
        <w:t xml:space="preserve"> </w:t>
      </w:r>
      <w:r>
        <w:rPr>
          <w:rFonts w:hint="eastAsia" w:ascii="仿宋" w:hAnsi="仿宋" w:eastAsia="仿宋"/>
          <w:bCs/>
          <w:spacing w:val="-4"/>
          <w:sz w:val="30"/>
          <w:szCs w:val="30"/>
          <w:lang w:eastAsia="zh-CN"/>
        </w:rPr>
        <w:t>预算编制测算依据存在不足，原因未做充分的市场价格调查，物品测算价格与市场价存在差距。</w:t>
      </w:r>
    </w:p>
    <w:p>
      <w:pPr>
        <w:pStyle w:val="2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rFonts w:ascii="黑体" w:hAnsi="黑体"/>
        </w:rPr>
      </w:pPr>
      <w:r>
        <w:rPr>
          <w:rFonts w:hint="eastAsia" w:ascii="黑体" w:hAnsi="黑体"/>
          <w:lang w:eastAsia="zh-CN"/>
        </w:rPr>
        <w:t>六、</w:t>
      </w:r>
      <w:r>
        <w:rPr>
          <w:rFonts w:hint="eastAsia" w:ascii="黑体" w:hAnsi="黑体"/>
        </w:rPr>
        <w:t>有关建议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20" w:firstLineChars="200"/>
        <w:jc w:val="both"/>
        <w:textAlignment w:val="auto"/>
        <w:outlineLvl w:val="9"/>
        <w:rPr>
          <w:rFonts w:ascii="黑体" w:hAnsi="黑体"/>
          <w:b w:val="0"/>
        </w:rPr>
      </w:pPr>
      <w:r>
        <w:rPr>
          <w:rFonts w:ascii="黑体" w:hAnsi="黑体"/>
          <w:b w:val="0"/>
        </w:rPr>
        <w:t xml:space="preserve"> </w:t>
      </w:r>
      <w:r>
        <w:rPr>
          <w:rFonts w:ascii="仿宋_GB2312" w:hAnsi="仿宋" w:eastAsia="仿宋_GB2312" w:cs="宋体"/>
          <w:b w:val="0"/>
          <w:kern w:val="2"/>
          <w:lang w:bidi="ar"/>
        </w:rPr>
        <w:t xml:space="preserve">  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建议项目实施前，做好事前绩效评估工作，做好市场调研，资金规划。</w:t>
      </w:r>
    </w:p>
    <w:p>
      <w:pPr>
        <w:pStyle w:val="21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3" w:firstLineChars="200"/>
        <w:jc w:val="both"/>
        <w:textAlignment w:val="auto"/>
        <w:outlineLvl w:val="9"/>
        <w:rPr>
          <w:rFonts w:ascii="黑体" w:hAnsi="黑体"/>
        </w:rPr>
      </w:pPr>
      <w:r>
        <w:rPr>
          <w:rFonts w:hint="eastAsia" w:ascii="黑体" w:hAnsi="黑体"/>
          <w:lang w:eastAsia="zh-CN"/>
        </w:rPr>
        <w:t>七、</w:t>
      </w:r>
      <w:r>
        <w:rPr>
          <w:rFonts w:hint="eastAsia" w:ascii="黑体" w:hAnsi="黑体"/>
        </w:rPr>
        <w:t>其他需要说明的问题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无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附件1：喀什地区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机关事务管理局综合办公区劳保经费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项目支出绩效目标申报表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：喀什地区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机关事务管理局综合办公区劳保经费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项目支出绩效目标表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附件3：喀什地区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机关事务管理局综合办公区劳保经费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项目支出绩效自评表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：喀什地区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机关事务管理局综合办公区劳保经费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项目支出绩效评价指标体系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：绩效评价依据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" w:eastAsia="仿宋_GB2312" w:cs="宋体"/>
          <w:sz w:val="32"/>
          <w:szCs w:val="32"/>
          <w:lang w:bidi="ar"/>
        </w:rPr>
      </w:pPr>
      <w:r>
        <w:rPr>
          <w:rFonts w:hint="eastAsia" w:ascii="仿宋_GB2312" w:hAnsi="仿宋" w:eastAsia="仿宋_GB2312" w:cs="宋体"/>
          <w:sz w:val="32"/>
          <w:szCs w:val="32"/>
          <w:lang w:bidi="ar"/>
        </w:rPr>
        <w:t>附件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 w:bidi="ar"/>
        </w:rPr>
        <w:t>6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：喀什地区</w:t>
      </w:r>
      <w:r>
        <w:rPr>
          <w:rFonts w:hint="eastAsia" w:ascii="仿宋_GB2312" w:hAnsi="仿宋" w:eastAsia="仿宋_GB2312" w:cs="宋体"/>
          <w:sz w:val="32"/>
          <w:szCs w:val="32"/>
          <w:lang w:eastAsia="zh-CN" w:bidi="ar"/>
        </w:rPr>
        <w:t>机关事务管理局综合办公区劳保经费</w:t>
      </w:r>
      <w:r>
        <w:rPr>
          <w:rFonts w:hint="eastAsia" w:ascii="仿宋_GB2312" w:hAnsi="仿宋" w:eastAsia="仿宋_GB2312" w:cs="宋体"/>
          <w:sz w:val="32"/>
          <w:szCs w:val="32"/>
          <w:lang w:bidi="ar"/>
        </w:rPr>
        <w:t>项目支出绩效评价评分表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56" w:line="560" w:lineRule="exact"/>
        <w:ind w:left="0" w:leftChars="0" w:firstLine="640" w:firstLineChars="200"/>
        <w:jc w:val="both"/>
        <w:textAlignment w:val="auto"/>
        <w:outlineLvl w:val="9"/>
        <w:rPr>
          <w:rFonts w:ascii="仿宋_GB2312" w:hAnsi="仿宋" w:eastAsia="仿宋_GB2312" w:cs="宋体"/>
          <w:sz w:val="32"/>
          <w:szCs w:val="32"/>
          <w:lang w:bidi="ar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D4D14"/>
    <w:multiLevelType w:val="multilevel"/>
    <w:tmpl w:val="316D4D14"/>
    <w:lvl w:ilvl="0" w:tentative="0">
      <w:start w:val="1"/>
      <w:numFmt w:val="decimal"/>
      <w:lvlText w:val="%1."/>
      <w:lvlJc w:val="left"/>
      <w:pPr>
        <w:ind w:left="988" w:hanging="420"/>
      </w:pPr>
    </w:lvl>
    <w:lvl w:ilvl="1" w:tentative="0">
      <w:start w:val="1"/>
      <w:numFmt w:val="decimal"/>
      <w:lvlText w:val="%2.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3A7260C0"/>
    <w:multiLevelType w:val="multilevel"/>
    <w:tmpl w:val="3A7260C0"/>
    <w:lvl w:ilvl="0" w:tentative="0">
      <w:start w:val="1"/>
      <w:numFmt w:val="chineseCountingThousand"/>
      <w:pStyle w:val="23"/>
      <w:lvlText w:val="(%1)"/>
      <w:lvlJc w:val="left"/>
      <w:pPr>
        <w:ind w:left="988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37299F"/>
    <w:multiLevelType w:val="multilevel"/>
    <w:tmpl w:val="4F37299F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451D54"/>
    <w:multiLevelType w:val="multilevel"/>
    <w:tmpl w:val="54451D54"/>
    <w:lvl w:ilvl="0" w:tentative="0">
      <w:start w:val="1"/>
      <w:numFmt w:val="decimal"/>
      <w:lvlText w:val="%1．"/>
      <w:lvlJc w:val="left"/>
      <w:pPr>
        <w:ind w:left="106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5" w:hanging="420"/>
      </w:pPr>
    </w:lvl>
    <w:lvl w:ilvl="2" w:tentative="0">
      <w:start w:val="1"/>
      <w:numFmt w:val="lowerRoman"/>
      <w:lvlText w:val="%3."/>
      <w:lvlJc w:val="right"/>
      <w:pPr>
        <w:ind w:left="1905" w:hanging="420"/>
      </w:pPr>
    </w:lvl>
    <w:lvl w:ilvl="3" w:tentative="0">
      <w:start w:val="1"/>
      <w:numFmt w:val="decimal"/>
      <w:lvlText w:val="%4."/>
      <w:lvlJc w:val="left"/>
      <w:pPr>
        <w:ind w:left="2325" w:hanging="420"/>
      </w:pPr>
    </w:lvl>
    <w:lvl w:ilvl="4" w:tentative="0">
      <w:start w:val="1"/>
      <w:numFmt w:val="lowerLetter"/>
      <w:lvlText w:val="%5)"/>
      <w:lvlJc w:val="left"/>
      <w:pPr>
        <w:ind w:left="2745" w:hanging="420"/>
      </w:pPr>
    </w:lvl>
    <w:lvl w:ilvl="5" w:tentative="0">
      <w:start w:val="1"/>
      <w:numFmt w:val="lowerRoman"/>
      <w:lvlText w:val="%6."/>
      <w:lvlJc w:val="right"/>
      <w:pPr>
        <w:ind w:left="3165" w:hanging="420"/>
      </w:pPr>
    </w:lvl>
    <w:lvl w:ilvl="6" w:tentative="0">
      <w:start w:val="1"/>
      <w:numFmt w:val="decimal"/>
      <w:lvlText w:val="%7."/>
      <w:lvlJc w:val="left"/>
      <w:pPr>
        <w:ind w:left="3585" w:hanging="420"/>
      </w:pPr>
    </w:lvl>
    <w:lvl w:ilvl="7" w:tentative="0">
      <w:start w:val="1"/>
      <w:numFmt w:val="lowerLetter"/>
      <w:lvlText w:val="%8)"/>
      <w:lvlJc w:val="left"/>
      <w:pPr>
        <w:ind w:left="4005" w:hanging="420"/>
      </w:pPr>
    </w:lvl>
    <w:lvl w:ilvl="8" w:tentative="0">
      <w:start w:val="1"/>
      <w:numFmt w:val="lowerRoman"/>
      <w:lvlText w:val="%9."/>
      <w:lvlJc w:val="right"/>
      <w:pPr>
        <w:ind w:left="4425" w:hanging="420"/>
      </w:pPr>
    </w:lvl>
  </w:abstractNum>
  <w:abstractNum w:abstractNumId="4">
    <w:nsid w:val="5B493FDA"/>
    <w:multiLevelType w:val="multilevel"/>
    <w:tmpl w:val="5B493FDA"/>
    <w:lvl w:ilvl="0" w:tentative="0">
      <w:start w:val="1"/>
      <w:numFmt w:val="chineseCountingThousand"/>
      <w:lvlText w:val="(%1)"/>
      <w:lvlJc w:val="left"/>
      <w:pPr>
        <w:ind w:left="10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6757463D"/>
    <w:multiLevelType w:val="multilevel"/>
    <w:tmpl w:val="6757463D"/>
    <w:lvl w:ilvl="0" w:tentative="0">
      <w:start w:val="1"/>
      <w:numFmt w:val="chineseCountingThousand"/>
      <w:lvlText w:val="%1、"/>
      <w:lvlJc w:val="left"/>
      <w:pPr>
        <w:ind w:left="1063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0"/>
  <w:drawingGridHorizontalSpacing w:val="210"/>
  <w:drawingGridVerticalSpacing w:val="158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715"/>
    <w:rsid w:val="00022413"/>
    <w:rsid w:val="00037F93"/>
    <w:rsid w:val="00042126"/>
    <w:rsid w:val="000E0C7B"/>
    <w:rsid w:val="000F2007"/>
    <w:rsid w:val="00100A64"/>
    <w:rsid w:val="00100AA9"/>
    <w:rsid w:val="001143D6"/>
    <w:rsid w:val="0012798F"/>
    <w:rsid w:val="00132553"/>
    <w:rsid w:val="00151AF1"/>
    <w:rsid w:val="00174F3A"/>
    <w:rsid w:val="0018169D"/>
    <w:rsid w:val="00193649"/>
    <w:rsid w:val="0019720C"/>
    <w:rsid w:val="001A1902"/>
    <w:rsid w:val="001A4FFA"/>
    <w:rsid w:val="001B5B44"/>
    <w:rsid w:val="001D5FF2"/>
    <w:rsid w:val="001D6F2E"/>
    <w:rsid w:val="00203FB6"/>
    <w:rsid w:val="00233ECE"/>
    <w:rsid w:val="002A1BF4"/>
    <w:rsid w:val="002B3A72"/>
    <w:rsid w:val="002C6231"/>
    <w:rsid w:val="002F7CDC"/>
    <w:rsid w:val="00324E56"/>
    <w:rsid w:val="00331AF1"/>
    <w:rsid w:val="003468D7"/>
    <w:rsid w:val="00363E52"/>
    <w:rsid w:val="00382736"/>
    <w:rsid w:val="003A04D1"/>
    <w:rsid w:val="003C327E"/>
    <w:rsid w:val="003C4B3D"/>
    <w:rsid w:val="003C6E7F"/>
    <w:rsid w:val="003E0E95"/>
    <w:rsid w:val="003F1C70"/>
    <w:rsid w:val="003F2E47"/>
    <w:rsid w:val="00403544"/>
    <w:rsid w:val="004115AA"/>
    <w:rsid w:val="00434C92"/>
    <w:rsid w:val="00443C47"/>
    <w:rsid w:val="00452560"/>
    <w:rsid w:val="00467DBB"/>
    <w:rsid w:val="004A0587"/>
    <w:rsid w:val="004C56AB"/>
    <w:rsid w:val="004D088E"/>
    <w:rsid w:val="004D4F06"/>
    <w:rsid w:val="005225F1"/>
    <w:rsid w:val="00531253"/>
    <w:rsid w:val="00540B36"/>
    <w:rsid w:val="00563E06"/>
    <w:rsid w:val="0058554B"/>
    <w:rsid w:val="00596DDF"/>
    <w:rsid w:val="005B6EAB"/>
    <w:rsid w:val="005D7AC7"/>
    <w:rsid w:val="00630E69"/>
    <w:rsid w:val="006362B2"/>
    <w:rsid w:val="0065420A"/>
    <w:rsid w:val="006869EC"/>
    <w:rsid w:val="00694A44"/>
    <w:rsid w:val="006D0AA4"/>
    <w:rsid w:val="006F2513"/>
    <w:rsid w:val="006F64CB"/>
    <w:rsid w:val="0071759F"/>
    <w:rsid w:val="007253B3"/>
    <w:rsid w:val="00731D46"/>
    <w:rsid w:val="00734BAD"/>
    <w:rsid w:val="00752C57"/>
    <w:rsid w:val="00781733"/>
    <w:rsid w:val="007C5CF9"/>
    <w:rsid w:val="007D340B"/>
    <w:rsid w:val="007E6392"/>
    <w:rsid w:val="007F3C25"/>
    <w:rsid w:val="00811F2D"/>
    <w:rsid w:val="00815938"/>
    <w:rsid w:val="008226BA"/>
    <w:rsid w:val="00827DA6"/>
    <w:rsid w:val="00835103"/>
    <w:rsid w:val="00854416"/>
    <w:rsid w:val="00866F54"/>
    <w:rsid w:val="00883FF2"/>
    <w:rsid w:val="0089293E"/>
    <w:rsid w:val="00893E6C"/>
    <w:rsid w:val="008D7BC7"/>
    <w:rsid w:val="0090104C"/>
    <w:rsid w:val="00982B10"/>
    <w:rsid w:val="009C0267"/>
    <w:rsid w:val="009E5354"/>
    <w:rsid w:val="00A10F1E"/>
    <w:rsid w:val="00A12A0C"/>
    <w:rsid w:val="00A365D5"/>
    <w:rsid w:val="00A41DB8"/>
    <w:rsid w:val="00A43094"/>
    <w:rsid w:val="00A53361"/>
    <w:rsid w:val="00A5786D"/>
    <w:rsid w:val="00A60191"/>
    <w:rsid w:val="00A81609"/>
    <w:rsid w:val="00A85237"/>
    <w:rsid w:val="00AB07C5"/>
    <w:rsid w:val="00AE1FDF"/>
    <w:rsid w:val="00AE3042"/>
    <w:rsid w:val="00B03B29"/>
    <w:rsid w:val="00B16C8F"/>
    <w:rsid w:val="00B32FA4"/>
    <w:rsid w:val="00B36F46"/>
    <w:rsid w:val="00B47B13"/>
    <w:rsid w:val="00B53BE4"/>
    <w:rsid w:val="00B6063F"/>
    <w:rsid w:val="00B9042A"/>
    <w:rsid w:val="00BA0855"/>
    <w:rsid w:val="00BA65AD"/>
    <w:rsid w:val="00BC7696"/>
    <w:rsid w:val="00C2671D"/>
    <w:rsid w:val="00C563AA"/>
    <w:rsid w:val="00C71FF0"/>
    <w:rsid w:val="00C77259"/>
    <w:rsid w:val="00C97E2D"/>
    <w:rsid w:val="00D043D7"/>
    <w:rsid w:val="00D117FB"/>
    <w:rsid w:val="00D23C2E"/>
    <w:rsid w:val="00D61EC8"/>
    <w:rsid w:val="00D93516"/>
    <w:rsid w:val="00DA7F4C"/>
    <w:rsid w:val="00DC5F94"/>
    <w:rsid w:val="00DE152F"/>
    <w:rsid w:val="00DE293B"/>
    <w:rsid w:val="00E05626"/>
    <w:rsid w:val="00E25B2F"/>
    <w:rsid w:val="00E373A5"/>
    <w:rsid w:val="00E66A4D"/>
    <w:rsid w:val="00E72B1C"/>
    <w:rsid w:val="00E96169"/>
    <w:rsid w:val="00F0780F"/>
    <w:rsid w:val="00F16D54"/>
    <w:rsid w:val="00F6015C"/>
    <w:rsid w:val="00F75715"/>
    <w:rsid w:val="00F864F2"/>
    <w:rsid w:val="00FB2E2F"/>
    <w:rsid w:val="00FD300A"/>
    <w:rsid w:val="00FF137F"/>
    <w:rsid w:val="00FF6959"/>
    <w:rsid w:val="00FF6C14"/>
    <w:rsid w:val="01BE6316"/>
    <w:rsid w:val="035E4FA5"/>
    <w:rsid w:val="03FD6DF5"/>
    <w:rsid w:val="05880261"/>
    <w:rsid w:val="0B181633"/>
    <w:rsid w:val="0B621486"/>
    <w:rsid w:val="0D3F60CB"/>
    <w:rsid w:val="0F627590"/>
    <w:rsid w:val="11195D6D"/>
    <w:rsid w:val="115A15C8"/>
    <w:rsid w:val="162D54B0"/>
    <w:rsid w:val="18760F8E"/>
    <w:rsid w:val="1ADD7E3E"/>
    <w:rsid w:val="1DD21F78"/>
    <w:rsid w:val="1DF6531E"/>
    <w:rsid w:val="1FF41138"/>
    <w:rsid w:val="217F35A7"/>
    <w:rsid w:val="24AA36FB"/>
    <w:rsid w:val="24E73B1F"/>
    <w:rsid w:val="24EC5433"/>
    <w:rsid w:val="26F03C06"/>
    <w:rsid w:val="281741CA"/>
    <w:rsid w:val="29027563"/>
    <w:rsid w:val="2A547683"/>
    <w:rsid w:val="2D8615A7"/>
    <w:rsid w:val="32DC71EF"/>
    <w:rsid w:val="367B0877"/>
    <w:rsid w:val="36B35A3A"/>
    <w:rsid w:val="37BE6C83"/>
    <w:rsid w:val="38AB1BB0"/>
    <w:rsid w:val="3C352168"/>
    <w:rsid w:val="3E237D8B"/>
    <w:rsid w:val="47F14391"/>
    <w:rsid w:val="4AAE5FCF"/>
    <w:rsid w:val="4E474866"/>
    <w:rsid w:val="4F7A78B0"/>
    <w:rsid w:val="52F545F2"/>
    <w:rsid w:val="53D363C0"/>
    <w:rsid w:val="57597032"/>
    <w:rsid w:val="57964064"/>
    <w:rsid w:val="5AC33283"/>
    <w:rsid w:val="5AF63F95"/>
    <w:rsid w:val="5C6E0CD4"/>
    <w:rsid w:val="5E430ED4"/>
    <w:rsid w:val="623507E7"/>
    <w:rsid w:val="667765BF"/>
    <w:rsid w:val="70095ECB"/>
    <w:rsid w:val="71F87675"/>
    <w:rsid w:val="724B61AB"/>
    <w:rsid w:val="77076C6D"/>
    <w:rsid w:val="7775238E"/>
    <w:rsid w:val="7A8638D9"/>
    <w:rsid w:val="7C06196F"/>
    <w:rsid w:val="7E4E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semiHidden/>
    <w:unhideWhenUsed/>
    <w:qFormat/>
    <w:uiPriority w:val="39"/>
    <w:rPr>
      <w:rFonts w:eastAsia="仿宋_GB2312"/>
      <w:sz w:val="28"/>
    </w:r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rPr>
      <w:rFonts w:eastAsia="仿宋_GB2312"/>
      <w:sz w:val="28"/>
    </w:rPr>
  </w:style>
  <w:style w:type="paragraph" w:styleId="10">
    <w:name w:val="toc 2"/>
    <w:basedOn w:val="1"/>
    <w:next w:val="1"/>
    <w:unhideWhenUsed/>
    <w:qFormat/>
    <w:uiPriority w:val="39"/>
    <w:rPr>
      <w:rFonts w:eastAsia="仿宋_GB2312"/>
      <w:sz w:val="2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标题 1 字符"/>
    <w:basedOn w:val="14"/>
    <w:link w:val="2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character" w:customStyle="1" w:styleId="20">
    <w:name w:val="批注框文本 字符"/>
    <w:basedOn w:val="14"/>
    <w:link w:val="6"/>
    <w:semiHidden/>
    <w:qFormat/>
    <w:uiPriority w:val="99"/>
    <w:rPr>
      <w:sz w:val="18"/>
      <w:szCs w:val="18"/>
    </w:rPr>
  </w:style>
  <w:style w:type="paragraph" w:customStyle="1" w:styleId="21">
    <w:name w:val="标题1"/>
    <w:basedOn w:val="2"/>
    <w:qFormat/>
    <w:uiPriority w:val="0"/>
    <w:pPr>
      <w:spacing w:before="120" w:after="120" w:line="500" w:lineRule="exact"/>
      <w:ind w:firstLine="200" w:firstLineChars="200"/>
    </w:pPr>
    <w:rPr>
      <w:rFonts w:cs="Times New Roman"/>
      <w:sz w:val="32"/>
      <w:szCs w:val="32"/>
    </w:rPr>
  </w:style>
  <w:style w:type="character" w:customStyle="1" w:styleId="22">
    <w:name w:val="标题 2 字符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标题2"/>
    <w:basedOn w:val="3"/>
    <w:qFormat/>
    <w:uiPriority w:val="0"/>
    <w:pPr>
      <w:numPr>
        <w:ilvl w:val="0"/>
        <w:numId w:val="1"/>
      </w:numPr>
      <w:spacing w:before="120" w:after="120" w:line="500" w:lineRule="exact"/>
    </w:pPr>
    <w:rPr>
      <w:rFonts w:ascii="仿宋_GB2312" w:eastAsia="仿宋_GB2312" w:cs="Times New Roman"/>
    </w:rPr>
  </w:style>
  <w:style w:type="paragraph" w:customStyle="1" w:styleId="24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25">
    <w:name w:val="闻政正文 Char"/>
    <w:link w:val="26"/>
    <w:qFormat/>
    <w:uiPriority w:val="0"/>
    <w:rPr>
      <w:rFonts w:ascii="Times New Roman" w:hAnsi="Times New Roman" w:eastAsia="仿宋_GB2312" w:cs="Times New Roman"/>
      <w:sz w:val="28"/>
      <w:szCs w:val="28"/>
    </w:rPr>
  </w:style>
  <w:style w:type="paragraph" w:customStyle="1" w:styleId="26">
    <w:name w:val="闻政正文"/>
    <w:basedOn w:val="1"/>
    <w:link w:val="25"/>
    <w:qFormat/>
    <w:uiPriority w:val="0"/>
    <w:pPr>
      <w:spacing w:line="500" w:lineRule="exact"/>
      <w:ind w:firstLine="560" w:firstLineChars="200"/>
    </w:pPr>
    <w:rPr>
      <w:rFonts w:ascii="Times New Roman" w:hAnsi="Times New Roman" w:eastAsia="仿宋_GB2312" w:cs="Times New Roman"/>
      <w:sz w:val="28"/>
      <w:szCs w:val="28"/>
    </w:rPr>
  </w:style>
  <w:style w:type="character" w:customStyle="1" w:styleId="27">
    <w:name w:val="闻政表 Char"/>
    <w:link w:val="28"/>
    <w:qFormat/>
    <w:uiPriority w:val="0"/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8">
    <w:name w:val="闻政表"/>
    <w:basedOn w:val="1"/>
    <w:link w:val="27"/>
    <w:qFormat/>
    <w:uiPriority w:val="0"/>
    <w:pPr>
      <w:spacing w:before="60" w:after="60"/>
      <w:jc w:val="center"/>
    </w:pPr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2"/>
    </w:rPr>
  </w:style>
  <w:style w:type="character" w:customStyle="1" w:styleId="30">
    <w:name w:val="闻政标题3 Char"/>
    <w:link w:val="31"/>
    <w:qFormat/>
    <w:uiPriority w:val="0"/>
    <w:rPr>
      <w:rFonts w:ascii="黑体" w:hAnsi="黑体" w:eastAsia="黑体" w:cs="Times New Roman"/>
      <w:bCs/>
      <w:sz w:val="32"/>
      <w:szCs w:val="32"/>
    </w:rPr>
  </w:style>
  <w:style w:type="paragraph" w:customStyle="1" w:styleId="31">
    <w:name w:val="闻政标题3"/>
    <w:basedOn w:val="4"/>
    <w:link w:val="30"/>
    <w:qFormat/>
    <w:uiPriority w:val="99"/>
    <w:pPr>
      <w:spacing w:before="120" w:after="60" w:line="500" w:lineRule="exact"/>
      <w:jc w:val="left"/>
      <w:outlineLvl w:val="0"/>
    </w:pPr>
    <w:rPr>
      <w:rFonts w:ascii="黑体" w:hAnsi="黑体" w:eastAsia="黑体" w:cs="Times New Roman"/>
      <w:b w:val="0"/>
    </w:rPr>
  </w:style>
  <w:style w:type="character" w:customStyle="1" w:styleId="32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paragraph" w:customStyle="1" w:styleId="33">
    <w:name w:val="Body text|1"/>
    <w:basedOn w:val="1"/>
    <w:link w:val="34"/>
    <w:qFormat/>
    <w:uiPriority w:val="0"/>
    <w:pPr>
      <w:spacing w:after="40" w:line="334" w:lineRule="auto"/>
    </w:pPr>
    <w:rPr>
      <w:rFonts w:ascii="MingLiU" w:hAnsi="MingLiU" w:eastAsia="MingLiU" w:cs="MingLiU"/>
      <w:sz w:val="20"/>
      <w:szCs w:val="20"/>
      <w:lang w:val="zh-TW" w:eastAsia="zh-TW" w:bidi="zh-TW"/>
    </w:rPr>
  </w:style>
  <w:style w:type="character" w:customStyle="1" w:styleId="34">
    <w:name w:val="Body text|1_"/>
    <w:basedOn w:val="14"/>
    <w:link w:val="33"/>
    <w:unhideWhenUsed/>
    <w:qFormat/>
    <w:uiPriority w:val="0"/>
    <w:rPr>
      <w:rFonts w:ascii="MingLiU" w:hAnsi="MingLiU" w:eastAsia="MingLiU" w:cs="MingLiU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12F1EB-F90A-43BA-ADA9-C320444784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898</Words>
  <Characters>5120</Characters>
  <Lines>42</Lines>
  <Paragraphs>12</Paragraphs>
  <TotalTime>9</TotalTime>
  <ScaleCrop>false</ScaleCrop>
  <LinksUpToDate>false</LinksUpToDate>
  <CharactersWithSpaces>6006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2019-11-22T05:12:00Z</dcterms:created>
  <dc:creator>ThinkPad</dc:creator>
  <cp:lastModifiedBy>Apple</cp:lastModifiedBy>
  <dcterms:modified xsi:type="dcterms:W3CDTF">2020-09-05T09:42:53Z</dcterms:modified>
  <dc:title>新疆普天鹏华商务信息咨询有限公司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