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  <w:bookmarkStart w:id="8" w:name="_GoBack"/>
      <w:bookmarkEnd w:id="8"/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机关事务管理局地委大院运行经费</w:t>
      </w:r>
      <w:r>
        <w:rPr>
          <w:rFonts w:hint="eastAsia" w:ascii="方正小标宋简体" w:eastAsia="方正小标宋简体"/>
          <w:sz w:val="44"/>
          <w:szCs w:val="44"/>
        </w:rPr>
        <w:t>项目支出绩效评价报告</w:t>
      </w: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地委大院运行经费项目</w:t>
      </w: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喀什地区机关事务管理局</w:t>
      </w: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喀什地区机关事务管理局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spacing w:before="156" w:beforeLines="50" w:line="0" w:lineRule="atLeast"/>
        <w:jc w:val="left"/>
        <w:rPr>
          <w:sz w:val="28"/>
          <w:szCs w:val="28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pStyle w:val="21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基本情况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0" w:name="_Toc26401549"/>
      <w:r>
        <w:rPr>
          <w:rFonts w:hint="eastAsia"/>
          <w:lang w:bidi="ar"/>
        </w:rPr>
        <w:t>项目概况</w:t>
      </w:r>
      <w:bookmarkEnd w:id="0"/>
    </w:p>
    <w:p>
      <w:pPr>
        <w:pStyle w:val="17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项目背景及立项依据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根据地区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职能，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负责对地委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大院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各个供电线路、供水路线的安装以及每月记录用电量、用水量，实测所得平均月用电量以及水量。对地委大院内的线路、电路进行检修和管理；为确保地委机关办公区水、电、等设备的正常使用，出现问题后能够及时抢修恢复，确保地委机关办公区的运转正常，营造更好的办公条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立项依据：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参照历年实际执行情况及电力部门收费标准计算所得。参照机关事务管理条例中机关事务管理局职能第6条，结合机关事务管理局工作实际，负责行政大院水、电、变压器电损等使用和维护管理；</w:t>
      </w:r>
    </w:p>
    <w:p>
      <w:pPr>
        <w:pStyle w:val="17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项目主要内容及实施情况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项目的主要内容为：本项目的主管部门为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</w:t>
      </w:r>
      <w:r>
        <w:rPr>
          <w:rFonts w:ascii="仿宋_GB2312" w:hAnsi="仿宋" w:eastAsia="仿宋_GB2312" w:cs="宋体"/>
          <w:sz w:val="32"/>
          <w:szCs w:val="32"/>
          <w:lang w:bidi="ar"/>
        </w:rPr>
        <w:t>,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实施单位为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，主要职责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负责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地委机关办公区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内后勤保障工作。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项目的实施情况：本项目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按照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2019年预算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文件批复，由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根据地委机关大院实际用量支付水电费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仿宋_GB2312" w:hAnsi="仿宋" w:eastAsia="仿宋_GB2312" w:cs="宋体"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3.项目负责人为地区机关事务管理局后勤服务管理科科长王磊，主要职责为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负责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地委机关后勤保障管理与监督实施工作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。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1" w:name="_Toc26401550"/>
      <w:r>
        <w:rPr>
          <w:rFonts w:hint="eastAsia"/>
          <w:lang w:bidi="ar"/>
        </w:rPr>
        <w:t>资金</w:t>
      </w:r>
      <w:bookmarkEnd w:id="1"/>
      <w:r>
        <w:rPr>
          <w:rFonts w:hint="eastAsia"/>
          <w:lang w:bidi="ar"/>
        </w:rPr>
        <w:t>投入和使用情况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200000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元，资金来源为本级部门预算资金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200000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地委大院运行经费项目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资金的使用范围：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支付地委机关办公区水电费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制定了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《机关事务管理局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资金管理办法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》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，根据中央和自治区项目资金管理办法的要求，严格按照项目资金规定的专项资金支持的项目条件和范围要求，严格按照有</w:t>
      </w:r>
      <w:r>
        <w:rPr>
          <w:rFonts w:hint="eastAsia" w:ascii="仿宋" w:hAnsi="仿宋" w:eastAsia="仿宋"/>
          <w:bCs/>
          <w:spacing w:val="-4"/>
          <w:sz w:val="30"/>
          <w:szCs w:val="30"/>
        </w:rPr>
        <w:t>关规定使用管理项目资金。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2" w:name="_Toc26401551"/>
      <w:r>
        <w:rPr>
          <w:rFonts w:hint="eastAsia"/>
          <w:lang w:bidi="ar"/>
        </w:rPr>
        <w:t>绩效目标</w:t>
      </w:r>
      <w:bookmarkEnd w:id="2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总体目标为：根据机关事务管理局工作职能，为保障地委大院各单位、地委干部周转房、地委地下停车场内500盏照明灯用电及日常供排水需求，计划用于地委大院2019年水费10万元，电费10万元。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color w:val="FF0000"/>
          <w:sz w:val="32"/>
          <w:szCs w:val="32"/>
          <w:lang w:bidi="ar"/>
        </w:rPr>
      </w:pPr>
      <w:r>
        <w:rPr>
          <w:rFonts w:ascii="仿宋_GB2312" w:hAnsi="仿宋" w:eastAsia="仿宋_GB2312" w:cs="宋体"/>
          <w:sz w:val="32"/>
          <w:szCs w:val="32"/>
          <w:lang w:bidi="ar"/>
        </w:rPr>
        <w:t xml:space="preserve"> 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项目共设置</w:t>
      </w:r>
      <w:r>
        <w:rPr>
          <w:rFonts w:ascii="仿宋_GB2312" w:hAnsi="仿宋" w:eastAsia="仿宋_GB2312" w:cs="宋体"/>
          <w:sz w:val="32"/>
          <w:szCs w:val="32"/>
          <w:lang w:bidi="ar"/>
        </w:rPr>
        <w:t>1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级指标3个，二级指标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7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个，三级指标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个，绩效目标申报表详见附件1。</w:t>
      </w:r>
    </w:p>
    <w:p>
      <w:pPr>
        <w:pStyle w:val="21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3" w:name="_Toc26401552"/>
      <w:r>
        <w:rPr>
          <w:rFonts w:hint="eastAsia"/>
          <w:lang w:bidi="ar"/>
        </w:rPr>
        <w:t>评价工作简述</w:t>
      </w:r>
      <w:bookmarkEnd w:id="3"/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4" w:name="_Toc26401553"/>
      <w:r>
        <w:rPr>
          <w:rFonts w:hint="eastAsia"/>
          <w:lang w:bidi="ar"/>
        </w:rPr>
        <w:t>评价目的</w:t>
      </w:r>
      <w:bookmarkEnd w:id="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color w:val="FF0000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  <w:lang w:bidi="ar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《自治区财政支出绩效评价管理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暂行办法》（新财预〔2018〕189号）等相关政策文件与规定，旨在评价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项目实施前期、过程及效果，评价财政预算资金使用的效率及效益。根据实际情况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，本项目绩效评价主要是通过各个指标的完成，确保财政资金合理、高效的使用，此项目额实施，有效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保障地委大院用水用电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eastAsia="zh-CN" w:bidi="ar"/>
        </w:rPr>
        <w:t>。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本次绩效评价的对象及范围</w:t>
      </w:r>
      <w:bookmarkStart w:id="5" w:name="_Toc2640155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ascii="仿宋_GB2312" w:hAnsi="仿宋" w:eastAsia="仿宋_GB2312" w:cs="宋体"/>
          <w:sz w:val="32"/>
          <w:szCs w:val="32"/>
          <w:lang w:bidi="ar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地委大院运行经费项目</w:t>
      </w:r>
      <w:r>
        <w:rPr>
          <w:rFonts w:ascii="仿宋_GB2312" w:hAnsi="仿宋" w:eastAsia="仿宋_GB2312" w:cs="宋体"/>
          <w:sz w:val="32"/>
          <w:szCs w:val="32"/>
          <w:lang w:bidi="ar"/>
        </w:rPr>
        <w:t>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金的安排、组织及使用效益。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绩效评价原则</w:t>
      </w:r>
      <w:bookmarkEnd w:id="5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本次绩效评价遵循的原则包括：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公开透明。绩效评价结果应依法依规公开，并自觉接受社会监督。</w:t>
      </w:r>
      <w:r>
        <w:rPr>
          <w:rFonts w:hint="eastAsia"/>
          <w:b w:val="0"/>
          <w:lang w:bidi="ar"/>
        </w:rPr>
        <w:t>绩效评价体系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本项目绩效评价体系</w:t>
      </w:r>
    </w:p>
    <w:p>
      <w:pPr>
        <w:pStyle w:val="2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lang w:bidi="ar"/>
        </w:rPr>
      </w:pPr>
      <w:r>
        <w:rPr>
          <w:rFonts w:hint="eastAsia"/>
          <w:b w:val="0"/>
          <w:lang w:bidi="ar"/>
        </w:rPr>
        <w:t>本项</w:t>
      </w:r>
      <w:r>
        <w:rPr>
          <w:rFonts w:hint="eastAsia"/>
          <w:b w:val="0"/>
          <w:color w:val="auto"/>
          <w:lang w:bidi="ar"/>
        </w:rPr>
        <w:t>目绩效评价体系为根据财预</w:t>
      </w:r>
      <w:r>
        <w:rPr>
          <w:rFonts w:hint="eastAsia" w:ascii="仿宋" w:hAnsi="仿宋" w:eastAsia="仿宋"/>
          <w:b w:val="0"/>
          <w:color w:val="auto"/>
          <w:lang w:bidi="ar"/>
        </w:rPr>
        <w:t>﹝</w:t>
      </w:r>
      <w:r>
        <w:rPr>
          <w:rFonts w:hint="eastAsia"/>
          <w:b w:val="0"/>
          <w:color w:val="auto"/>
          <w:lang w:bidi="ar"/>
        </w:rPr>
        <w:t>2</w:t>
      </w:r>
      <w:r>
        <w:rPr>
          <w:b w:val="0"/>
          <w:color w:val="auto"/>
          <w:lang w:bidi="ar"/>
        </w:rPr>
        <w:t>020</w:t>
      </w:r>
      <w:r>
        <w:rPr>
          <w:rFonts w:hint="eastAsia" w:ascii="仿宋" w:hAnsi="仿宋" w:eastAsia="仿宋"/>
          <w:b w:val="0"/>
          <w:color w:val="auto"/>
          <w:lang w:bidi="ar"/>
        </w:rPr>
        <w:t>﹞</w:t>
      </w:r>
      <w:r>
        <w:rPr>
          <w:rFonts w:hint="eastAsia"/>
          <w:b w:val="0"/>
          <w:color w:val="auto"/>
          <w:lang w:bidi="ar"/>
        </w:rPr>
        <w:t>1</w:t>
      </w:r>
      <w:r>
        <w:rPr>
          <w:b w:val="0"/>
          <w:color w:val="auto"/>
          <w:lang w:bidi="ar"/>
        </w:rPr>
        <w:t>0</w:t>
      </w:r>
      <w:r>
        <w:rPr>
          <w:rFonts w:hint="eastAsia"/>
          <w:b w:val="0"/>
          <w:color w:val="auto"/>
          <w:lang w:bidi="ar"/>
        </w:rPr>
        <w:t>号共性指标及个性化指标设置，详见附件</w:t>
      </w:r>
      <w:r>
        <w:rPr>
          <w:rFonts w:hint="eastAsia"/>
          <w:b w:val="0"/>
          <w:color w:val="auto"/>
          <w:lang w:val="en-US" w:eastAsia="zh-CN" w:bidi="ar"/>
        </w:rPr>
        <w:t>4</w:t>
      </w:r>
      <w:r>
        <w:rPr>
          <w:rFonts w:hint="eastAsia"/>
          <w:b w:val="0"/>
          <w:color w:val="auto"/>
          <w:lang w:bidi="ar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6" w:name="_Toc26401555"/>
      <w:r>
        <w:rPr>
          <w:rFonts w:hint="eastAsia"/>
          <w:lang w:bidi="ar"/>
        </w:rPr>
        <w:t>绩效评价方法</w:t>
      </w:r>
      <w:bookmarkEnd w:id="6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本次绩效评价方法的选用坚持简便有效的原则采用最低成本法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问卷调查法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评价标准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仿宋_GB2312"/>
          <w:b w:val="0"/>
          <w:bCs w:val="0"/>
          <w:lang w:eastAsia="zh-CN" w:bidi="ar"/>
        </w:rPr>
      </w:pPr>
      <w:r>
        <w:rPr>
          <w:b w:val="0"/>
          <w:bCs w:val="0"/>
          <w:lang w:bidi="ar"/>
        </w:rPr>
        <w:t xml:space="preserve"> </w:t>
      </w:r>
      <w:r>
        <w:rPr>
          <w:rFonts w:hint="eastAsia"/>
          <w:b w:val="0"/>
          <w:bCs w:val="0"/>
          <w:lang w:bidi="ar"/>
        </w:rPr>
        <w:t>项目评价标准采用</w:t>
      </w:r>
      <w:r>
        <w:rPr>
          <w:rFonts w:hint="eastAsia"/>
          <w:b w:val="0"/>
          <w:bCs w:val="0"/>
          <w:lang w:eastAsia="zh-CN"/>
        </w:rPr>
        <w:t>计划</w:t>
      </w:r>
      <w:r>
        <w:rPr>
          <w:rFonts w:hint="eastAsia"/>
          <w:b w:val="0"/>
          <w:bCs w:val="0"/>
        </w:rPr>
        <w:t>标准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绩效评价工作过程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bCs w:val="0"/>
          <w:lang w:bidi="ar"/>
        </w:rPr>
      </w:pPr>
      <w:r>
        <w:rPr>
          <w:rFonts w:hint="eastAsia"/>
          <w:b w:val="0"/>
          <w:bCs w:val="0"/>
          <w:lang w:bidi="ar"/>
        </w:rPr>
        <w:t>本次评价成立了评价，成员如下：</w:t>
      </w:r>
    </w:p>
    <w:tbl>
      <w:tblPr>
        <w:tblStyle w:val="13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2460"/>
        <w:gridCol w:w="4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评价人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职责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巩波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评价组组长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喀什地区机关事务管理局副局长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王磊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评价组成员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喀什地区机关事务管理局后勤服务管理科负责人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周斌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评价组成员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喀什地区机关事务管理局规划财务（审计）科负责人</w:t>
            </w:r>
          </w:p>
        </w:tc>
      </w:tr>
    </w:tbl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bCs w:val="0"/>
          <w:lang w:bidi="ar"/>
        </w:rPr>
      </w:pPr>
      <w:r>
        <w:rPr>
          <w:rFonts w:hint="eastAsia"/>
          <w:b w:val="0"/>
          <w:bCs w:val="0"/>
          <w:lang w:bidi="ar"/>
        </w:rPr>
        <w:t>本次评价设计了评价方案、评价指标体系，通过资料分析、调研、访谈满意度调查等方式形成评价结论，在与项目单位沟通后确定评价意见，并出具评价报告。　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color w:val="FF0000"/>
          <w:highlight w:val="none"/>
          <w:lang w:bidi="ar"/>
        </w:rPr>
      </w:pPr>
      <w:bookmarkStart w:id="7" w:name="_Toc26401558"/>
      <w:r>
        <w:rPr>
          <w:rFonts w:hint="eastAsia" w:ascii="黑体" w:hAnsi="黑体"/>
          <w:color w:val="auto"/>
          <w:highlight w:val="none"/>
          <w:lang w:eastAsia="zh-CN"/>
        </w:rPr>
        <w:t>三、</w:t>
      </w:r>
      <w:r>
        <w:rPr>
          <w:rFonts w:hint="eastAsia" w:ascii="黑体" w:hAnsi="黑体"/>
          <w:color w:val="auto"/>
          <w:highlight w:val="none"/>
        </w:rPr>
        <w:t>综合评</w:t>
      </w:r>
      <w:r>
        <w:rPr>
          <w:rFonts w:hint="eastAsia" w:ascii="黑体" w:hAnsi="黑体"/>
          <w:highlight w:val="none"/>
        </w:rPr>
        <w:t>价情况及评价结论</w:t>
      </w:r>
    </w:p>
    <w:p>
      <w:pPr>
        <w:pStyle w:val="21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eastAsia="仿宋_GB2312" w:hAnsiTheme="majorHAnsi"/>
          <w:b w:val="0"/>
          <w:bCs w:val="0"/>
          <w:kern w:val="2"/>
          <w:highlight w:val="none"/>
          <w:lang w:bidi="ar"/>
        </w:rPr>
      </w:pP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经评价组通过实地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eastAsia="zh-CN" w:bidi="ar"/>
        </w:rPr>
        <w:t>询价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、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eastAsia="zh-CN" w:bidi="ar"/>
        </w:rPr>
        <w:t>综合对比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等方式，采用综合分析法、最低成本法等对项目的决策、管理、绩效进行的综合评价分析，项目得分为</w:t>
      </w:r>
      <w:r>
        <w:rPr>
          <w:rFonts w:hint="eastAsia" w:ascii="仿宋_GB2312" w:eastAsia="仿宋_GB2312" w:hAnsiTheme="majorHAnsi"/>
          <w:b w:val="0"/>
          <w:bCs w:val="0"/>
          <w:color w:val="auto"/>
          <w:kern w:val="2"/>
          <w:highlight w:val="none"/>
          <w:lang w:val="en-US" w:eastAsia="zh-CN" w:bidi="ar"/>
        </w:rPr>
        <w:t>92</w:t>
      </w:r>
      <w:r>
        <w:rPr>
          <w:rFonts w:hint="eastAsia" w:ascii="仿宋_GB2312" w:eastAsia="仿宋_GB2312" w:hAnsiTheme="majorHAnsi"/>
          <w:b w:val="0"/>
          <w:bCs w:val="0"/>
          <w:color w:val="auto"/>
          <w:kern w:val="2"/>
          <w:highlight w:val="none"/>
          <w:lang w:bidi="ar"/>
        </w:rPr>
        <w:t>分，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评价结果为优，详见附件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val="en-US" w:eastAsia="zh-CN" w:bidi="ar"/>
        </w:rPr>
        <w:t>6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eastAsia="zh-CN" w:bidi="ar"/>
        </w:rPr>
        <w:t>四、</w:t>
      </w:r>
      <w:r>
        <w:rPr>
          <w:rFonts w:hint="eastAsia"/>
          <w:lang w:bidi="ar"/>
        </w:rPr>
        <w:t>绩效评价指标分析</w:t>
      </w:r>
      <w:bookmarkEnd w:id="7"/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bidi="ar"/>
        </w:rPr>
        <w:t>项目的决策情况</w:t>
      </w:r>
    </w:p>
    <w:p>
      <w:pPr>
        <w:pStyle w:val="2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" w:cs="宋体"/>
          <w:sz w:val="32"/>
          <w:szCs w:val="32"/>
          <w:lang w:eastAsia="zh-CN" w:bidi="ar"/>
        </w:rPr>
      </w:pPr>
      <w:r>
        <w:rPr>
          <w:rFonts w:hint="eastAsia" w:ascii="仿宋_GB2312" w:hAnsi="仿宋" w:cs="宋体"/>
          <w:sz w:val="32"/>
          <w:szCs w:val="32"/>
          <w:lang w:bidi="ar"/>
        </w:rPr>
        <w:t>本项目的立项符合相关法规政策及部门职责，依据充分；项目按照规定的程序申请设立；审批文件、材料符合相关要求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项目根据相关文件要求设置了绩效目标，项目绩效目标基本合理，与实际工作内容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一致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；项目预期产出效益和效果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达到预期目标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；与预算确定的项目投资额或资金量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基本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匹配。项目绩效目标细化分解为具体的绩效指标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，且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通过清晰、可衡量的指标值予以体现。</w:t>
      </w:r>
    </w:p>
    <w:p>
      <w:pPr>
        <w:spacing w:before="156"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项目在资金投入方面，预算编制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中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资金额度与年度目标相适应，项目预算资金分配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有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测算依据，与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我单位实际情况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相适应。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bidi="ar"/>
        </w:rPr>
        <w:t>项目的过程情况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在资金管理方面，项目资金到位足额及时，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资金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及时支付，资金使用符合国家法规和财务管理制度；资金拨付有完整的审批程序和手续，符合项目预算批复或合同规定的用途；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不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存在截留、挤占、挪用、虚列支出等情况。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在项目组织实施方面，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已制定相应的财务和业务管理制度，项目实施遵守相关法律法规和相关管理规定。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highlight w:val="none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bidi="ar"/>
        </w:rPr>
        <w:t>项目产出情况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项目产出数量为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公共区域亮化照明灯数量</w:t>
      </w:r>
      <w:r>
        <w:rPr>
          <w:rFonts w:hint="eastAsia" w:ascii="仿宋_GB2312" w:eastAsia="仿宋_GB2312"/>
          <w:sz w:val="32"/>
          <w:szCs w:val="32"/>
        </w:rPr>
        <w:t>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500盏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500盏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项目产出质量为验收合格率，预期指标值为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项目产出时效为水电费支付及时率，预期指标值为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项目产出成本指标为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水费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，预期指标是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eastAsia="仿宋_GB2312"/>
          <w:sz w:val="32"/>
          <w:szCs w:val="32"/>
        </w:rPr>
        <w:t>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电费</w:t>
      </w:r>
      <w:r>
        <w:rPr>
          <w:rFonts w:hint="eastAsia" w:ascii="仿宋_GB2312" w:eastAsia="仿宋_GB2312"/>
          <w:sz w:val="32"/>
          <w:szCs w:val="32"/>
        </w:rPr>
        <w:t>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10万元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10万元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highlight w:val="none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bidi="ar"/>
        </w:rPr>
        <w:t>项目效益情况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项目实施产生的经济效益</w:t>
      </w:r>
      <w:r>
        <w:rPr>
          <w:rFonts w:hint="eastAsia" w:ascii="仿宋_GB2312" w:eastAsia="仿宋_GB2312"/>
          <w:sz w:val="32"/>
          <w:szCs w:val="32"/>
        </w:rPr>
        <w:t>指标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保障机关各类工作有序开展，</w:t>
      </w:r>
      <w:r>
        <w:rPr>
          <w:rFonts w:hint="eastAsia" w:ascii="仿宋_GB2312" w:eastAsia="仿宋_GB2312"/>
          <w:sz w:val="32"/>
          <w:szCs w:val="32"/>
        </w:rPr>
        <w:t>预期指标值为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成效显著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成效显著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，达到了预期目标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项目实施产生的生态效益</w:t>
      </w:r>
      <w:r>
        <w:rPr>
          <w:rFonts w:hint="eastAsia" w:ascii="仿宋_GB2312" w:eastAsia="仿宋_GB2312"/>
          <w:sz w:val="32"/>
          <w:szCs w:val="32"/>
        </w:rPr>
        <w:t>指标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指标为机关用电持续保障，预期指标值为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长期保障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长期保障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，达到了预期目标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经</w:t>
      </w:r>
      <w:r>
        <w:rPr>
          <w:rFonts w:hint="eastAsia" w:ascii="仿宋_GB2312" w:hAnsi="仿宋" w:eastAsia="仿宋_GB2312" w:cs="宋体"/>
          <w:bCs/>
          <w:color w:val="auto"/>
          <w:sz w:val="32"/>
          <w:szCs w:val="32"/>
          <w:lang w:bidi="ar"/>
        </w:rPr>
        <w:t>问卷调查，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项目收益群众满意度为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 w:bidi="ar"/>
        </w:rPr>
        <w:t>90%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：达到了预期目标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 w:ascii="黑体" w:hAnsi="黑体"/>
          <w:lang w:eastAsia="zh-CN"/>
        </w:rPr>
        <w:t>五、</w:t>
      </w: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在项目资金的使用过程中，我们坚持原则、实事求是、如实发放，确保资金管理使用合理、合法、合规，没有发生资金使用不当问题，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严格履行会计制度，严格执行项目预算，严格执行有关项目资金管理规定和资金使用的相关要求，对项目实施全过程进行日常监督管理，确保项目资金落实。</w:t>
      </w:r>
    </w:p>
    <w:p>
      <w:pPr>
        <w:pStyle w:val="2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hint="eastAsia"/>
          <w:lang w:bidi="ar"/>
        </w:rPr>
      </w:pPr>
      <w:r>
        <w:rPr>
          <w:rFonts w:hint="eastAsia"/>
          <w:lang w:eastAsia="zh-CN" w:bidi="ar"/>
        </w:rPr>
        <w:t>（二）</w:t>
      </w:r>
      <w:r>
        <w:rPr>
          <w:rFonts w:hint="eastAsia"/>
          <w:lang w:bidi="ar"/>
        </w:rPr>
        <w:t>存在的问题及原因分析</w:t>
      </w:r>
    </w:p>
    <w:p>
      <w:pPr>
        <w:pStyle w:val="1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20" w:firstLineChars="200"/>
        <w:jc w:val="both"/>
        <w:textAlignment w:val="auto"/>
        <w:outlineLvl w:val="9"/>
        <w:rPr>
          <w:rFonts w:hint="default" w:eastAsia="宋体"/>
          <w:b w:val="0"/>
          <w:lang w:val="en-US" w:eastAsia="zh-CN" w:bidi="ar"/>
        </w:rPr>
      </w:pPr>
      <w:r>
        <w:rPr>
          <w:rFonts w:hint="eastAsia"/>
          <w:b w:val="0"/>
          <w:lang w:bidi="ar"/>
        </w:rPr>
        <w:t xml:space="preserve"> </w:t>
      </w:r>
      <w:r>
        <w:rPr>
          <w:rFonts w:hint="eastAsia" w:ascii="仿宋" w:hAnsi="仿宋" w:eastAsia="仿宋"/>
          <w:bCs/>
          <w:spacing w:val="-4"/>
          <w:sz w:val="30"/>
          <w:szCs w:val="30"/>
          <w:lang w:eastAsia="zh-CN"/>
        </w:rPr>
        <w:t>预算编制测算依据存在不足，原因未做充分的</w:t>
      </w:r>
      <w:r>
        <w:rPr>
          <w:rFonts w:hint="eastAsia" w:ascii="仿宋" w:hAnsi="仿宋" w:eastAsia="仿宋"/>
          <w:bCs/>
          <w:spacing w:val="-4"/>
          <w:sz w:val="30"/>
          <w:szCs w:val="30"/>
          <w:lang w:val="en-US" w:eastAsia="zh-CN"/>
        </w:rPr>
        <w:t>事前绩效评估，实际下达资金量不足以支付地委大院全年水电费。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ascii="黑体" w:hAnsi="黑体"/>
        </w:rPr>
      </w:pPr>
      <w:r>
        <w:rPr>
          <w:rFonts w:hint="eastAsia" w:ascii="黑体" w:hAnsi="黑体"/>
          <w:lang w:eastAsia="zh-CN"/>
        </w:rPr>
        <w:t>六、</w:t>
      </w:r>
      <w:r>
        <w:rPr>
          <w:rFonts w:hint="eastAsia" w:ascii="黑体" w:hAnsi="黑体"/>
        </w:rPr>
        <w:t>有关建议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20" w:firstLineChars="200"/>
        <w:jc w:val="both"/>
        <w:textAlignment w:val="auto"/>
        <w:outlineLvl w:val="9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  <w:lang w:bidi="ar"/>
        </w:rPr>
        <w:t xml:space="preserve">  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建议项目实施前，做好事前绩效评估工作，做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好近三年地委大院用水、用电量汇总工作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严格做好2020年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资金规划。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ascii="黑体" w:hAnsi="黑体"/>
        </w:rPr>
      </w:pPr>
      <w:r>
        <w:rPr>
          <w:rFonts w:hint="eastAsia" w:ascii="黑体" w:hAnsi="黑体"/>
          <w:lang w:eastAsia="zh-CN"/>
        </w:rPr>
        <w:t>七、</w:t>
      </w:r>
      <w:r>
        <w:rPr>
          <w:rFonts w:hint="eastAsia" w:ascii="黑体" w:hAnsi="黑体"/>
        </w:rPr>
        <w:t>其他需要说明的问题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附件1：喀什地区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项目支出绩效目标申报表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项目支出绩效目标表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附件3：喀什地区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项目支出绩效自评表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项目支出绩效评价指标体系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：绩效评价依据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机关事务管理局地委大院运行经费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项目支出绩效评价评分表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15"/>
    <w:rsid w:val="00022413"/>
    <w:rsid w:val="00037F93"/>
    <w:rsid w:val="00042126"/>
    <w:rsid w:val="000E0C7B"/>
    <w:rsid w:val="000F2007"/>
    <w:rsid w:val="00100A64"/>
    <w:rsid w:val="00100AA9"/>
    <w:rsid w:val="001143D6"/>
    <w:rsid w:val="0012798F"/>
    <w:rsid w:val="00132553"/>
    <w:rsid w:val="00151AF1"/>
    <w:rsid w:val="00174F3A"/>
    <w:rsid w:val="0018169D"/>
    <w:rsid w:val="00193649"/>
    <w:rsid w:val="0019720C"/>
    <w:rsid w:val="001A1902"/>
    <w:rsid w:val="001A4FFA"/>
    <w:rsid w:val="001B5B44"/>
    <w:rsid w:val="001D5FF2"/>
    <w:rsid w:val="001D6F2E"/>
    <w:rsid w:val="00203FB6"/>
    <w:rsid w:val="00233ECE"/>
    <w:rsid w:val="002A1BF4"/>
    <w:rsid w:val="002B3A72"/>
    <w:rsid w:val="002C6231"/>
    <w:rsid w:val="002F7CDC"/>
    <w:rsid w:val="00324E56"/>
    <w:rsid w:val="00331AF1"/>
    <w:rsid w:val="003468D7"/>
    <w:rsid w:val="00363E52"/>
    <w:rsid w:val="00382736"/>
    <w:rsid w:val="003A04D1"/>
    <w:rsid w:val="003C327E"/>
    <w:rsid w:val="003C4B3D"/>
    <w:rsid w:val="003C6E7F"/>
    <w:rsid w:val="003E0E95"/>
    <w:rsid w:val="003F1C70"/>
    <w:rsid w:val="003F2E47"/>
    <w:rsid w:val="00403544"/>
    <w:rsid w:val="004115AA"/>
    <w:rsid w:val="00434C92"/>
    <w:rsid w:val="00443C47"/>
    <w:rsid w:val="00452560"/>
    <w:rsid w:val="00467DBB"/>
    <w:rsid w:val="004A0587"/>
    <w:rsid w:val="004C56AB"/>
    <w:rsid w:val="004D088E"/>
    <w:rsid w:val="004D4F06"/>
    <w:rsid w:val="005225F1"/>
    <w:rsid w:val="00531253"/>
    <w:rsid w:val="00540B36"/>
    <w:rsid w:val="00563E06"/>
    <w:rsid w:val="0058554B"/>
    <w:rsid w:val="00596DDF"/>
    <w:rsid w:val="005B6EAB"/>
    <w:rsid w:val="005D7AC7"/>
    <w:rsid w:val="00630E69"/>
    <w:rsid w:val="006362B2"/>
    <w:rsid w:val="0065420A"/>
    <w:rsid w:val="006869EC"/>
    <w:rsid w:val="00694A44"/>
    <w:rsid w:val="006D0AA4"/>
    <w:rsid w:val="006F2513"/>
    <w:rsid w:val="006F64CB"/>
    <w:rsid w:val="0071759F"/>
    <w:rsid w:val="007253B3"/>
    <w:rsid w:val="00731D46"/>
    <w:rsid w:val="00734BAD"/>
    <w:rsid w:val="00752C57"/>
    <w:rsid w:val="00781733"/>
    <w:rsid w:val="007C5CF9"/>
    <w:rsid w:val="007D340B"/>
    <w:rsid w:val="007E6392"/>
    <w:rsid w:val="007F3C25"/>
    <w:rsid w:val="00811F2D"/>
    <w:rsid w:val="00815938"/>
    <w:rsid w:val="008226BA"/>
    <w:rsid w:val="00827DA6"/>
    <w:rsid w:val="00835103"/>
    <w:rsid w:val="00854416"/>
    <w:rsid w:val="00866F54"/>
    <w:rsid w:val="00883FF2"/>
    <w:rsid w:val="0089293E"/>
    <w:rsid w:val="00893E6C"/>
    <w:rsid w:val="008D7BC7"/>
    <w:rsid w:val="0090104C"/>
    <w:rsid w:val="00982B10"/>
    <w:rsid w:val="009C0267"/>
    <w:rsid w:val="009E5354"/>
    <w:rsid w:val="00A10F1E"/>
    <w:rsid w:val="00A12A0C"/>
    <w:rsid w:val="00A365D5"/>
    <w:rsid w:val="00A41DB8"/>
    <w:rsid w:val="00A43094"/>
    <w:rsid w:val="00A53361"/>
    <w:rsid w:val="00A5786D"/>
    <w:rsid w:val="00A60191"/>
    <w:rsid w:val="00A81609"/>
    <w:rsid w:val="00A85237"/>
    <w:rsid w:val="00AB07C5"/>
    <w:rsid w:val="00AE1FDF"/>
    <w:rsid w:val="00AE3042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C7696"/>
    <w:rsid w:val="00C2671D"/>
    <w:rsid w:val="00C563AA"/>
    <w:rsid w:val="00C71FF0"/>
    <w:rsid w:val="00C77259"/>
    <w:rsid w:val="00C97E2D"/>
    <w:rsid w:val="00D043D7"/>
    <w:rsid w:val="00D117FB"/>
    <w:rsid w:val="00D23C2E"/>
    <w:rsid w:val="00D61EC8"/>
    <w:rsid w:val="00D93516"/>
    <w:rsid w:val="00DA7F4C"/>
    <w:rsid w:val="00DC5F94"/>
    <w:rsid w:val="00DE152F"/>
    <w:rsid w:val="00DE293B"/>
    <w:rsid w:val="00E05626"/>
    <w:rsid w:val="00E25B2F"/>
    <w:rsid w:val="00E373A5"/>
    <w:rsid w:val="00E66A4D"/>
    <w:rsid w:val="00E72B1C"/>
    <w:rsid w:val="00E96169"/>
    <w:rsid w:val="00F0780F"/>
    <w:rsid w:val="00F16D54"/>
    <w:rsid w:val="00F6015C"/>
    <w:rsid w:val="00F75715"/>
    <w:rsid w:val="00F864F2"/>
    <w:rsid w:val="00FB2E2F"/>
    <w:rsid w:val="00FD300A"/>
    <w:rsid w:val="00FF137F"/>
    <w:rsid w:val="00FF6959"/>
    <w:rsid w:val="00FF6C14"/>
    <w:rsid w:val="01BE6316"/>
    <w:rsid w:val="035E4FA5"/>
    <w:rsid w:val="05880261"/>
    <w:rsid w:val="0B181633"/>
    <w:rsid w:val="0B621486"/>
    <w:rsid w:val="0D3F60CB"/>
    <w:rsid w:val="0F627590"/>
    <w:rsid w:val="11195D6D"/>
    <w:rsid w:val="115A15C8"/>
    <w:rsid w:val="162D54B0"/>
    <w:rsid w:val="16CE6009"/>
    <w:rsid w:val="18760F8E"/>
    <w:rsid w:val="1ADD7E3E"/>
    <w:rsid w:val="1DD21F78"/>
    <w:rsid w:val="1DF6531E"/>
    <w:rsid w:val="1FF41138"/>
    <w:rsid w:val="217F35A7"/>
    <w:rsid w:val="24AA36FB"/>
    <w:rsid w:val="24E73B1F"/>
    <w:rsid w:val="24EC5433"/>
    <w:rsid w:val="26F03C06"/>
    <w:rsid w:val="281741CA"/>
    <w:rsid w:val="2A547683"/>
    <w:rsid w:val="30F85DC5"/>
    <w:rsid w:val="32DC71EF"/>
    <w:rsid w:val="33537589"/>
    <w:rsid w:val="367B0877"/>
    <w:rsid w:val="36B35A3A"/>
    <w:rsid w:val="37BE6C83"/>
    <w:rsid w:val="38AB1BB0"/>
    <w:rsid w:val="395B2DA9"/>
    <w:rsid w:val="3B245508"/>
    <w:rsid w:val="3C352168"/>
    <w:rsid w:val="3E237D8B"/>
    <w:rsid w:val="3FC70DC6"/>
    <w:rsid w:val="47F14391"/>
    <w:rsid w:val="4AAE5FCF"/>
    <w:rsid w:val="4E474866"/>
    <w:rsid w:val="4F7A78B0"/>
    <w:rsid w:val="50466028"/>
    <w:rsid w:val="509B341F"/>
    <w:rsid w:val="52F545F2"/>
    <w:rsid w:val="53D363C0"/>
    <w:rsid w:val="57597032"/>
    <w:rsid w:val="57964064"/>
    <w:rsid w:val="5A2C733C"/>
    <w:rsid w:val="5AC33283"/>
    <w:rsid w:val="5AF63F95"/>
    <w:rsid w:val="5C6E0CD4"/>
    <w:rsid w:val="5E430ED4"/>
    <w:rsid w:val="623507E7"/>
    <w:rsid w:val="646B1C75"/>
    <w:rsid w:val="667765BF"/>
    <w:rsid w:val="68124988"/>
    <w:rsid w:val="69C25832"/>
    <w:rsid w:val="6C5E2EA5"/>
    <w:rsid w:val="6FE36B21"/>
    <w:rsid w:val="70095ECB"/>
    <w:rsid w:val="71F87675"/>
    <w:rsid w:val="724B61AB"/>
    <w:rsid w:val="74D949FD"/>
    <w:rsid w:val="77076C6D"/>
    <w:rsid w:val="7775238E"/>
    <w:rsid w:val="7A7518A7"/>
    <w:rsid w:val="7A8638D9"/>
    <w:rsid w:val="7C06196F"/>
    <w:rsid w:val="7E4E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字符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2F1EB-F90A-43BA-ADA9-C320444784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898</Words>
  <Characters>5120</Characters>
  <Lines>42</Lines>
  <Paragraphs>12</Paragraphs>
  <TotalTime>6</TotalTime>
  <ScaleCrop>false</ScaleCrop>
  <LinksUpToDate>false</LinksUpToDate>
  <CharactersWithSpaces>6006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Apple</cp:lastModifiedBy>
  <dcterms:modified xsi:type="dcterms:W3CDTF">2020-09-05T09:42:35Z</dcterms:modified>
  <dc:title>新疆普天鹏华商务信息咨询有限公司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