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喀什地区科技培训中心卫生间、屋面翻修及值班室改造工程欠款资金项目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喀什地区科学技术局（本级）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喀什地区科学技术局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阿布都克里木</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旨在评价喀什地区科技培训中心卫生间、屋面翻修及值班室改造工程欠款资金项目实施前期、过程及效果，评价财政预算资金使用的效率及效益。通过该项目的实施，可完成欠款资金清偿，有效保障实施单位的权益，有效优化营商环境。</w:t>
        <w:br/>
        <w:t>2. 主要内容及实施情况</w:t>
        <w:br/>
        <w:t>本项目根据自治区减负办《关于进一步做好拖欠中小企业账款清偿化解工作的通知》（新促企办〔2022〕19号）要求，我局1个工程项目因资金原因未能完成清偿支付工作，后期我局聘请了第三方审计公司对该工程项目进行了决算审计，经过实地勘验，比照当年度人工、材料价格，审计公司出具了竣工结算审核书，审定《喀什地区科技培训中心卫生间、屋面翻新及值班室改造工程》竣工结算审定金额为174140.01元，施工方喀什市新隆建设（集团）有限责任公司对审计结果已签字认可，完成材料征集和相关手续后向财政申请资金，完成资金清偿工作。</w:t>
        <w:br/>
        <w:t>3.项目实施主体</w:t>
        <w:br/>
        <w:t>喀什地区科学技术局为机关单位，纳入2023年部门决算编制范围为本级机关单位。</w:t>
        <w:br/>
        <w:t>编制人数37人，其中：行政人员编制16人、工勤2人、事业编制19人。实有在职人数33人，其中：行政在职16人、工勤1人、事业在职16人。离退休人员28人，其中：行政退休人员22人、事业退休5人，退休合同制工人1人。</w:t>
        <w:br/>
        <w:t>4. 资金投入和使用情况</w:t>
        <w:br/>
        <w:t>科教和文化科签报[2023]56号共安排下达资金17.41万元，为返还存量资金，最终确定项目资金总数为17.41万元。</w:t>
        <w:br/>
        <w:t>截至2023年12月31日，实际支出17.41万元，预算执行率100%。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根据自治区减负办《关于进一步做好拖欠中小企业账款清偿化解工作的通知》（新促企办〔2022〕19号）要求，我局科技培训中心卫生间、屋面翻修及值班室改造工程因资金原因未能完成清偿支付工作，我单位组织第三方审计公司审定该项目资金金额，手续齐全支付资金。</w:t>
        <w:br/>
        <w:t>2.阶段性目标</w:t>
        <w:br/>
        <w:t>实施的前期准备工作：安排专人收集项目相关历史材料。</w:t>
        <w:br/>
        <w:t>具体实施工作：成立工作小组完成工程决算审计工作，第三方审计公司出具。</w:t>
        <w:br/>
        <w:t>验收阶段的具体工作：2022年9月我局聘请第三方审计公司对该工程项目进行了决算审计，经过实地勘验，比照当年度人工、材料价格，审计公司出具了竣工结算审核书，审定《喀什地区科技培训中心卫生间、屋面翻新及值班室改造工程》竣工结算审定金额为174140.01元，施工方喀什市新隆建设（集团）有限责任公司对审计结果已签字认可。</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喀什地区科技培训中心卫生间、屋面翻修及值班室改造工程欠款资金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绩效评价标准通常包括计划标准、行业标准、历史标准等，用于对绩效指标完成情况进行比较、分析、评价。本次评价主要采用了计划标准、预算支出标准和其他标准。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刘勇任评价组组长，绩效评价工作职责为负责全盘工作。</w:t>
        <w:br/>
        <w:t>黄莉任评价组副组长，绩效评价工作职责为为对项目实施情况进行实地调查。</w:t>
        <w:br/>
        <w:t>李萍任评价组成员，绩效评价工作职责为负责资料审核等工作。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</w:t>
        <w:br/>
        <w:t>（一）综合评价情况</w:t>
        <w:br/>
        <w:t>通过实施喀什地区科技培训中心卫生间、屋面翻修及值班室改造工程欠款资金项目产生优化营商环境的社会效益。项目实施主要通过项目决策、项目过程、项目产出以及项目效益等方面进行评价，其中：</w:t>
        <w:br/>
        <w:t>项目决策：该项目主要通过《关于进一步做好拖欠中小企业账款清偿化解工作的通知》（新促企办〔2022〕19号）文件件立项，项目实施符合优化营商环境要求，项目立项依据充分，立项程序规范。 </w:t>
        <w:br/>
        <w:t>项目过程：喀什地区科技培训中心卫生间、屋面翻修及值班室改造工程欠款资金项目预算安排17.41万元，实际支出17.41万元，预算执行率100%。项目资金使用合规，项目财务管理制度健全，财务监控到位，所有资金支付均按照国库集中支付制度严格执行，现有项目管理制度执行情况良好。</w:t>
        <w:br/>
        <w:t>项目产出：项目实施完成1个项目资金的清欠，项目成功验收第三方审计公司出具决算审计报告1个。</w:t>
        <w:br/>
        <w:t>项目效益：通过实施此项目产生社会效益，有效优化营商环境，有利于政府公信力。</w:t>
        <w:br/>
        <w:t>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科技培训中心卫生间、屋面翻修及值班室改造工程欠款资金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四、绩效评价指标分析</w:t>
        <w:br/>
        <w:t>（一）项目决策情况</w:t>
        <w:br/>
        <w:t>项目决策类指标包括项目立项、绩效目标和资金投入三方面的内容，由6个三级指标构成，权重分为15分，实际得分15分，得分率为100%。</w:t>
        <w:br/>
        <w:t>（1）立项依据充分性：根据自治区减负办《关于进一步做好拖欠中小企业账款清偿化解工作的通知》（新促企办〔2022〕19号）要求办公室结合“承担信息、安全、保密、信访、政务公开、信息化、新闻宣传工作”职责，根据评分标准，该指标不扣分，得3分。</w:t>
        <w:br/>
        <w:t>（2）立项程序规范性：根据决策依据编制工作计划和经费预算，经过与地区财政局、行署分管领导进行沟通、筛选确定经费预算计划，上行署常务会最终预算方案，根据评分标准，该指标不扣分，得2分。</w:t>
        <w:br/>
        <w:t>（3）绩效目标合理性：制定了喀什地区科技培训中心卫生间、屋面翻修及值班室改造工程欠款资金项目实施方案，明确了总体思路及目标、并对任务进行了详细分解，对目标进行了细化，根据评分标准，该指标不扣分，得3分。</w:t>
        <w:br/>
        <w:t>（4）绩效指标明确性： 将项目绩效目标细化分解为具体的绩效指标，例如：清欠项目数、项目验收合格率、优化营商环境等根据评分标准，该指标不扣分，得2分。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5个三级指标构成，权重分为20分，实际得分20分，得分率为100%。</w:t>
        <w:br/>
        <w:t>（1）资金到位率：财政资金足额拨付到位，资金到位率=（到位资金/预算资金）X100%=（17.41/17.41）X100%=100%。牵头单位能够及时足额按照合同约定将专项资金拨付给联合体单位，根据评分标准，该指标不扣分，得3分。   </w:t>
        <w:br/>
        <w:t>（2）预算执行率：预算编制较为详细，项目资金支出总体能够按照预算执行，预算执行率=（执行资金/预算资金）X100%=（17.41/17.41）X100%=100%。根据评分标准，该指标不扣分，得3分。</w:t>
        <w:br/>
        <w:t>（3）资金使用合规性：制定了《喀什地区财务管理制度》对经费使用进行规范管理，财务制度健全、执行严格，根据评分标准，该指标不扣分，得4分。</w:t>
        <w:br/>
        <w:t>（4）管理制度健全性：制定了《喀什地区财务管理制度》，《喀什地区科学技术局内部控制管理制度》对财政专项资金进行严格管理，基本做到了专款专用，根据评分标准，该指标不扣分，得5分。</w:t>
        <w:br/>
        <w:t>（5）制度执行有效性：由部门提出经费预算支出项目实施方案，经项目实施人收集材料，分管领导签字后，报党组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项目产出类指标包括产出数量、产出质量、产出时效、产出成本四方面的内容，由4个三级指标构成，权重分为45分，实际得分45分，得分率为45%。</w:t>
        <w:br/>
        <w:t>（1）对于“产出数量”</w:t>
        <w:br/>
        <w:t>清欠项目数指标，预期指标值为等于1个，实际完成值为等于1个，指标完成率为100%，印证资料为工程造价审核定案书，与预期目标一致，根据评分标准，该指标不扣分，得10分。</w:t>
        <w:br/>
        <w:t>合计得10分。</w:t>
        <w:br/>
        <w:t>（2）对于“产出质量”：</w:t>
        <w:br/>
        <w:t>项目验收合格率指标，预期指标值为等于100%，实际完成值为等于100%，指标完成率为100%，印证资料为工程造价审核定案书，与预期目标一致，根据评分标准，该指标不扣分，得10分。</w:t>
        <w:br/>
        <w:t>合计得10分。</w:t>
        <w:br/>
        <w:t>（3）对于“产出时效”：</w:t>
        <w:br/>
        <w:t>资金拨付及时率指标，预期指标值为等于100%，实际完成值为等于100%，指标完成率为100%，印证资料为国库支付凭证，与预期目标一致，根据评分标准，该指标不扣分，得10分。</w:t>
        <w:br/>
        <w:t>合计得10分。</w:t>
        <w:br/>
        <w:t>（4）对于“产出成本”：</w:t>
        <w:br/>
        <w:t>电力改造维修成本指标，预期指标值为等于1.35万元，实际完成值为等于1.35万元，指标完成率为100%，印证资料为国库支付凭证，与预期指标一致，根据评分标准，该指标不扣分，得10分。</w:t>
        <w:br/>
        <w:t>水暖土建改造成本指标，预期指标值为等于16.06万元，实际完成值为等于16.06万元，指标完成率为100%，印证资料为国库支付凭证，与预期目标一致，根据评分标准，该指标不扣分，得5分。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（1）对于“社会效益指标”：</w:t>
        <w:br/>
        <w:t>优化营商环境指标，该指标预期指标值为优化，实际完成值为优化，指标完成率为100%，印证资料为满意度调查问卷，与预期指标一致，根据评分标准，该指标不扣分，得10分。</w:t>
        <w:br/>
        <w:t>（2）对于“经济效益指标”：</w:t>
        <w:br/>
        <w:t>无。</w:t>
        <w:br/>
        <w:t>（3）对于“生态效益指标”：</w:t>
        <w:br/>
        <w:t>无。</w:t>
        <w:br/>
        <w:t>（4）满意度指标分析</w:t>
        <w:br/>
        <w:t>对于“满意度指标：单位职工满意度，该指标预期指标值为大于等于95%，实际完成值为100%，指标完成率为105%，大于预期目标，根据评分标准，该指标不扣分,得10分。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</w:t>
        <w:br/>
        <w:t>喀什地区科技培训中心卫生间、屋面翻修及值班室改造工程欠款资金项目预算17.41万元，到位17.41万元，实际支出17.41万元，预算执行率为100%，项目绩效指标总体完成率为100.7%，偏差率为0.7%，偏差原因：设置满意度指标时较为保守，实际完成值大于目标值。纠偏措施：根据实际工作及时合理设置目标。</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</w:t>
        <w:br/>
        <w:t>（一）主要经验及做法</w:t>
        <w:br/>
        <w:t>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</w:t>
        <w:br/>
        <w:t>（二）存在问题及原因分析</w:t>
        <w:br/>
        <w:t>一是项目前期存在人员工作调整项目负责人员未及时更换，导致项目进度无人跟进，资金支付滞后，出现历史遗留问题，二是缺少带着问题去评价的意识。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1.人员调整分管领导及主要领导及时确定项目负责人，定岗定责，压实责任，使项目有延续性，避免出现项目无人问津。</w:t>
        <w:br/>
        <w:t>2.通过绩效管理，发现实施中存在漏洞，以后加强管理，及时掌握与之相关的各类信息，及时发现问题并改正问题，及时督促项目执行进度及资金执行进度。</w:t>
        <w:br/>
        <w:t>3．评价工作应从项目实施方案源头抓起，评价工作和意识应贯穿项目整个过程。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八、其他需要说明的问题</w:t>
        <w:b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