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D69FF">
      <w:pPr>
        <w:spacing w:line="570" w:lineRule="exact"/>
        <w:jc w:val="center"/>
        <w:rPr>
          <w:rFonts w:ascii="华文中宋" w:hAnsi="华文中宋" w:eastAsia="华文中宋" w:cs="宋体"/>
          <w:b/>
          <w:kern w:val="0"/>
          <w:sz w:val="52"/>
          <w:szCs w:val="52"/>
        </w:rPr>
      </w:pPr>
      <w:bookmarkStart w:id="0" w:name="_GoBack"/>
      <w:bookmarkEnd w:id="0"/>
    </w:p>
    <w:p w14:paraId="21A6EDC5">
      <w:pPr>
        <w:spacing w:line="570" w:lineRule="exact"/>
        <w:jc w:val="center"/>
        <w:rPr>
          <w:rFonts w:ascii="华文中宋" w:hAnsi="华文中宋" w:eastAsia="华文中宋" w:cs="宋体"/>
          <w:b/>
          <w:kern w:val="0"/>
          <w:sz w:val="52"/>
          <w:szCs w:val="52"/>
        </w:rPr>
      </w:pPr>
    </w:p>
    <w:p w14:paraId="140B7C22">
      <w:pPr>
        <w:spacing w:line="570" w:lineRule="exact"/>
        <w:jc w:val="center"/>
        <w:rPr>
          <w:rFonts w:ascii="华文中宋" w:hAnsi="华文中宋" w:eastAsia="华文中宋" w:cs="宋体"/>
          <w:b/>
          <w:kern w:val="0"/>
          <w:sz w:val="52"/>
          <w:szCs w:val="52"/>
        </w:rPr>
      </w:pPr>
    </w:p>
    <w:p w14:paraId="51687739">
      <w:pPr>
        <w:spacing w:line="570" w:lineRule="exact"/>
        <w:jc w:val="center"/>
        <w:rPr>
          <w:rFonts w:ascii="华文中宋" w:hAnsi="华文中宋" w:eastAsia="华文中宋" w:cs="宋体"/>
          <w:b/>
          <w:kern w:val="0"/>
          <w:sz w:val="52"/>
          <w:szCs w:val="52"/>
        </w:rPr>
      </w:pPr>
    </w:p>
    <w:p w14:paraId="5EB52F57">
      <w:pPr>
        <w:spacing w:line="570" w:lineRule="exact"/>
        <w:jc w:val="both"/>
        <w:rPr>
          <w:rFonts w:ascii="华文中宋" w:hAnsi="华文中宋" w:eastAsia="华文中宋" w:cs="宋体"/>
          <w:b/>
          <w:kern w:val="0"/>
          <w:sz w:val="52"/>
          <w:szCs w:val="52"/>
        </w:rPr>
      </w:pPr>
    </w:p>
    <w:p w14:paraId="5A6A3F9C">
      <w:pPr>
        <w:spacing w:line="570" w:lineRule="exact"/>
        <w:jc w:val="center"/>
        <w:rPr>
          <w:rFonts w:ascii="华文中宋" w:hAnsi="华文中宋" w:eastAsia="华文中宋" w:cs="宋体"/>
          <w:b/>
          <w:kern w:val="0"/>
          <w:sz w:val="52"/>
          <w:szCs w:val="52"/>
        </w:rPr>
      </w:pPr>
    </w:p>
    <w:p w14:paraId="5A1D230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538CC1FC">
      <w:pPr>
        <w:spacing w:line="570" w:lineRule="exact"/>
        <w:jc w:val="center"/>
        <w:rPr>
          <w:rFonts w:ascii="华文中宋" w:hAnsi="华文中宋" w:eastAsia="华文中宋" w:cs="宋体"/>
          <w:b/>
          <w:kern w:val="0"/>
          <w:sz w:val="52"/>
          <w:szCs w:val="52"/>
        </w:rPr>
      </w:pPr>
    </w:p>
    <w:p w14:paraId="5FCFA01D">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2EA805B">
      <w:pPr>
        <w:spacing w:line="570" w:lineRule="exact"/>
        <w:jc w:val="center"/>
        <w:rPr>
          <w:rFonts w:hAnsi="宋体" w:eastAsia="仿宋_GB2312" w:cs="宋体"/>
          <w:kern w:val="0"/>
          <w:sz w:val="30"/>
          <w:szCs w:val="30"/>
        </w:rPr>
      </w:pPr>
    </w:p>
    <w:p w14:paraId="4AB5D433">
      <w:pPr>
        <w:spacing w:line="570" w:lineRule="exact"/>
        <w:jc w:val="center"/>
        <w:rPr>
          <w:rFonts w:hAnsi="宋体" w:eastAsia="仿宋_GB2312" w:cs="宋体"/>
          <w:kern w:val="0"/>
          <w:sz w:val="30"/>
          <w:szCs w:val="30"/>
        </w:rPr>
      </w:pPr>
    </w:p>
    <w:p w14:paraId="08D9652B">
      <w:pPr>
        <w:spacing w:line="570" w:lineRule="exact"/>
        <w:jc w:val="center"/>
        <w:rPr>
          <w:rFonts w:hAnsi="宋体" w:eastAsia="仿宋_GB2312" w:cs="宋体"/>
          <w:kern w:val="0"/>
          <w:sz w:val="30"/>
          <w:szCs w:val="30"/>
        </w:rPr>
      </w:pPr>
    </w:p>
    <w:p w14:paraId="3398F8CA">
      <w:pPr>
        <w:spacing w:line="570" w:lineRule="exact"/>
        <w:jc w:val="center"/>
        <w:rPr>
          <w:rFonts w:hAnsi="宋体" w:eastAsia="仿宋_GB2312" w:cs="宋体"/>
          <w:kern w:val="0"/>
          <w:sz w:val="30"/>
          <w:szCs w:val="30"/>
        </w:rPr>
      </w:pPr>
    </w:p>
    <w:p w14:paraId="03750EB1">
      <w:pPr>
        <w:spacing w:line="570" w:lineRule="exact"/>
        <w:jc w:val="center"/>
        <w:rPr>
          <w:rFonts w:hAnsi="宋体" w:eastAsia="仿宋_GB2312" w:cs="宋体"/>
          <w:kern w:val="0"/>
          <w:sz w:val="30"/>
          <w:szCs w:val="30"/>
        </w:rPr>
      </w:pPr>
    </w:p>
    <w:p w14:paraId="0F518075">
      <w:pPr>
        <w:spacing w:line="570" w:lineRule="exact"/>
        <w:jc w:val="center"/>
        <w:rPr>
          <w:rFonts w:hAnsi="宋体" w:eastAsia="仿宋_GB2312" w:cs="宋体"/>
          <w:kern w:val="0"/>
          <w:sz w:val="30"/>
          <w:szCs w:val="30"/>
        </w:rPr>
      </w:pPr>
    </w:p>
    <w:p w14:paraId="37F4218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山东省援疆资金购置检定设备</w:t>
      </w:r>
    </w:p>
    <w:p w14:paraId="257C2FC4">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喀什地区计量检定所</w:t>
      </w:r>
    </w:p>
    <w:p w14:paraId="088C16AB">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喀什地区市场监督管理局</w:t>
      </w:r>
    </w:p>
    <w:p w14:paraId="03025218">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阿迪力</w:t>
      </w:r>
    </w:p>
    <w:p w14:paraId="6E6F7081">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595BCE79">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D3B5FE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CA4FB2D">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A8D80D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通过实施本项目旨在提升喀什地区计量检定所业务检测能力，确保喀什地区计量检定业务有秩序、按时、顺利的完成，使计量检定能力得到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所是依法设置的喀什地区唯一法定计量检验机构，它于1994年7月29日经喀什地区编委喀地字[1994]14号文件批准成立建所，隶属于喀什地区市场监督管理局。检测工作不受任何外部干扰，独立完成各类检验任务，保证唯一法定计量公正立场。本项目主要用于提升喀什地区计量检定工作，保障喀什地区计量检定依法履行相关量值传递、溯源职责，主要承担喀什地区计量器具量值检定方面监督检验、委托检定等任务。同时承担本地区与量值有关的计量器具量值传递工作提供数据收纳统计工作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喀什地区计量检定所为全额事业单位，纳入2022年部门决算编制范围的有：办公室、业务室、4个职能科室；石油化工实验室、民生计量实验室、食品工业实验室、医疗卫生专业中心， 4个专业检测室。编制人数28人，其中：行政人员编制0人、工勤0人、参公0人、事业编制28人。实有在职人数25人，其中：行政在职0人、工勤0人、参公0人、事业在职25人。离退休人员14人，其中：行政退休人员0人、事业退休14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本项目根据检验检测机构性质及发展需求共安排下达资金110万元，为山东省援疆资金，最终确定项目资金总数为110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截至2023年12月31日，实际支出110万元，预算执行率100%。</w:t>
      </w:r>
    </w:p>
    <w:p w14:paraId="76F339F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75062C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完成5套计量转用设备的采购，采购的5套设备均安装调试完毕并已投入使用，保障了在现有检定能力的基础上提升喀什地区计量检定所的检定专业能力，全力保障全地区量值溯源传递的真实性跟可靠性。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实施的前期准备工作：认真学习相关要求与规定，成立项目实施领导小组，做出项目具体实施方案，要求各科室科学合理测算本年度的支出预算和工作计划，倒排工期，做好项目开展前的各项准备工作。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项目资金下达后，总结上年度工作的基础上，各科室按照工作计划，分阶段分任务，严格按照项目管理制度，开展本年度的检验检测工作，合理安排检验人员，针对各县市送检的委托检定计量器具，第一时间受理后检验检测。按照资金管理办法及资金支付审批流程依据项目计划和实施进度，提出支付申请并提供相关真实、合规的证明材料，制定资金使用计划，经审核后按照国库集中支付管理制度的规定和程序及时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成功与否的关键，在这个阶段首先确定验收标准和方法，在项目实施过程中，需要购置专用设备，与供应商确定设备的参数和方法。付款后验收时，按照产品参数、质量、功能、性能，进行验收，做好监督和记录存档工作。</w:t>
      </w:r>
    </w:p>
    <w:p w14:paraId="43CB76A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3206D48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76F1CC8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575B5F3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604EA1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和个性化指标设置，主要分为共性指标和个性指标两大类。共性指标下设决策与过程2个一级指标，其中：项目决策下设项目立项、绩效目标、资金投入3个二级指标；过程下设资金管理和组织实施2个二级指标。个性指标下设产出、成本、效益、满意度4个一级指标，其中：产出下设产出数量、产出质量、产出时效3个二级指标，成本下设经济成本2个二级指标，效益下设经济效益2个二级指标，满意度下设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2BF1B04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4A6034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郭炜任评价组组长，绩效评价工作职责为负责全盘工作。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谭均任评价组副组长，绩效评价工作职责为为对项目实施情况进行实地调查。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塔玛热、阿迪力任评价组成员，绩效评价工作职责为负责资料审核等工作。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37C0A48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1CDA06A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通过实施山东省援疆资金购置计量专用设备项目有效提升计量检定公共服务水平，助力喀什地区经济建设和发展。项目实施主要通过项目决策、项目过程、项目产出以及项目效益等方面进行评价，其中：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喀署办发【2016】90号、《喀什地区计量所“十四五”规划》《中华人民共和国计量法》、《计量检定实施管理细则》等计量法律、法规和规章。依法对全地区与量值传递相关的计量器具依法开展强制检定及非强制检定工作，符合国家、自治区以及喀什地区相关政策、规划和法律法规立项，项目实施符合本单位项目管理制度、资金管理办法、国库集中支付管理制度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山东省援疆资金购置计量专用设备购置项目预算安排110万元，实际支出110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项目产出：主要用于专用设备购置5套，验收合格率100%，保障了对计量检定专业领域方面的检定能力的提升确保设备投入使用后对喀什地区空白检定领域有所覆盖。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项目效益：提高了办事效率，更好的服务了地方企业，同时也提高了实验室的检验能力。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山东省援疆资金购置购置计量专用设备项目进行客观评价，最终评分结果：评价总分100分，绩效等级为“优”。</w:t>
      </w:r>
    </w:p>
    <w:p w14:paraId="7C6A8001">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DCF5FA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111697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该项目主要通过喀署办发【2016】90号、《喀什地区计量检定所“十四五”规划》《中华人民共和国计量法》、《计量检定工作实施办法》等产品质量法律、法规和规章。依法对全地区产品生产、使用环节进行产品质量检验，符合国家、自治区以及喀什地区相关政策、规划和法律法规立项，目的是提升喀什地区产品质量检验所业务检测能力。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是按照规定的程序申请设立，审批文件、材料符合相关要求，通过实施本项目确保喀什地区产品质量检验检测业务有秩序、按时、顺利的完成，提高质量检验检测专用设备的使用效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分别为数量购置设备数量和经济成本指标中的平均设备成本，通过清晰、可衡量的指标值予以体现，与项目目标计划数相对应。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（5）预算编制科学性：本项目根据</w:t>
      </w:r>
      <w:r>
        <w:rPr>
          <w:rStyle w:val="18"/>
          <w:rFonts w:hint="eastAsia" w:ascii="仿宋" w:hAnsi="仿宋" w:eastAsia="仿宋" w:cs="仿宋"/>
          <w:b w:val="0"/>
          <w:bCs w:val="0"/>
          <w:spacing w:val="-4"/>
          <w:sz w:val="32"/>
          <w:szCs w:val="32"/>
          <w:lang w:eastAsia="zh-CN"/>
        </w:rPr>
        <w:t>十四五规划</w:t>
      </w:r>
      <w:r>
        <w:rPr>
          <w:rStyle w:val="18"/>
          <w:rFonts w:hint="eastAsia" w:ascii="仿宋" w:hAnsi="仿宋" w:eastAsia="仿宋" w:cs="仿宋"/>
          <w:b w:val="0"/>
          <w:bCs w:val="0"/>
          <w:spacing w:val="-4"/>
          <w:sz w:val="32"/>
          <w:szCs w:val="32"/>
        </w:rPr>
        <w:t>及检验检测机构性质，预算编制经过科学论证，内容与项目内容匹配，项目投资额与工作任务相匹配，根据评分标准，该指标不扣分，得3分。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14:paraId="1A9803E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371362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（1）资金到位率：山东省援疆资金购置计量专用设备购置项目预算金额为110万元，实际到位资金为110万元，资金到位率=（实际到位资金/预算资金）×100%=110/110*100%=100%。根据评分标准，该指标不扣分，得3分。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项目预算金额为110万元，实际执行金额为110万元，预算执行率=（实际支出资金/实际到位资金）×100%=110/110*100%=100%。由于资金执行率达100%，根据评分标准，该指标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本项目根据喀署办发【2016】90号、《地区计量检定所“十四五”规划》《中华人民共和国计量法》、《货币资金管理办法》、《财务管理制度》等计量法律、法规和规章相关的制度和管理规定对经费使用进行规范管理，财务制度健全、执行严格，根据评分标准，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本项目根据喀署办发【2016】90号、《地区计量所“十四五”规划》《中华人民共和国计量法》、《货币资金管理办法》、《财务管理制度》等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本项目遵守相关法律法规和相关管理规定，项目合同书、验收报告等资料齐全并及时归档，由部门提出经费预算支出实施方案，报所务会会议研究执行，财务对资金的使用合法合规性进行监督，年底对资金使用效果进行自评，根据评分标准，该指标不扣分，得3分。</w:t>
      </w:r>
    </w:p>
    <w:p w14:paraId="4B1A7EC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E1C6DF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项目产出类指标包括产出数量、产出质量、产出时效三方面的内容，由4个三级指标构成，权重分为45分，实际得分45分，该指标不扣分，得分率为100%。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设备购置数量指标，预期指标值为大于等于5套，实际完成值为5套台，指标完成率为100%，印证资料为采购合同，与预期目标一致，无偏差，得10分。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政府采购率指标，预期指标值为等于100%，实际完成值为100%，指标完成率为100%，印证资料为采购合同，根据评分标准，该指标不扣分，得5分。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设备验收合格率指标，预期指标值为等于100%，实际完成值为100%，指标完成率为100%，印证资料为验收报告与验收单。与预期目标一致，根据评分标准，该指标不扣分，得5分。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采购完成时间指标，预期指标值为2023年10月，实际完成值为2023年9月，指标完成率为100，印证资料为采购合同，与预期目标一致，根据评分标准，该指标不扣分，得10分。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单套设备采购成本指标，预期指标值为小于等于21.4万元/套，实际完成值为21.4万元/套，指标完成率为100%，与预期目标一致，无偏差。根据评分标准，得15分。</w:t>
      </w:r>
    </w:p>
    <w:p w14:paraId="63FF62F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27EA4C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1、对于提高原有检定能力指标，该指标预期指标值为提高，实际完成值为提高，指标完成率为100%，与预期目标一致，无偏差。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2、对于“保障全地区计量数据准确指标”该指标预期指标为保障，实际完成值为保障，指标完成率为100%，与预期目标一致，无偏差。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对于“满意度指标：使用人员满意度100%，该指标预期指标值为100%，实际完成值为100%，指标完成率为100%，印证资料为满意度调查问卷汇总表，与预期目标一致，根据评分标准，该指标不扣分，得10分。</w:t>
      </w:r>
    </w:p>
    <w:p w14:paraId="413F75B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386E62E">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山东省援疆资金购置计量专用设备项目预算110万元，到位110万元，实际支出110万元，预算执行率为100%，项目绩效指标总体完成率为100%，偏差率为0%。</w:t>
      </w:r>
    </w:p>
    <w:p w14:paraId="09A53FC0">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2812464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加强管理，严格按照体系管理文件进行管理并执行，顺利完成本项目。二是加强组织领导，落实责任，确保专人转岗开展本项目绩效评价工作，从项目管理到资金管理，均能够很好的执行。三是加强动态监管，定期向领导汇报项目资金支付进度，加强与供应商的沟通，确保本年度产品质量检验工作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p>
    <w:p w14:paraId="2317A24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75A4100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1.建立和完善绩效评价体系，优化指标体系和评价标准，结合工作实际，科学合理的设置绩效指标。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2.提高绩效评价工作重要性的认识，对绩效评价工作人员，进行专业化培训，提高对绩效评价体系的理解和认识。</w:t>
      </w:r>
    </w:p>
    <w:p w14:paraId="1745B89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29DA1C20">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F082502">
        <w:pPr>
          <w:pStyle w:val="12"/>
          <w:jc w:val="center"/>
        </w:pPr>
        <w:r>
          <w:fldChar w:fldCharType="begin"/>
        </w:r>
        <w:r>
          <w:instrText xml:space="preserve">PAGE   \* MERGEFORMAT</w:instrText>
        </w:r>
        <w:r>
          <w:fldChar w:fldCharType="separate"/>
        </w:r>
        <w:r>
          <w:rPr>
            <w:lang w:val="zh-CN"/>
          </w:rPr>
          <w:t>1</w:t>
        </w:r>
        <w:r>
          <w:fldChar w:fldCharType="end"/>
        </w:r>
      </w:p>
    </w:sdtContent>
  </w:sdt>
  <w:p w14:paraId="00DF1C9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0F77811"/>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2024-11-20T02:53:53Z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B5AE1B6D12504510B2861E8E10F42FDE_12</vt:lpwstr>
  </property>
</Properties>
</file>