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EF559">
      <w:pPr>
        <w:spacing w:line="570" w:lineRule="exact"/>
        <w:jc w:val="center"/>
        <w:rPr>
          <w:rFonts w:ascii="华文中宋" w:hAnsi="华文中宋" w:eastAsia="华文中宋" w:cs="宋体"/>
          <w:b/>
          <w:kern w:val="0"/>
          <w:sz w:val="52"/>
          <w:szCs w:val="52"/>
        </w:rPr>
      </w:pPr>
      <w:bookmarkStart w:id="0" w:name="_GoBack"/>
      <w:bookmarkEnd w:id="0"/>
    </w:p>
    <w:p w14:paraId="58489A4C">
      <w:pPr>
        <w:spacing w:line="570" w:lineRule="exact"/>
        <w:jc w:val="center"/>
        <w:rPr>
          <w:rFonts w:ascii="华文中宋" w:hAnsi="华文中宋" w:eastAsia="华文中宋" w:cs="宋体"/>
          <w:b/>
          <w:kern w:val="0"/>
          <w:sz w:val="52"/>
          <w:szCs w:val="52"/>
        </w:rPr>
      </w:pPr>
    </w:p>
    <w:p w14:paraId="2ACCC9FC">
      <w:pPr>
        <w:spacing w:line="570" w:lineRule="exact"/>
        <w:jc w:val="center"/>
        <w:rPr>
          <w:rFonts w:ascii="华文中宋" w:hAnsi="华文中宋" w:eastAsia="华文中宋" w:cs="宋体"/>
          <w:b/>
          <w:kern w:val="0"/>
          <w:sz w:val="52"/>
          <w:szCs w:val="52"/>
        </w:rPr>
      </w:pPr>
    </w:p>
    <w:p w14:paraId="71B2D672">
      <w:pPr>
        <w:spacing w:line="570" w:lineRule="exact"/>
        <w:jc w:val="center"/>
        <w:rPr>
          <w:rFonts w:ascii="华文中宋" w:hAnsi="华文中宋" w:eastAsia="华文中宋" w:cs="宋体"/>
          <w:b/>
          <w:kern w:val="0"/>
          <w:sz w:val="52"/>
          <w:szCs w:val="52"/>
        </w:rPr>
      </w:pPr>
    </w:p>
    <w:p w14:paraId="58E6A9AB">
      <w:pPr>
        <w:spacing w:line="570" w:lineRule="exact"/>
        <w:jc w:val="both"/>
        <w:rPr>
          <w:rFonts w:ascii="华文中宋" w:hAnsi="华文中宋" w:eastAsia="华文中宋" w:cs="宋体"/>
          <w:b/>
          <w:kern w:val="0"/>
          <w:sz w:val="52"/>
          <w:szCs w:val="52"/>
        </w:rPr>
      </w:pPr>
    </w:p>
    <w:p w14:paraId="133E2904">
      <w:pPr>
        <w:spacing w:line="570" w:lineRule="exact"/>
        <w:jc w:val="center"/>
        <w:rPr>
          <w:rFonts w:ascii="华文中宋" w:hAnsi="华文中宋" w:eastAsia="华文中宋" w:cs="宋体"/>
          <w:b/>
          <w:kern w:val="0"/>
          <w:sz w:val="52"/>
          <w:szCs w:val="52"/>
        </w:rPr>
      </w:pPr>
    </w:p>
    <w:p w14:paraId="76CCAA51">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AE3ACF0">
      <w:pPr>
        <w:spacing w:line="570" w:lineRule="exact"/>
        <w:jc w:val="center"/>
        <w:rPr>
          <w:rFonts w:ascii="华文中宋" w:hAnsi="华文中宋" w:eastAsia="华文中宋" w:cs="宋体"/>
          <w:b/>
          <w:kern w:val="0"/>
          <w:sz w:val="52"/>
          <w:szCs w:val="52"/>
        </w:rPr>
      </w:pPr>
    </w:p>
    <w:p w14:paraId="202C2BEA">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CC3B029">
      <w:pPr>
        <w:spacing w:line="570" w:lineRule="exact"/>
        <w:jc w:val="center"/>
        <w:rPr>
          <w:rFonts w:hAnsi="宋体" w:eastAsia="仿宋_GB2312" w:cs="宋体"/>
          <w:kern w:val="0"/>
          <w:sz w:val="30"/>
          <w:szCs w:val="30"/>
        </w:rPr>
      </w:pPr>
    </w:p>
    <w:p w14:paraId="2F63CF96">
      <w:pPr>
        <w:spacing w:line="570" w:lineRule="exact"/>
        <w:jc w:val="center"/>
        <w:rPr>
          <w:rFonts w:hAnsi="宋体" w:eastAsia="仿宋_GB2312" w:cs="宋体"/>
          <w:kern w:val="0"/>
          <w:sz w:val="30"/>
          <w:szCs w:val="30"/>
        </w:rPr>
      </w:pPr>
    </w:p>
    <w:p w14:paraId="62BAD3F2">
      <w:pPr>
        <w:spacing w:line="570" w:lineRule="exact"/>
        <w:jc w:val="center"/>
        <w:rPr>
          <w:rFonts w:hAnsi="宋体" w:eastAsia="仿宋_GB2312" w:cs="宋体"/>
          <w:kern w:val="0"/>
          <w:sz w:val="30"/>
          <w:szCs w:val="30"/>
        </w:rPr>
      </w:pPr>
    </w:p>
    <w:p w14:paraId="3265EB55">
      <w:pPr>
        <w:spacing w:line="570" w:lineRule="exact"/>
        <w:jc w:val="center"/>
        <w:rPr>
          <w:rFonts w:hAnsi="宋体" w:eastAsia="仿宋_GB2312" w:cs="宋体"/>
          <w:kern w:val="0"/>
          <w:sz w:val="30"/>
          <w:szCs w:val="30"/>
        </w:rPr>
      </w:pPr>
    </w:p>
    <w:p w14:paraId="3069142D">
      <w:pPr>
        <w:spacing w:line="570" w:lineRule="exact"/>
        <w:jc w:val="center"/>
        <w:rPr>
          <w:rFonts w:hAnsi="宋体" w:eastAsia="仿宋_GB2312" w:cs="宋体"/>
          <w:kern w:val="0"/>
          <w:sz w:val="30"/>
          <w:szCs w:val="30"/>
        </w:rPr>
      </w:pPr>
    </w:p>
    <w:p w14:paraId="17F5C522">
      <w:pPr>
        <w:spacing w:line="570" w:lineRule="exact"/>
        <w:jc w:val="center"/>
        <w:rPr>
          <w:rFonts w:hAnsi="宋体" w:eastAsia="仿宋_GB2312" w:cs="宋体"/>
          <w:kern w:val="0"/>
          <w:sz w:val="30"/>
          <w:szCs w:val="30"/>
        </w:rPr>
      </w:pPr>
    </w:p>
    <w:p w14:paraId="119B01DD">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喀什地区政务服务一体化建设外网横向接入项目</w:t>
      </w:r>
    </w:p>
    <w:p w14:paraId="67766E67">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新疆维吾尔自治区喀什地区电子政务服务中心</w:t>
      </w:r>
    </w:p>
    <w:p w14:paraId="6966DBAC">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新疆维吾尔自治区喀什地区行政公署</w:t>
      </w:r>
    </w:p>
    <w:p w14:paraId="70F37217">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梁雁东</w:t>
      </w:r>
    </w:p>
    <w:p w14:paraId="76A99207">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2024年04月14日</w:t>
      </w:r>
    </w:p>
    <w:p w14:paraId="0295ADE1">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D84674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B57A5C8">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09F354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国务院关于印发政务信息资源共享管理暂行办法的通知》（国务院国发〔2016〕51号）、《关于推进新疆维吾尔自治区政务信息资源共享管理工作的实施意见》新政发{2017}76号、《关于印发新疆维吾尔自治区加快“互联网+政务服务”工作方案的通知》（新政发〔2017〕39号）、《关于印发&lt;进一步深化“互联网+政务服务”推进政务服务“一网、一门、一次”改革分工方案&gt;的通知》（新政办发〔2018〕111号、关于喀什地区对接自治区一体化在线服务平台工作的通知》（喀署办发〔2019〕29号），为认真贯彻落实自治区党委、人民政府关于推进“互联网政务服务”工作安排部署,推动我区互联网及政务服务水平，申请立项实施该项目，符合国家、自治区以及喀什地区等相关政策、规划和法律法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国移动通信集团新疆有限公司喀什地区分公司提供线路接入服务。按计划施工后，49家单位接入政务服务平台。项目实施完成后，由本项目相关人员完成检查验收，检查验收合格后按合同规定支付款项。项目达到预期目标，按合同规定支付款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本项目预算金额205800元，政务外网横向接入线路49条，单条线路租赁费每月平均每条350元。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电子政务服务中心为行署副县级参公事业单位，隶属行署办公室，现有编制16名，实有工作人员10人，内设科室4个（综合科、网络管理科、信息科、培训鉴定科）。前身是地区经济信息中心、地区电子政务和信息管理中心。自治区人民政府电子政务办公室、自治区电子政务外网管理中心为上级业务主管单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署办发﹝2019﹞29号文件、新疆移动数据专线租用协议新移喀分集客协议[2019]6765号文件精神，共安排下达地区本级财政预算喀什地区政务服务一体化建设外网横向接入项目20.58万元，为一般公共预算资金，最终确定项目资金总数为20.58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截至2023年12月31日，实际支出20.58万元，预算执行率100%。</w:t>
      </w:r>
    </w:p>
    <w:p w14:paraId="5E7B9FD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5E38EC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项目的实施旨在为认真贯彻落实自治区党委、人民政府关于推进“互联网政务服务”工作安排部署,按照《自治区</w:t>
      </w:r>
      <w:r>
        <w:rPr>
          <w:rStyle w:val="18"/>
          <w:rFonts w:hint="eastAsia" w:ascii="仿宋" w:hAnsi="仿宋" w:eastAsia="仿宋" w:cs="仿宋"/>
          <w:b w:val="0"/>
          <w:bCs w:val="0"/>
          <w:spacing w:val="-4"/>
          <w:sz w:val="32"/>
          <w:szCs w:val="32"/>
          <w:lang w:eastAsia="zh-CN"/>
        </w:rPr>
        <w:t>人民政府</w:t>
      </w:r>
      <w:r>
        <w:rPr>
          <w:rStyle w:val="18"/>
          <w:rFonts w:hint="eastAsia" w:ascii="仿宋" w:hAnsi="仿宋" w:eastAsia="仿宋" w:cs="仿宋"/>
          <w:b w:val="0"/>
          <w:bCs w:val="0"/>
          <w:spacing w:val="-4"/>
          <w:sz w:val="32"/>
          <w:szCs w:val="32"/>
        </w:rPr>
        <w:t>加快推进全区一体化在线政务服务平台建设的实施方案》(新政发&lt;2018&gt;75号)和《关于各地(州、市)做好对接自治区一体化在线政务服务平台的通知》(新政办明电&lt;2019&gt;31号)要求,推动我区互联网＋政务服务水平。根据喀署办发﹝2019﹞29号文件精神、新疆移动数据专线租用协议新移喀分集客协议[2019]6765号,政务服务建设外网横向接入49个单位，通过项目实施，提升单位在线办事效率，持续提高政府服务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保证项目质量和成本控制，我单位积极与地区财政局政府采购办对接，确定了采购方式，采取询价的方式进行采购，经专家评审，一致通过由中国移动通信集团新疆有限公司喀什地区分公司提供线路接入服务。按计划49家单位于项目实施完成后，由本项目相关人员完成检查验收，检查验收合格后按合同规定支付款项。项目达到预期目标，按合同规定支付款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验收阶段的具体工作：组织相关职能部门对采购项目进行验收。</w:t>
      </w:r>
    </w:p>
    <w:p w14:paraId="187649C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058406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A2648A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798590F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14FBA3A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二级指标，效益下设项目效益及满意度2个二级指标。项目绩效评价体系详见附件1。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1D7AFE7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788E49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向振新任评价组组长，绩效评价工作职责为负责全盘工作。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梁雁东组副组长，绩效评价工作职责为为对项目实施情况进行实地调查。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茹仙古丽评价组成员，绩效评价工作职责为负责资料审核等工作。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33C593E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3B3A21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通过实施喀什地区政务服务一体化建设外网横向接入项目产生社会效益。项目实施主要通过项目决策、项目过程、项目产出以及项目效益等方面进行评价，其中：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项目决策：根据《自治区</w:t>
      </w:r>
      <w:r>
        <w:rPr>
          <w:rStyle w:val="18"/>
          <w:rFonts w:hint="eastAsia" w:ascii="仿宋" w:hAnsi="仿宋" w:eastAsia="仿宋" w:cs="仿宋"/>
          <w:b w:val="0"/>
          <w:bCs w:val="0"/>
          <w:spacing w:val="-4"/>
          <w:sz w:val="32"/>
          <w:szCs w:val="32"/>
          <w:lang w:eastAsia="zh-CN"/>
        </w:rPr>
        <w:t>人民政府</w:t>
      </w:r>
      <w:r>
        <w:rPr>
          <w:rStyle w:val="18"/>
          <w:rFonts w:hint="eastAsia" w:ascii="仿宋" w:hAnsi="仿宋" w:eastAsia="仿宋" w:cs="仿宋"/>
          <w:b w:val="0"/>
          <w:bCs w:val="0"/>
          <w:spacing w:val="-4"/>
          <w:sz w:val="32"/>
          <w:szCs w:val="32"/>
        </w:rPr>
        <w:t xml:space="preserve">加快推进全区一体化在线政务服务平台建设的实施方案》(新政发&lt;2018&gt;75号)和《关于各地(州、市)做好对接自治区一体化在线政务服务平台的通知》(新政办明电&lt;2019&gt;31号)要求,推动我区互联网＋政务服务水平。根据喀署办发﹝2019﹞29号文件精神需实施本项目，项目实施符合要求，项目决策依据充分，决策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喀什地区政务服务一体化建设外网横向接入项目预算安排20.58万元，实际支出20.58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过对喀什地区政务服务一体化建设外网横向接入项目进行客观评价，最终评分结果：评价总分100分，绩效等级为“优”。</w:t>
      </w:r>
    </w:p>
    <w:p w14:paraId="18CA4945">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A28C59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08A8B5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项目决策类指标包括项目立项、绩效目标和资金投入三方面的内容，由5个三级指标构成，权重分为 权重分为15分，实际得分15分，得分率为100%。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（1）立项依据充分性：根据新疆移动数据专线租用协议新移喀分集客协议[2019]6765号精神，围绕2023年度工作工作计划制定经费预算，根据评分标准，该指标不扣分，得3分。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（2）立项程序规范性：根据决策依据编制工作计划和经费预算，经过与部门分管领导进行沟通、筛选确定经费预算计划，上党组会研究确定最终预算方案，根据评分标准，该指标不扣分，得2分。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喀什地区电子政务服务中心制定了喀什地区政务服务一体化建设外网横向接入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将项目绩效目标细化分解为具体的绩效数量：政务外网横向接入线路，质量：故障排除时间，成本：单条线路月租费等指标，根据评分标准，该指标不扣分，得2分。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1EBAF05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B59175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（1）资金到位率：资金到位率=（实际到位资金/预算资金）×100%=20.58/20.58=100%，财政资金足额拨付到位，电子政务服务中心能够及时足额按照合同约定资金拨付给施工单位，根据评分标准，该指标不扣分，得3分。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（2）预算执行率：预算执行率=（实际支出资金/实际到位资金）×100%=20.58/20.58=100%预算编制较为详细，项目资金支出总体能够按照预算执行，根据评分标准，该指标不扣分，得3分。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（3）资金使用合规性：制定了喀什地区电子政务服务中心财务管理制度和财务管理办法等管理规定对经费使用进行规范管理，财务制度健全、执行严格，根据评分标准，该指标不扣分，得4分。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（4）管理制度健全性：制定了喀什地区行政公署办公室相关管理办法，对财政专项资金进行严格管理，基本做到了专款专用，根据评分标准，该指标不扣分，得5分。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实施方案，经过与行署分管领导沟通后，报行署机关党组会议研究执行，财务对资金的使用合法合规性进行监督，年底对资金使用效果进行自评，根据评分标准，该指标不扣分，得5分。</w:t>
      </w:r>
    </w:p>
    <w:p w14:paraId="67B9A95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5588F5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政务外网横向接入线路，预期目标值等于49条，实际完成值49条，与预期目标一致，印证资料为：喀什地区政务服务一体化建设外网横向接入项目合同，根据评分标准，该指标不扣分，得10分。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线路故障率，预期目标值小于等于2%，实际完成值0%，与预期目标一致，印证资料为：喀什地区政务服务一体化建设外网横向接入项目工作总结，根据评分标准，该指标不扣分，得10分。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故障排除时间，预期目标值小于等于8小时，实际完成值8小时，与预期目标一致，印证资料为：喀什地区政务服务一体化建设外网横向接入项目合同，根据评分标准，该指标不扣分，得5分。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日常巡查维修及时率，预期目标值等于100%，际完成值100%，与预期目标一致，印证资料为：喀什地区政务服务一体化建设外网横向接入项目合同，根据评分标准，该指标不扣分，得5分。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单条线路月租费，预期目标值小于等于350元/月，际完成值350元/月，与预期目标一致，印证资料为：喀什地区政务服务一体化建设外网横向接入项目资金支付凭证，根据评分标准，该指标不扣分，得15分。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合计得分45分。</w:t>
      </w:r>
    </w:p>
    <w:p w14:paraId="03B7D5B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23FDB28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提升在线办事水平，预期目标指为提升，实际完成值为提升，指标完成率为100%，与预期指标一致，印证资料为：满意度调查问卷，根据评分标准，该指标不扣分，得10分。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网站使用人员满意度，，预期目标指为等于100%，实际完成值为100%，指标完成率为100%，与预期目标一致，印证资料为：满意度调查问卷，根据评分标准，该指标不扣分，得10分。</w:t>
      </w:r>
    </w:p>
    <w:p w14:paraId="304C372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AC36FC9">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喀什地区政务服务一体化建设外网横向接入项目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预算20.58万元，到位20.58万元，实际支出20.58万元，预算执行率为100%，项目绩效指标总体完成率为100%，此项目不存在偏差。</w:t>
      </w:r>
    </w:p>
    <w:p w14:paraId="56991F48">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1F17AD2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喀什地区政务服务一体化建设外网横向接入项目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预算20.58万元，到位20.58万元，实际支出20.58万元，预算执行率为100%，项目绩效指标总体完成率为100%，此项目不存在偏差。</w:t>
      </w:r>
    </w:p>
    <w:p w14:paraId="2C6078E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4A89088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1.严格按照《中共中央、国务院关于实施预算绩效管理的意见》规定，大会各工作组共同制定科学完善的绩效目标，充分反映资金使用达到的社会效益、经济效益等。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2.严格落实政府采购程序，及早谋划，制定采购计划，及时采购。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14:paraId="1DC7CA8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6999A1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ECCD100">
        <w:pPr>
          <w:pStyle w:val="12"/>
          <w:jc w:val="center"/>
        </w:pPr>
        <w:r>
          <w:fldChar w:fldCharType="begin"/>
        </w:r>
        <w:r>
          <w:instrText xml:space="preserve">PAGE   \* MERGEFORMAT</w:instrText>
        </w:r>
        <w:r>
          <w:fldChar w:fldCharType="separate"/>
        </w:r>
        <w:r>
          <w:rPr>
            <w:lang w:val="zh-CN"/>
          </w:rPr>
          <w:t>1</w:t>
        </w:r>
        <w:r>
          <w:fldChar w:fldCharType="end"/>
        </w:r>
      </w:p>
    </w:sdtContent>
  </w:sdt>
  <w:p w14:paraId="372A754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19221C5"/>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2024-11-20T02:52:28Z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659DCC6D14584A9193261D31A402BBB7_12</vt:lpwstr>
  </property>
</Properties>
</file>