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E14D6">
      <w:pPr>
        <w:spacing w:line="570" w:lineRule="exact"/>
        <w:jc w:val="center"/>
        <w:rPr>
          <w:rFonts w:ascii="华文中宋" w:hAnsi="华文中宋" w:eastAsia="华文中宋" w:cs="宋体"/>
          <w:b/>
          <w:kern w:val="0"/>
          <w:sz w:val="52"/>
          <w:szCs w:val="52"/>
        </w:rPr>
      </w:pPr>
      <w:bookmarkStart w:id="0" w:name="_GoBack"/>
      <w:bookmarkEnd w:id="0"/>
    </w:p>
    <w:p w14:paraId="14F88BAF">
      <w:pPr>
        <w:spacing w:line="570" w:lineRule="exact"/>
        <w:jc w:val="center"/>
        <w:rPr>
          <w:rFonts w:ascii="华文中宋" w:hAnsi="华文中宋" w:eastAsia="华文中宋" w:cs="宋体"/>
          <w:b/>
          <w:kern w:val="0"/>
          <w:sz w:val="52"/>
          <w:szCs w:val="52"/>
        </w:rPr>
      </w:pPr>
    </w:p>
    <w:p w14:paraId="5DF949E2">
      <w:pPr>
        <w:spacing w:line="570" w:lineRule="exact"/>
        <w:jc w:val="center"/>
        <w:rPr>
          <w:rFonts w:ascii="华文中宋" w:hAnsi="华文中宋" w:eastAsia="华文中宋" w:cs="宋体"/>
          <w:b/>
          <w:kern w:val="0"/>
          <w:sz w:val="52"/>
          <w:szCs w:val="52"/>
        </w:rPr>
      </w:pPr>
    </w:p>
    <w:p w14:paraId="15922363">
      <w:pPr>
        <w:spacing w:line="570" w:lineRule="exact"/>
        <w:jc w:val="center"/>
        <w:rPr>
          <w:rFonts w:ascii="华文中宋" w:hAnsi="华文中宋" w:eastAsia="华文中宋" w:cs="宋体"/>
          <w:b/>
          <w:kern w:val="0"/>
          <w:sz w:val="52"/>
          <w:szCs w:val="52"/>
        </w:rPr>
      </w:pPr>
    </w:p>
    <w:p w14:paraId="6FC3F8E5">
      <w:pPr>
        <w:spacing w:line="570" w:lineRule="exact"/>
        <w:jc w:val="both"/>
        <w:rPr>
          <w:rFonts w:ascii="华文中宋" w:hAnsi="华文中宋" w:eastAsia="华文中宋" w:cs="宋体"/>
          <w:b/>
          <w:kern w:val="0"/>
          <w:sz w:val="52"/>
          <w:szCs w:val="52"/>
        </w:rPr>
      </w:pPr>
    </w:p>
    <w:p w14:paraId="7EC33EA3">
      <w:pPr>
        <w:spacing w:line="570" w:lineRule="exact"/>
        <w:jc w:val="center"/>
        <w:rPr>
          <w:rFonts w:ascii="华文中宋" w:hAnsi="华文中宋" w:eastAsia="华文中宋" w:cs="宋体"/>
          <w:b/>
          <w:kern w:val="0"/>
          <w:sz w:val="52"/>
          <w:szCs w:val="52"/>
        </w:rPr>
      </w:pPr>
    </w:p>
    <w:p w14:paraId="17D785BC">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753618D">
      <w:pPr>
        <w:spacing w:line="570" w:lineRule="exact"/>
        <w:jc w:val="center"/>
        <w:rPr>
          <w:rFonts w:ascii="华文中宋" w:hAnsi="华文中宋" w:eastAsia="华文中宋" w:cs="宋体"/>
          <w:b/>
          <w:kern w:val="0"/>
          <w:sz w:val="52"/>
          <w:szCs w:val="52"/>
        </w:rPr>
      </w:pPr>
    </w:p>
    <w:p w14:paraId="6B5BB86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5F831A8C">
      <w:pPr>
        <w:spacing w:line="570" w:lineRule="exact"/>
        <w:jc w:val="center"/>
        <w:rPr>
          <w:rFonts w:hAnsi="宋体" w:eastAsia="仿宋_GB2312" w:cs="宋体"/>
          <w:kern w:val="0"/>
          <w:sz w:val="30"/>
          <w:szCs w:val="30"/>
        </w:rPr>
      </w:pPr>
    </w:p>
    <w:p w14:paraId="1076AB40">
      <w:pPr>
        <w:spacing w:line="570" w:lineRule="exact"/>
        <w:jc w:val="center"/>
        <w:rPr>
          <w:rFonts w:hAnsi="宋体" w:eastAsia="仿宋_GB2312" w:cs="宋体"/>
          <w:kern w:val="0"/>
          <w:sz w:val="30"/>
          <w:szCs w:val="30"/>
        </w:rPr>
      </w:pPr>
    </w:p>
    <w:p w14:paraId="7EF3231E">
      <w:pPr>
        <w:spacing w:line="570" w:lineRule="exact"/>
        <w:jc w:val="center"/>
        <w:rPr>
          <w:rFonts w:hAnsi="宋体" w:eastAsia="仿宋_GB2312" w:cs="宋体"/>
          <w:kern w:val="0"/>
          <w:sz w:val="30"/>
          <w:szCs w:val="30"/>
        </w:rPr>
      </w:pPr>
    </w:p>
    <w:p w14:paraId="1E00A600">
      <w:pPr>
        <w:spacing w:line="570" w:lineRule="exact"/>
        <w:jc w:val="center"/>
        <w:rPr>
          <w:rFonts w:hAnsi="宋体" w:eastAsia="仿宋_GB2312" w:cs="宋体"/>
          <w:kern w:val="0"/>
          <w:sz w:val="30"/>
          <w:szCs w:val="30"/>
        </w:rPr>
      </w:pPr>
    </w:p>
    <w:p w14:paraId="1CD1BC32">
      <w:pPr>
        <w:spacing w:line="570" w:lineRule="exact"/>
        <w:jc w:val="center"/>
        <w:rPr>
          <w:rFonts w:hAnsi="宋体" w:eastAsia="仿宋_GB2312" w:cs="宋体"/>
          <w:kern w:val="0"/>
          <w:sz w:val="30"/>
          <w:szCs w:val="30"/>
        </w:rPr>
      </w:pPr>
    </w:p>
    <w:p w14:paraId="084F5104">
      <w:pPr>
        <w:spacing w:line="570" w:lineRule="exact"/>
        <w:jc w:val="center"/>
        <w:rPr>
          <w:rFonts w:hAnsi="宋体" w:eastAsia="仿宋_GB2312" w:cs="宋体"/>
          <w:kern w:val="0"/>
          <w:sz w:val="30"/>
          <w:szCs w:val="30"/>
        </w:rPr>
      </w:pPr>
    </w:p>
    <w:p w14:paraId="7053DE23">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保障口岸运转项目</w:t>
      </w:r>
    </w:p>
    <w:p w14:paraId="35931E2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新疆维吾尔自治区喀什地区行政公署外事办公室</w:t>
      </w:r>
    </w:p>
    <w:p w14:paraId="0BB38C38">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新疆维吾尔自治区喀什地区行政公署外事办公室</w:t>
      </w:r>
    </w:p>
    <w:p w14:paraId="043CF9E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康亚强</w:t>
      </w:r>
    </w:p>
    <w:p w14:paraId="5C3C3FF0">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14:paraId="0FAD511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E2AC91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79FDA9B0">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4F49B90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项目实施主体为喀什地区行政公署外事办公室，地区行政公署外事办公室作为项目主管部门，针对本项目制定《项目管理工作方案》，切实加强对工程参建各方面的协调，严格督促施工单位履行合同、监理单位履行职责，及时研究解决项目建设工作中遇到的困难与矛盾，并组织口岸各联检部门对项目进行验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新疆维吾尔自治区口岸经济带建设总体规划”、“新疆维吾尔自治区边境地区转移支付资金管理办法”申请立项，符合国家、自治区以及喀什地区等相关政策、规划和法律法规的精神，旨在充分发挥口岸经济功能，增加通关能力，促进喀什外向型经济发展。口岸经济是开放型经济的重要组成部分，是打造向西开放重要门户和次区域合作战略基地的有力支撑，更是构建生态产业体系推动绿色发展崛起的有效抓手。口岸是——对外开放的重要通道和窗口，是发展经济的“助推器”，如何依托区位、资源等优势，完善口岸功能，转变增长方式，拓展对外经贸合作的深度和广度，确保了口岸经济又好又快的发展，已经是摆在地区经济发展层面的一个重要的课题。按照自治区党委九届六次全会“推进‘一港’‘两区’‘五大中心’‘口岸经济带’”建设的工作部署和安排，紧紧围绕提升口岸通关能力建设，在改善口岸营商环境、发挥口岸经济功能、突出口岸特色上狠下功夫，努力打造具有喀什特色的口岸经济带，全力服务新疆社会稳固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外事办承担着红其拉甫、卡拉苏、喀什机场三个一类口岸的基础设施建设及后勤保障工作，2023年申请1452.4万元的中央边境地区转移支付资金用于保障三个一类口岸的正常运行及两个口岸的基础设施建设。包含红其拉甫、卡拉苏口岸建设及两个边境一类口岸聘用安保、保洁人员及厨师的工资，卡拉苏口岸联检单位值班人员的餐饮保障，卡拉苏、红其拉甫口岸及生活服务中心的水电暖、邮电费，口岸基础设施的维修维护，节日期间口岸各联检部门的慰问红其拉甫、卡拉苏口岸总体规划，红其拉甫前哨班H986电费、机场边检辅警补助、红其拉甫、卡拉苏海关H986协管员开支，以及口岸的总体规划等项目，以确保口岸正常运转，增强口岸边境管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行政公署,实施单位为喀什地区行政公署外事办，纳入2022年部门决算编制范围的有7个科室：①综合协调科，②办公室，③礼宾科，④涉外安全科，⑤边界事务科，⑥出国（境）管理科，⑦口岸管理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2023年，行署外事办公室行政编制23名，其中：县级领导职数4名、内设机构领导职数14名；机关工勤事业编制14名；事业编16名。实有人数行政编20人，行政公勤14人，事业编8人。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根据喀地财预【2023】1号文件批复，外事办口岸运转保障项目预算安排下达资金1452.4万元，为口岸运行保障项目资金，最终确定项目资金总数为1452.4万元。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截至2023年12月31日，实际支出1107.74万元，预算执行率76.3%。</w:t>
      </w:r>
    </w:p>
    <w:p w14:paraId="5AB9FDB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0BA109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新疆维吾尔自治区边境地区转移支付资金管理办法》（新财预【2013】131号）文件规定，按照《口岸工作项目资金批复文件》要求，切实做好2023年度边境地区转移支付资金的管理及使用工作。促进我区经济社会发展以及边境贸易发展，为边境小额贸易企业提供优质服务，保障边境一类口岸正常运转，改善通关条件，对边贸仓储、交通等基础设施建设及维护。持续做好口岸进出口货物及人员服务工作，为我区外贸经济做出更大贡献。一是进一步完善红其拉甫、卡拉苏口岸基础设施；二是及时维修维护破损的口岸水电暖及其他基础设施；三是按照地委领导批示，及时做好卡拉苏总体规划及红其拉甫总体规划，确保口岸未来发展有据可依；四是节假日期间及时慰问走访口岸各联检单位，进一步提升外事办的对口岸个联检单位的协调力度；五是及时购置米面油及肉、蔬菜等，确保口岸的安全稳固、环境整洁及卡拉苏食堂的正常运行，为口岸各联检单位提供后勤保障。六是改善通关条件，提高通关效率，确保口岸货物通关工作顺利开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实施的前期准备工作：根据口岸运转保障项目2023年实际，对资金进行分配，符合资金管理办法要求。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保障口岸工作人员150人次以上的生活，及时购置米面油及肉、蔬菜等，确保口岸的安全稳固、环境整洁及卡拉苏食堂的正常运行，为口岸各联检单位提供后勤保障；及时维修维护破损的口岸水电暖及其他基础设施，确保口岸的正常通关；按照地委领导批示，及时做好卡拉苏总体规划及红其拉甫总体规划，确保口岸未来发展有据可依；节假日期间及时慰问走访口岸各联检单位，进一步提升外事办的对口岸个联检单位的协调力度；红其拉甫、卡拉苏口岸基础设施进一步完善，通关效率提升。新建口岸发电机房及冷库130平米。购置口岸专用设备一批，改善口岸一线工作人员办公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验收阶段的具体工作：截至2023年12月已按项目实施方案完成此项目各项工作，按要求完成资金支付。</w:t>
      </w:r>
    </w:p>
    <w:p w14:paraId="7AFA7B1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16626ED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5AD756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对2023年保障口岸运转项目从预算编制合理性、资金使用合规性、项目管理的规范性、实施情况、总体绩效目标、各项绩效指标完成情况以及预算执行情况进行科学性评价。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D5679BC">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192788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绩效评价标准通常包括计划标准、行业标准、历史标准等，用于对绩效指标完成情况进行比较、分析、评价。本次口岸运转保障项目属于延续类项目，采用计划标准、历史标准评价该项目。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14:paraId="1F2C989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0718482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党组书记、副主任何自力任评价组组长，绩效评价工作职责为负责全盘工作。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党组成员、副主任高飞康亚强任评价组副组长，绩效评价工作职责为为对项目实施情况进行实地调查。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孟海雄、刘庆丰、徐菲菲、刘卫江任评价组成员，绩效评价工作职责为负责资料审核等工作。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19F1330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2E4B2F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通过实施口岸运行保障项目保障了红其拉甫口岸、卡拉苏口岸的正常运转，有效促进了喀什地区外向型经济的发展。项目实施主要通过项目决策、项目过程、项目产出以及项目效益等方面进行评价，其中：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项目决策：该项目主要通过《新疆维吾尔自治区边境地区转移支付资金管理办法》立项，项目实施符合保障边境地区口岸发展运转的要求，项目立项依据充分，立项程序规范。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项目过程：口岸运转保障项目预算安排 1452.4万元，实际支出1107.74万元，预算执行率76.27%。项目资金使用合规，项目财务管理制度健全，财务监控到位，所有资金支付均按照国库集中支付制度严格执行，现有项目管理制度执行情况良好。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数量、质量、时效，根据口岸开展各类活动次数2次，租用口岸运转保障公务用车数量3辆，赴疆内外组货次数3次,.购买口岸专用材料次数3次，口岸委托业务事项数量5次，口岸基础设施维修护次数10次，新建口岸发电机房及冷库平米数150平方米，口岸大型修缮次数3次，工程及设备验收合格率达到100%，工程及设备全部投入使用，保障了喀什地区陆路口岸的正常运转，促进了外向型经济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口岸运转保障项目进行客观评价，最终评分结果：评价总分92.24分，绩效等级为“优”。</w:t>
      </w:r>
    </w:p>
    <w:p w14:paraId="1B3E2F8C">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002E5E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4E52D2F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新疆维吾尔自治区边境地区转移支付资金管理办法》立项，结合外事办“三定方案”工作职责，2023年保障口岸运转项目通过外事办党组会议研究决定，围绕2023年度外事口岸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外事办党组及个业务科室会议研究决策依据编制工作计划和经费预算，经过与外事办党组各领导进行沟通、筛选确定经费预算计划，上党组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（3）绩效目标合理性：制定了2023年口岸运转保障项目实施方案，明确了总体思路及目标、并对任务进行了详细分解，对目标进行了细化，根据评分标准，该指标不扣分，得3分。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将2023年口岸运转保障项目绩效目标细化分解为具体的绩效指标一级指标4个，二级指标7个，三级指标23个，根据评分标准，该指标不扣分，得2分。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预算编制经过科学论证，内容与2023年口岸运转保障项目内容匹配，2023年口岸运转保障项目投资额与工作任务相匹配，根据评分标准，该指标不扣分，得3分。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（6）资金分配合理性：2023年口岸运转保障项目1452.4万元与实际保障口岸运转任务相适应，根据评分标准，该指标不扣分，得2分。</w:t>
      </w:r>
    </w:p>
    <w:p w14:paraId="13382D2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5AE7DE5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5个三级指标构成，权重分为20分，实际得分18.22分，得分率为91.1%。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2023年口岸运转保障项目预算资金1452.4万元，资金到位1452.4万元，资金到位率=（实际到位资金/预算资金）×100%=100%，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2023年口岸运转保障项目实际资金到位1452.4万元，实际执行1107.74万元，预算执行率=（实际支出资金/实际到位资金）×100%=76.3%，预算编制较为详细，项目资金支出总体能够按照预算执行，但执行率不高，根据评分标准，该指标扣1.78分，得1.22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外事办项目资金管理办法》、《外事办财务管理制度》、《喀什地区外事办预算绩效管理工作实施办法》，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外事办项目资金管理办法》、《外事办财务管理制度》、《喀什地区外事办预算绩效管理工作实施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外事办提出经费预算支出可行性方案，经过与办党组研究，由“三重一大”会议通过后，财务对资金的使用合法合规性进行监督，年底对资金使用效果进行自评，根据评分标准，该指标不扣分，得5分。</w:t>
      </w:r>
    </w:p>
    <w:p w14:paraId="55CC94E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2C8C51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项目产出类指标包括产出数量、产出质量、产出时效、产出成本方面的内容，由4个三级指标构成，权重分为45分，实际得分39.02分，得分率为86.71%。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1.口岸开展各类活动次数指标，预期目标值为大于等于2次，实际完成值为2次，指标完成率100%，与预期目标一致，根据评分标准，该指标不扣分，得1.25分。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2.租用口岸运转保障公务用车数量指标，预期目标值为大于等于3辆，实际完成值为3辆，指标完成率100%，与预期目标一致，根据评分标准，该指标不扣分，得1.25分。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3.赴疆内外组货次数指标,预期目标值为大于等于3次，实际完成值为3次，指标完成率100%，与预期目标一致，根据评分标准，该指标不扣分，得1.25分。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4.购买口岸专用材料次数指标，预期目标值为大于等于3次，实际完成值为3次，指标完成率100%，与预期目标一致，根据评分标准，该指标不扣分，得1.25分。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5.口岸委托业务事项数量指标，预期目标值为大于等于5次，实际完成值为5次，指标完成率100%，与预期目标一致，根据评分标准，该指标不扣分，得1.25分。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6.口岸基础设施维修护次数指标，预期目标值为大于等于10次，实际完成值为10次，指标完成率100%，与预期目标一致，根据评分标准，该指标不扣分，得1.25分。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7.新建口岸发电机房及冷库平米数指标，预期目标值为大于等于150平方米，实际完成值为150平方米，指标完成率100%，与预期目标一致，根据评分标准，该指标不扣分，得1.25分。。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8.口岸大型修缮次数指标，预期目标值为大于等于3次，实际完成值为3次，指标完成率100%，与预期目标一致，根据评分标准，该指标不扣分，得1.25分。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工程及采购验收合格率指标，预期目标值为等于100%，实际完成值为100%，指标完成率100%，与预期目标一致，根据评分标准，该指标不扣分，得10分。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采购完成及时率指标，预期目标值为等于95%，实际完成值为95%，指标完成率100%，与预期目标存在偏差，偏差原因：设定目标值不够合理，导致有偏差。改进措施：进一步细化指标值。根据评分标准，该指标扣0.5分，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口岸办公经费指标，预期目标值为小于等于227.4万元，实际完成值为175.2万元，指标完成率77%，与预期目标不一致，根据评分标准，该指标扣0.57分，得0.43分。偏差原因：因办公经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口岸专用材料费指标，预期目标值为小于等于50万元，实际完成值为44.8万元，指标完成率90%，与预期目标不一致，根据评分标准，该指标扣0.5分，得1.5分。偏差原因：因专用材料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口岸委托业务费指标，预期目标值为小于等于159万元，实际完成值为110万元，指标完成率69%，与预期目标不一致，根据评分标准，该指标扣0.77分，得0.23分。偏差原因：因委托业务费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4.口岸维修护费指标，预期目标值为小于等于80万元，实际完成值为80万元，指标完成率100%，与预期目标一致，根据评分标准，，该指标不扣分，得2分。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口岸一线生活保障费指标，预期目标值为小于等于290万元，实际完成值为155万元，指标完成率53%，与预期目标不一致，根据评分标准，该指标扣1分，得0分。偏差原因：因此项资金保障口岸生活至次年6月，故自今年结转至24年支付。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口岸房屋建筑物构建费指标，预期目标值为小于等于130万元，实际完成值为94万元，指标完成率72.3%，与预期目标不一致，根据评分标准，该指标扣0.69分，得0.31分。偏差原因：因房建工程质保金为质保期到期支付，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7.口岸工作差旅费指标，预期目标值为小于等于40万元，实际完成值为21.23万元，指标完成率53%，与预期目标不一致，根据评分标准，该指标扣1分，得0分。偏差原因：因估差旅费数额较大，未执行完毕，预算精准度欠缺，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8.口岸工作专用设备购置费指标，预期目标值为小于等于70.5万元，实际完成值为64万元，指标完成率91%，与预期目标不一致，根据评分标准，该指标扣0.45分，得1.55分。偏差原因：因专用设备购置质保金为质保期到期支付，导致预算资金结余。改进措施：提高预算精准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9.口岸工作办公设备购置费指标，预期目标值为小于等于5.5万元，实际完成值为5.5万元，指标完成率100%，与预期目标一致，根据评分标准，该指标不扣分，得2分。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10.口岸基础设施大型修缮费指标，预期目标值为小于等于400万元，实际完成值为358万元，指标完成率90%，与预期目标不一致，根据评分标准，该指标扣0.5分，得1.5分。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合计得9.52分。</w:t>
      </w:r>
    </w:p>
    <w:p w14:paraId="08A9232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B3F96E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有效增强边境管控能力增长率，预期目标值为等于100%，实际完成值为100%，指标完成率100%，与预期目标一致，根据评分标准，该指标不扣分，得5分。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设备利用率，预期目标值为等于100%，实际完成值为100%，指标完成率100%，与预期目标一致，根据评分标准，该指标不扣分，得5分。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（六）满意度指标完成情况分析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对于“满意度指标：口岸联检单位及进出口涉外贸易企业满意度，该指标预期指标值为100%，实际完成值为100%，指标完成率为100%，与预期目标一致，根据评分标准，该指标不扣分,得10分。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合计得20分。</w:t>
      </w:r>
    </w:p>
    <w:p w14:paraId="34C73ED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288EFE4">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口岸运转保障项目预算1452.4万元，到位1452.4万元，实际支出1107.74万元，预算执行率为76.3%，项目绩效指标总体完成率为91.4%，偏差率为15.1%,偏差原因：因部分资金为按实施进度跨年支付，导致预算执行率较低。采取的措施：合理设定绩效目标，优化预算精准度，提高资金支付执行率。</w:t>
      </w:r>
    </w:p>
    <w:p w14:paraId="4493BC42">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04DCBEE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一是2023年口岸运转保障项目能够严格按照《项目实施方案》执行，项目执行情况较好。二是2023年口岸运转保障项目绩效评价工作，有外事办主要领导亲自抓落实，分管领导</w:t>
      </w:r>
      <w:r>
        <w:rPr>
          <w:rStyle w:val="18"/>
          <w:rFonts w:hint="eastAsia" w:ascii="仿宋" w:hAnsi="仿宋" w:eastAsia="仿宋" w:cs="仿宋"/>
          <w:b w:val="0"/>
          <w:bCs w:val="0"/>
          <w:spacing w:val="-4"/>
          <w:sz w:val="32"/>
          <w:szCs w:val="32"/>
          <w:lang w:eastAsia="zh-CN"/>
        </w:rPr>
        <w:t>亲力亲为</w:t>
      </w:r>
      <w:r>
        <w:rPr>
          <w:rStyle w:val="18"/>
          <w:rFonts w:hint="eastAsia" w:ascii="仿宋" w:hAnsi="仿宋" w:eastAsia="仿宋" w:cs="仿宋"/>
          <w:b w:val="0"/>
          <w:bCs w:val="0"/>
          <w:spacing w:val="-4"/>
          <w:sz w:val="32"/>
          <w:szCs w:val="32"/>
        </w:rPr>
        <w:t>，从项目到资金，都能很好的执行。三是加强沟通协调，项目绩效小组每月向党组会议汇报项目建设进度，加强与各部门间的沟通，确保项目按期按照实施进度执行。四是有效保障了2023年度口岸各项工作的正常开展，促进了我区外贸经济稳固发展，促进我区外向型经济更好的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2023年口岸运转保障项目各项指标和指标值要进一步优化、完善，主要在细化、量化上改进，2023年口岸运转保障项目自评工作还存在自我审定的局限性，会影响评价质量，容易造成问题的疏漏，在客观性和公正性上说服力不强，2023年口岸运转保障项目缺少带着问题去评价的意识，2023年口岸运转保障项目预算精准度及执行率有待提高，更加科学合理的设定绩效目标。</w:t>
      </w:r>
    </w:p>
    <w:p w14:paraId="0D88576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6A8BBBF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1.2023年口岸运转保障项目实施及执行需进一步规范。细化实施方案，严格执行资金管理办法和财政资金管理制度，严格按照项目实施方案，各具体执行项目业务科室应将目的特点进行总结归纳。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2.2023年口岸运转保障项目评价资料有待进一步完善。项目启动时同步做好档案的归纳与整理，及时整理、收集、汇总，健全档案资料。项目后续管理有待进一步加强和跟踪。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3.2023年口岸运转保障项目通过绩效管理，发现实施中存在漏洞，以后加强管理，及时掌握与项目实施执行过程中的相关的各类信息，减少成本，使资金效益最大化。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4．2023年口岸运转保障项目评价工作应从项目实施方案源头抓起，评价工作和自评意识应贯穿项目整个过程，使项目发挥最大作用，保障喀什地区2个一类陆路口岸正常运转。</w:t>
      </w:r>
    </w:p>
    <w:p w14:paraId="4D41E94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8172A81">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776B7FF">
        <w:pPr>
          <w:pStyle w:val="12"/>
          <w:jc w:val="center"/>
        </w:pPr>
        <w:r>
          <w:fldChar w:fldCharType="begin"/>
        </w:r>
        <w:r>
          <w:instrText xml:space="preserve">PAGE   \* MERGEFORMAT</w:instrText>
        </w:r>
        <w:r>
          <w:fldChar w:fldCharType="separate"/>
        </w:r>
        <w:r>
          <w:rPr>
            <w:lang w:val="zh-CN"/>
          </w:rPr>
          <w:t>1</w:t>
        </w:r>
        <w:r>
          <w:fldChar w:fldCharType="end"/>
        </w:r>
      </w:p>
    </w:sdtContent>
  </w:sdt>
  <w:p w14:paraId="090B8A8C">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1C05D3"/>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2024-11-20T02:28:03Z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3EEE92CF2B0F46E7AC70B1A5D401663D_12</vt:lpwstr>
  </property>
</Properties>
</file>