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625A6">
      <w:pPr>
        <w:spacing w:line="570" w:lineRule="exact"/>
        <w:jc w:val="center"/>
        <w:rPr>
          <w:rFonts w:ascii="华文中宋" w:hAnsi="华文中宋" w:eastAsia="华文中宋" w:cs="宋体"/>
          <w:b/>
          <w:kern w:val="0"/>
          <w:sz w:val="52"/>
          <w:szCs w:val="52"/>
        </w:rPr>
      </w:pPr>
      <w:bookmarkStart w:id="0" w:name="_GoBack"/>
      <w:bookmarkEnd w:id="0"/>
    </w:p>
    <w:p w14:paraId="2A9AE604">
      <w:pPr>
        <w:spacing w:line="570" w:lineRule="exact"/>
        <w:jc w:val="center"/>
        <w:rPr>
          <w:rFonts w:ascii="华文中宋" w:hAnsi="华文中宋" w:eastAsia="华文中宋" w:cs="宋体"/>
          <w:b/>
          <w:kern w:val="0"/>
          <w:sz w:val="52"/>
          <w:szCs w:val="52"/>
        </w:rPr>
      </w:pPr>
    </w:p>
    <w:p w14:paraId="0591D5D7">
      <w:pPr>
        <w:spacing w:line="570" w:lineRule="exact"/>
        <w:jc w:val="center"/>
        <w:rPr>
          <w:rFonts w:ascii="华文中宋" w:hAnsi="华文中宋" w:eastAsia="华文中宋" w:cs="宋体"/>
          <w:b/>
          <w:kern w:val="0"/>
          <w:sz w:val="52"/>
          <w:szCs w:val="52"/>
        </w:rPr>
      </w:pPr>
    </w:p>
    <w:p w14:paraId="2543C3AF">
      <w:pPr>
        <w:spacing w:line="570" w:lineRule="exact"/>
        <w:jc w:val="center"/>
        <w:rPr>
          <w:rFonts w:ascii="华文中宋" w:hAnsi="华文中宋" w:eastAsia="华文中宋" w:cs="宋体"/>
          <w:b/>
          <w:kern w:val="0"/>
          <w:sz w:val="52"/>
          <w:szCs w:val="52"/>
        </w:rPr>
      </w:pPr>
    </w:p>
    <w:p w14:paraId="351FA7AB">
      <w:pPr>
        <w:spacing w:line="570" w:lineRule="exact"/>
        <w:jc w:val="both"/>
        <w:rPr>
          <w:rFonts w:ascii="华文中宋" w:hAnsi="华文中宋" w:eastAsia="华文中宋" w:cs="宋体"/>
          <w:b/>
          <w:kern w:val="0"/>
          <w:sz w:val="52"/>
          <w:szCs w:val="52"/>
        </w:rPr>
      </w:pPr>
    </w:p>
    <w:p w14:paraId="577FC973">
      <w:pPr>
        <w:spacing w:line="570" w:lineRule="exact"/>
        <w:jc w:val="center"/>
        <w:rPr>
          <w:rFonts w:ascii="华文中宋" w:hAnsi="华文中宋" w:eastAsia="华文中宋" w:cs="宋体"/>
          <w:b/>
          <w:kern w:val="0"/>
          <w:sz w:val="52"/>
          <w:szCs w:val="52"/>
        </w:rPr>
      </w:pPr>
    </w:p>
    <w:p w14:paraId="49BC0E25">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417B8BB7">
      <w:pPr>
        <w:spacing w:line="570" w:lineRule="exact"/>
        <w:jc w:val="center"/>
        <w:rPr>
          <w:rFonts w:ascii="华文中宋" w:hAnsi="华文中宋" w:eastAsia="华文中宋" w:cs="宋体"/>
          <w:b/>
          <w:kern w:val="0"/>
          <w:sz w:val="52"/>
          <w:szCs w:val="52"/>
        </w:rPr>
      </w:pPr>
    </w:p>
    <w:p w14:paraId="27FA4ED8">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01824E2B">
      <w:pPr>
        <w:spacing w:line="570" w:lineRule="exact"/>
        <w:jc w:val="center"/>
        <w:rPr>
          <w:rFonts w:hAnsi="宋体" w:eastAsia="仿宋_GB2312" w:cs="宋体"/>
          <w:kern w:val="0"/>
          <w:sz w:val="30"/>
          <w:szCs w:val="30"/>
        </w:rPr>
      </w:pPr>
    </w:p>
    <w:p w14:paraId="061AE9B7">
      <w:pPr>
        <w:spacing w:line="570" w:lineRule="exact"/>
        <w:jc w:val="center"/>
        <w:rPr>
          <w:rFonts w:hAnsi="宋体" w:eastAsia="仿宋_GB2312" w:cs="宋体"/>
          <w:kern w:val="0"/>
          <w:sz w:val="30"/>
          <w:szCs w:val="30"/>
        </w:rPr>
      </w:pPr>
    </w:p>
    <w:p w14:paraId="56E5FB3D">
      <w:pPr>
        <w:spacing w:line="570" w:lineRule="exact"/>
        <w:jc w:val="center"/>
        <w:rPr>
          <w:rFonts w:hAnsi="宋体" w:eastAsia="仿宋_GB2312" w:cs="宋体"/>
          <w:kern w:val="0"/>
          <w:sz w:val="30"/>
          <w:szCs w:val="30"/>
        </w:rPr>
      </w:pPr>
    </w:p>
    <w:p w14:paraId="40B9C6E5">
      <w:pPr>
        <w:spacing w:line="570" w:lineRule="exact"/>
        <w:jc w:val="center"/>
        <w:rPr>
          <w:rFonts w:hAnsi="宋体" w:eastAsia="仿宋_GB2312" w:cs="宋体"/>
          <w:kern w:val="0"/>
          <w:sz w:val="30"/>
          <w:szCs w:val="30"/>
        </w:rPr>
      </w:pPr>
    </w:p>
    <w:p w14:paraId="2FF9D61B">
      <w:pPr>
        <w:spacing w:line="570" w:lineRule="exact"/>
        <w:jc w:val="center"/>
        <w:rPr>
          <w:rFonts w:hAnsi="宋体" w:eastAsia="仿宋_GB2312" w:cs="宋体"/>
          <w:kern w:val="0"/>
          <w:sz w:val="30"/>
          <w:szCs w:val="30"/>
        </w:rPr>
      </w:pPr>
    </w:p>
    <w:p w14:paraId="46D5E730">
      <w:pPr>
        <w:spacing w:line="570" w:lineRule="exact"/>
        <w:jc w:val="center"/>
        <w:rPr>
          <w:rFonts w:hAnsi="宋体" w:eastAsia="仿宋_GB2312" w:cs="宋体"/>
          <w:kern w:val="0"/>
          <w:sz w:val="30"/>
          <w:szCs w:val="30"/>
        </w:rPr>
      </w:pPr>
    </w:p>
    <w:p w14:paraId="39DDFABC">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关爱干部职工项目</w:t>
      </w:r>
    </w:p>
    <w:p w14:paraId="134081E8">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新疆维吾尔自治区喀什地区行政公署外事办公室</w:t>
      </w:r>
    </w:p>
    <w:p w14:paraId="65C5BA54">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新疆维吾尔自治区喀什地区行政公署外事办公室</w:t>
      </w:r>
    </w:p>
    <w:p w14:paraId="2D9738D9">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康亚强</w:t>
      </w:r>
    </w:p>
    <w:p w14:paraId="33ACF621">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14:paraId="6690CDF4">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7258B3A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59FF416">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0A485E7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项目实施主体为喀什地区行政公署外事办公室，地区行政公署外事办公室作为项目主管部门，针对本项目制定《项目管理工作方案》，切实加强对工程参建各方面的协调，严格督促施工单位履行合同、监理单位履行职责，及时研究解决项目建设工作中遇到的困难与矛盾，并组织口岸各联检部门对项目进行验收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根据地委、行署领导批示，同意为我办口岸工作干部职工每年组织体检一次，确保口岸工作干部职工身体监控，及时发现各项疾病。</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爱干部职工项目于2022年12月完成立项审批工作，2023年5月完成与第一人民医院体检中心业务对接，根据外事办干部职工个人需求情况筛选体检项目，6月完成体检项目资金支付工作，11月末外事办全体干部职工完成体检，有效保障了口岸一线干部职工的身心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的主管部门为喀什地区行政公署,实施单位为喀什地区行政公署外事办，纳入2022年部门决算编制范围的有7个科室：①综合协调科，②办公室，③礼宾科，④涉外安全科，⑤边界事务科，⑥出国（境）管理科，⑦口岸管理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2023年，行署外事办公室行政编制23名，其中：县级领导职数4名、内设机构领导职数14名；机关工勤事业编制14名；事业编16名。实有人数行政编20人，行政公勤14人，事业编8人。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根据喀地财预【2023】1号文件批复，关爱干部职工项目预算安排下达资金8.6万元，为保障口岸一线工作干部职工身心健康项目资金，最终确定项目资金总数为8.6万元。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截至2023年12月31日，实际支出8.6万元，预算执行率100%。</w:t>
      </w:r>
    </w:p>
    <w:p w14:paraId="0E63EFF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24CCB49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根据地委、行署领导批示，自治区人民政府颁发《关于加强边远、艰苦地区干部保健工作的试行办法》的通知（新政发〖1980〗203号的文件精神，安排口岸职工每年一次体检，体检人数大于等于42人。及时发现干部职工患大病可能，降低干部发病率，确保干部职工身体健康。2023年体检中发现80%以上人员患有心、脑、血管、肺部等疾病。通过组织体检能及时发现早期疾病，保证身体持续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实施的前期准备工作：根据关爱干部职工项目2023年实际，每人体检资金小于等于2047.62元，符合资金管理办法要求。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具体实施工作：全覆盖口岸一线干部职工每年一次体检，在7月前完成体检，人数不少于42人，体检项目不少于5项，通过体检及时发现干部职工患大病可能，降低干部发病率，确保干部职工身体健康。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验收阶段的具体工作：截至2023年6月末已按项目实施方案完成此项目各项工作，按要求完成资金支付。</w:t>
      </w:r>
    </w:p>
    <w:p w14:paraId="2928BE4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5FDAE41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326D70F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对关爱干部职工项目从预算编制合理性、资金使用合规性、项目管理的规范性、实施情况、总体绩效目标、各项绩效指标完成情况以及预算执行情况进行科学性评价。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5AE144A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FA54B2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绩效评价标准通常包括计划标准、行业标准、历史标准等，用于对绩效指标完成情况进行比较、分析、评价。本次口岸运转保障项目属于延续类项目，采用计划标准、历史标准评价该项目。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15F4645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312A40B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党组书记、副主任何自力任评价组组长，绩效评价工作职责为负责全盘工作。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党组成员、副主任康亚强任评价组副组长，绩效评价工作职责为为对项目实施情况进行实地调查。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孟海雄、刘庆丰、徐菲菲、刘卫江任评价组成员，绩效评价工作职责为负责资料审核等工作。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54086AE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66624F8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通过实施关爱干部职工项目，及时发现干部职工患大病可能，降低干部发病率，确保干部职工身体健康。项目实施主要通过项目决策、项目过程、项目产出以及项目效益等方面进行评价，其中：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项目决策：该项目经主要地委、行署领导批示立项，项目实施符合保障边境地区口岸发展运转的要求，项目立项依据充分，立项程序规范。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项目过程：关爱干部职工项目预算安排 8.6万元，实际支出8.6万元，预算执行率100%。项目资金使用合规，项目财务管理制度健全，财务监控到位，所有资金支付均按照国库集中支付制度严格执行，现有项目管理制度执行情况良好。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产生的数量、质量、时效，根据全覆盖口岸一线干部职工每年一次体检，在7月前完成体检，人数不少于42人，体检项目不少于5项，每人体检金额不超过2047.62元，确保参加体检干部职工满意度达100%；通过体检及时发现干部职工患大病可能，降低干部发病率，确保干部职工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口岸运转保障项目进行客观评价，最终评分结果：评价总分99.8分，绩效等级为“优”。</w:t>
      </w:r>
    </w:p>
    <w:p w14:paraId="73E2D749">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67A37FA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60FD6D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1）立项依据充分性：根据主要地委、行署领导批示立项，结合口岸一线干部职工工作性质，关爱干部职工项目通过外事办党组会议研究决定，围绕口岸一线干部职工工作性质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外事办党组及全体干部职工会议研究决策依据编制工作计划和经费预算，经过与外事办党组各领导进行沟通、筛选确定经费预算计划，上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（3）绩效目标合理性：制定了关爱干部职工项目实施方案，明确了总体思路及目标、并对任务进行了详细分解，对目标进行了细化，根据评分标准，该指标不扣分，得3分。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将关爱干部职工项目绩效目标细化分解为具体的绩效指标一级指标4个，二级指标6个，三级指标8个，根据评分标准，该指标不扣分，得2分。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预算编制经过科学论证，内容与关爱干部职工项目内容匹配，关爱干部职工项目投资额与工作任务相匹配，根据评分标准，该指标不扣分，得3分。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（6）资金分配合理性：关爱干部职工项目8.6万元与口岸一线工作干部职工身心健康需要相适应，根据评分标准，该指标不扣分，得2分。</w:t>
      </w:r>
    </w:p>
    <w:p w14:paraId="6043048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7ABF99B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关爱干部职工项目预算资金8.6万元，资金到位8.6万元，资金到位率=（实际到位资金/预算资金）×100%=100%，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关爱干部职工项目实际资金到位8.6万元，实际执行8.6万元，预算执行率=（实际支出资金/实际到位资金）×100%=100%，预算编制较为详细，项目资金支出总体能够按照预算执行，但执行率不高，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外事办项目资金管理办法》、《外事办财务管理制度》、《喀什地区外事办预算绩效管理工作实施办法》，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外事办项目资金管理办法》、《外事办财务管理制度》、《喀什地区外事办预算绩效管理工作实施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外事办提出经费预算支出可行性方案，经过与办党组研究，由“三重一大”会议通过后，财务对资金的使用合法合规性进行监督，年底对资金使用效果进行自评，根据评分标准，该指标不扣分，得5分。</w:t>
      </w:r>
    </w:p>
    <w:p w14:paraId="11D9A80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92B44A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1.体检项目数量指标，预期目标值为大于等于5项，实际完成值为5项，指标完成率100%，与预期目标一致，根据评分标准，该指标不扣分，得5分。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2.参加体检人数指标，预期目标值为大于等于42人，实际完成值为42人，指标完成率100%，与预期目标一致，根据评分标准，该指标不扣分，得5分。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在职在编人员体检覆盖率指标，预期目标值为等于100%，实际完成值为100%，指标完成率100%，与预期目标一致，根据评分标准，该指标不扣分，得10分。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体检完成时间指标，预期目标值为2023年7月前，实际完成值为2023年6月，指标完成率100%，与预期目标一致，根据评分标准，该指标不扣分，得10分。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体检资金人均标准指标，预期目标值为小于等于2027.62元，实际完成值为2027.62元，指标完成率100%，与预期目标一致，根据评分标准，该指标不扣分，得15分。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p>
    <w:p w14:paraId="548DB1D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13474B6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1.发现干部职工疾病及时率指标，预期目标值为大于等于98%，实际完成值为98%，指标完成率100%，与预期目标一致，根据评分标准，该指标不扣分，得5分。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2.逐步提升口岸工作人员工作效率指标，预期目标值为等于100%，实际完成值为100%，指标完成率100%，与预期目标一致，根据评分标准，该指标不扣分，得5分。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对于“满意度指标：参加体检人员满意度，该指标预期指标值为100%，实际完成值为100%，指标完成率为100%，与预期目标一致，根据评分标准，该指标不扣分,得10分。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合计得20分。</w:t>
      </w:r>
    </w:p>
    <w:p w14:paraId="2C1D10B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22E269F6">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关爱干部职工项目预算8.6万元，到位8.6万元，实际支出8.6万元，预算执行率为100%，项目绩效指标总体完成率为100%，无偏差。</w:t>
      </w:r>
    </w:p>
    <w:p w14:paraId="772D82C4">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49A21BD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一是关爱干部职工项目能够严格按照《项目实施方案》执行，项目执行情况较好。二是关爱干部职工项目绩效评价工作，有外事办主要领导亲自抓落实，分管领导</w:t>
      </w:r>
      <w:r>
        <w:rPr>
          <w:rStyle w:val="18"/>
          <w:rFonts w:hint="eastAsia" w:ascii="仿宋" w:hAnsi="仿宋" w:eastAsia="仿宋" w:cs="仿宋"/>
          <w:b w:val="0"/>
          <w:bCs w:val="0"/>
          <w:spacing w:val="-4"/>
          <w:sz w:val="32"/>
          <w:szCs w:val="32"/>
          <w:lang w:eastAsia="zh-CN"/>
        </w:rPr>
        <w:t>亲历亲为</w:t>
      </w:r>
      <w:r>
        <w:rPr>
          <w:rStyle w:val="18"/>
          <w:rFonts w:hint="eastAsia" w:ascii="仿宋" w:hAnsi="仿宋" w:eastAsia="仿宋" w:cs="仿宋"/>
          <w:b w:val="0"/>
          <w:bCs w:val="0"/>
          <w:spacing w:val="-4"/>
          <w:sz w:val="32"/>
          <w:szCs w:val="32"/>
        </w:rPr>
        <w:t>，从项目到资金，都能很好的执行。三是加强沟通协调，项目绩效小组每月向党组会议汇报项目建设进度，加强与各部门间的沟通，确保项目按期按照实施进度执行。四是有效口岸一线工作干部职工身心健康，体现党对口岸一线工作干部职工的关怀，做到了及时发现干部职工患大病可能，降低干部发病率，确保干部职工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爱干部职工项目各项指标和指标值要进一步优化、完善，主要在细化、量化上改进，关爱干部职工项目自评工作还存在自我审定的局限性，会影响评价质量，容易造成问题的疏漏，在客观性和公正性上说服力不强，关爱干部职工项目缺少带着问题去评价的意识，关爱干部职工项目预算精准度及执行率有待提高，更加科学合理的设定绩效目标。</w:t>
      </w:r>
    </w:p>
    <w:p w14:paraId="0D55D62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6D9B96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1.关爱干部职工项目实施及执行需进一步规范。细化实施方案，严格执行资金管理办法和财政资金管理制度，严格按照项目实施方案，各具体执行项目业务科室应将目的特点进行总结归纳。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2.关爱干部职工项目评价资料有待进一步完善。项目启动时同步做好档案的归纳与整理，及时整理、收集、汇总，健全档案资料。项目后续管理有待进一步加强和跟踪。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3.关爱干部职工项目通过绩效管理，发现实施中存在漏洞，以后加强管理，及时掌握与项目实施执行过程中的相关的各类信息，减少成本，使资金效益最大化。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4．关爱干部职工项目评价工作应从项目实施方案源头抓起，评价工作和自评意识应贯穿项目整个过程，使项目发挥最大作用，保障喀什地区2个一类陆路口岸正常运转。</w:t>
      </w:r>
    </w:p>
    <w:p w14:paraId="30D5B58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35E60F46">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E53753D">
        <w:pPr>
          <w:pStyle w:val="12"/>
          <w:jc w:val="center"/>
        </w:pPr>
        <w:r>
          <w:fldChar w:fldCharType="begin"/>
        </w:r>
        <w:r>
          <w:instrText xml:space="preserve">PAGE   \* MERGEFORMAT</w:instrText>
        </w:r>
        <w:r>
          <w:fldChar w:fldCharType="separate"/>
        </w:r>
        <w:r>
          <w:rPr>
            <w:lang w:val="zh-CN"/>
          </w:rPr>
          <w:t>1</w:t>
        </w:r>
        <w:r>
          <w:fldChar w:fldCharType="end"/>
        </w:r>
      </w:p>
    </w:sdtContent>
  </w:sdt>
  <w:p w14:paraId="29ACCDBB">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B7074C1"/>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2024-11-20T02:19:00Z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6CD086EC34F44734BE4269C720322E07_12</vt:lpwstr>
  </property>
</Properties>
</file>