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9F954A">
      <w:pPr>
        <w:spacing w:line="570" w:lineRule="exact"/>
        <w:jc w:val="center"/>
        <w:rPr>
          <w:rFonts w:ascii="华文中宋" w:hAnsi="华文中宋" w:eastAsia="华文中宋" w:cs="宋体"/>
          <w:b/>
          <w:kern w:val="0"/>
          <w:sz w:val="52"/>
          <w:szCs w:val="52"/>
        </w:rPr>
      </w:pPr>
      <w:bookmarkStart w:id="0" w:name="_GoBack"/>
      <w:bookmarkEnd w:id="0"/>
    </w:p>
    <w:p w14:paraId="79E35F1E">
      <w:pPr>
        <w:spacing w:line="570" w:lineRule="exact"/>
        <w:jc w:val="center"/>
        <w:rPr>
          <w:rFonts w:ascii="华文中宋" w:hAnsi="华文中宋" w:eastAsia="华文中宋" w:cs="宋体"/>
          <w:b/>
          <w:kern w:val="0"/>
          <w:sz w:val="52"/>
          <w:szCs w:val="52"/>
        </w:rPr>
      </w:pPr>
    </w:p>
    <w:p w14:paraId="5F69D5C1">
      <w:pPr>
        <w:spacing w:line="570" w:lineRule="exact"/>
        <w:jc w:val="center"/>
        <w:rPr>
          <w:rFonts w:ascii="华文中宋" w:hAnsi="华文中宋" w:eastAsia="华文中宋" w:cs="宋体"/>
          <w:b/>
          <w:kern w:val="0"/>
          <w:sz w:val="52"/>
          <w:szCs w:val="52"/>
        </w:rPr>
      </w:pPr>
    </w:p>
    <w:p w14:paraId="7A1610BD">
      <w:pPr>
        <w:spacing w:line="570" w:lineRule="exact"/>
        <w:jc w:val="center"/>
        <w:rPr>
          <w:rFonts w:ascii="华文中宋" w:hAnsi="华文中宋" w:eastAsia="华文中宋" w:cs="宋体"/>
          <w:b/>
          <w:kern w:val="0"/>
          <w:sz w:val="52"/>
          <w:szCs w:val="52"/>
        </w:rPr>
      </w:pPr>
    </w:p>
    <w:p w14:paraId="32A4396E">
      <w:pPr>
        <w:spacing w:line="570" w:lineRule="exact"/>
        <w:jc w:val="both"/>
        <w:rPr>
          <w:rFonts w:ascii="华文中宋" w:hAnsi="华文中宋" w:eastAsia="华文中宋" w:cs="宋体"/>
          <w:b/>
          <w:kern w:val="0"/>
          <w:sz w:val="52"/>
          <w:szCs w:val="52"/>
        </w:rPr>
      </w:pPr>
    </w:p>
    <w:p w14:paraId="5C65A097">
      <w:pPr>
        <w:spacing w:line="570" w:lineRule="exact"/>
        <w:jc w:val="center"/>
        <w:rPr>
          <w:rFonts w:ascii="华文中宋" w:hAnsi="华文中宋" w:eastAsia="华文中宋" w:cs="宋体"/>
          <w:b/>
          <w:kern w:val="0"/>
          <w:sz w:val="52"/>
          <w:szCs w:val="52"/>
        </w:rPr>
      </w:pPr>
    </w:p>
    <w:p w14:paraId="6A64D38B">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601A5F67">
      <w:pPr>
        <w:spacing w:line="570" w:lineRule="exact"/>
        <w:jc w:val="center"/>
        <w:rPr>
          <w:rFonts w:ascii="华文中宋" w:hAnsi="华文中宋" w:eastAsia="华文中宋" w:cs="宋体"/>
          <w:b/>
          <w:kern w:val="0"/>
          <w:sz w:val="52"/>
          <w:szCs w:val="52"/>
        </w:rPr>
      </w:pPr>
    </w:p>
    <w:p w14:paraId="6A67C5AA">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7A1EA9B6">
      <w:pPr>
        <w:spacing w:line="570" w:lineRule="exact"/>
        <w:jc w:val="center"/>
        <w:rPr>
          <w:rFonts w:hAnsi="宋体" w:eastAsia="仿宋_GB2312" w:cs="宋体"/>
          <w:kern w:val="0"/>
          <w:sz w:val="30"/>
          <w:szCs w:val="30"/>
        </w:rPr>
      </w:pPr>
    </w:p>
    <w:p w14:paraId="5F4C156D">
      <w:pPr>
        <w:spacing w:line="570" w:lineRule="exact"/>
        <w:jc w:val="center"/>
        <w:rPr>
          <w:rFonts w:hAnsi="宋体" w:eastAsia="仿宋_GB2312" w:cs="宋体"/>
          <w:kern w:val="0"/>
          <w:sz w:val="30"/>
          <w:szCs w:val="30"/>
        </w:rPr>
      </w:pPr>
    </w:p>
    <w:p w14:paraId="7A712935">
      <w:pPr>
        <w:spacing w:line="570" w:lineRule="exact"/>
        <w:jc w:val="center"/>
        <w:rPr>
          <w:rFonts w:hAnsi="宋体" w:eastAsia="仿宋_GB2312" w:cs="宋体"/>
          <w:kern w:val="0"/>
          <w:sz w:val="30"/>
          <w:szCs w:val="30"/>
        </w:rPr>
      </w:pPr>
    </w:p>
    <w:p w14:paraId="306DE09C">
      <w:pPr>
        <w:spacing w:line="570" w:lineRule="exact"/>
        <w:jc w:val="center"/>
        <w:rPr>
          <w:rFonts w:hAnsi="宋体" w:eastAsia="仿宋_GB2312" w:cs="宋体"/>
          <w:kern w:val="0"/>
          <w:sz w:val="30"/>
          <w:szCs w:val="30"/>
        </w:rPr>
      </w:pPr>
    </w:p>
    <w:p w14:paraId="5B8E3284">
      <w:pPr>
        <w:spacing w:line="570" w:lineRule="exact"/>
        <w:jc w:val="center"/>
        <w:rPr>
          <w:rFonts w:hAnsi="宋体" w:eastAsia="仿宋_GB2312" w:cs="宋体"/>
          <w:kern w:val="0"/>
          <w:sz w:val="30"/>
          <w:szCs w:val="30"/>
        </w:rPr>
      </w:pPr>
    </w:p>
    <w:p w14:paraId="191E99AD">
      <w:pPr>
        <w:spacing w:line="570" w:lineRule="exact"/>
        <w:jc w:val="center"/>
        <w:rPr>
          <w:rFonts w:hAnsi="宋体" w:eastAsia="仿宋_GB2312" w:cs="宋体"/>
          <w:kern w:val="0"/>
          <w:sz w:val="30"/>
          <w:szCs w:val="30"/>
        </w:rPr>
      </w:pPr>
    </w:p>
    <w:p w14:paraId="35B59300">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安全风险整改维修改造项目</w:t>
      </w:r>
    </w:p>
    <w:p w14:paraId="34FEE949">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新疆维吾尔自治区喀什地区救助管理站</w:t>
      </w:r>
    </w:p>
    <w:p w14:paraId="4EF36FD3">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喀什地区民政局</w:t>
      </w:r>
    </w:p>
    <w:p w14:paraId="48E5D8E4">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吐尔逊江·艾再孜</w:t>
      </w:r>
    </w:p>
    <w:p w14:paraId="5DD1B1DA">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2024年04月03日</w:t>
      </w:r>
    </w:p>
    <w:p w14:paraId="42BB7B13">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49ED14A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71C77731">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7BF6677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我站安全风险整改维修改造项目实施前期、过程及效果，评价财政预算资金使用的效率及效益。通过该项目的实施，建成后对维护喀什社会稳固和长治久安，预防流浪乞讨人员违法犯罪，保护流浪未成年人合法权益具有十分显著的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位于喀什市多来特巴格乡5村曙光国际院内，本着对城市生活无着的流浪乞讨人员实施救助；对流浪未成年人实施救助、保护、生活、行为的管理教育和培训宗旨，更好服务被救助人员，本项目主要用于成人救助楼精神病患软包房维修、未成年人儿保楼防火门更换、水电表安装、屋面防水等。项目的实施有效提升救助服务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喀什地区救助管理站为参照公务员管理的事业单位，纳入2023年部门决算编制范围的有1个。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编制人数24人，其中：行政人员编制0人、工勤1人、参公23人、事业编制0人。实有在职人数17人，其中：行政在职0人、工勤1人、参公16人、事业在职0人。离退休人员17人，其中：行政退休人员0人、事业退休17人。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喀财专报【2021】311号共安排下达资金136万元，为本级财政资金，最终确定项目资金总数为136万元，2021年实际支出97.0704万元，余38.9296万元。2022年本项目预算安排38.9296万元，实际支出10.334487万元，余28.595113万元。2023年本项目预算安排28.595113万元绩效用于开展维修和改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截至2023年12月31日，实际支出28.16万元，预算执行率98.5%。</w:t>
      </w:r>
    </w:p>
    <w:p w14:paraId="5E520D2D">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5CC4160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成救助管理站成年救助楼、儿保楼维修改造项目28.59万元，主要用于成人宿舍楼和儿保楼屋顶防水、水电表安装、精神病房软包安装、门窗更换等。此项目能妥善解决未成年流浪人员、生活无着流浪乞讨人员、关爱儿童及留守儿童的生存、抚养、康复、教育等问题事关国家社会稳固的政治大局，是建设小康、构建和谐社会的必然选择， 该项目符合国家有关政策和地方发展规划，可以有效改善我区流浪人员救助保护设施条件，全面适应流浪人员救助保护工作的需要。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实施的前期准备工作：明确项目的目标和范围，包括确定项目的预期成果，以及项目的具体范围和边界，并制定详细的项目计划、任务分配、资源评估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本项目由吐尔逊江·艾再孜作为项目负责人，负责项目的全盘组织实施；胡玉刚、刘娟、赵丹丹、布阿西、米娜瓦尔、艾买江、米克来业务工作人员负责项目的具体实施，以及项目材料收集及上报；财务负责人胡玉刚负责项目实施统筹、与项目负责人沟通、监督资金支出情况；陈丽娜负责项目资金的支出统计，穆乃瓦二负责按照项目负责人提供的依据和发票等按项目进度向财政申请支付资金；通过业务与财务工作共同配合衔接，形成了明确责任分工的项目管理制度，并按照喀什地区救助管理站财务相关规定、监督检查制度、预算绩效管理办法等相关制度办法严格落实各环节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验收阶段的具体工作：施工单位向建设单位提交工程竣工报告，申请工程竣工验收，建设单位在收到工程竣工报告后</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对工作内容进行详细描述，也可结合实际填写详实的工作计划。</w:t>
      </w:r>
    </w:p>
    <w:p w14:paraId="2517EF6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2AEE4E46">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625D5E0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43B67E8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6387C9C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本项目绩效评价体系根据《关于印发〈项目支出绩效评价管理办法〉的通知》（财预﹝2020﹞10号）文件中共性指标及个性化指标设置，主要为共性指标和个性指标。共性指标下设决策与过程4个一级指标。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14:paraId="39B3A60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50C9932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吐尔逊江·艾再孜任评价组组长，绩效评价工作职责为负责全盘工作。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胡玉刚任评价组副组长，绩效评价工作职责为为对项目实施情况进行实地调查。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赵丹丹、陈丽娜、米克来·亚生江任评价组成员，绩效评价工作职责为负责资料审核等工作。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25D6E9E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2216A84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通过实施安全风险整改维修改造项目产生社会效益。项目实施主要通过项目决策、项目过程、项目产出以及项目效益等方面进行评价，其中：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项目决策：该项目主要通过财经领导小组会议（喀财专报2021）311号文件立项，项目实施符合项目预期要求，项目立项依据充分，立项程序规范。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安全风险整改维修改造项目预算安排28.59万元，实际支出28.16万元，预算执行率98.5%。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项目产出：包括维修改造项目数、竣工验收合格率、资金支付及时率。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项目效益：通过完成救助管理站成年救助楼、儿保楼维修改造项目28.59万元，成人宿舍楼和儿保楼屋顶防水、水电表安装、精神病房软包安装、门窗更换等， 该项目可以有效改善我区流浪人员救助保护设施条件，全面适应流浪人员救助保护工作的需要，产生社会效益。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安全风险整改维修改造项目进行客观评价，最终评分结果：评价总分97.98分，绩效等级为“优”。</w:t>
      </w:r>
    </w:p>
    <w:p w14:paraId="708DC23C">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24F536EA">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458DDCE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项目决策类指标包括项目立项、绩效目标和资金投入三方面的内容，由7个三级指标构成，权重分为15分，实际得分14分，得分率为93.33%。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流浪乞讨人员的救助制度是我国社会救助体系的重要组成部分，是保障流浪乞讨人员基本生存权益、维护其人格尊严、预防其违法犯罪的重要方面，也是构建和谐社会、落实科学发展观的重要内容。喀什地区救助管理站原有设施、设备、功能、服务已不能完全满足民政部《生活无着的流浪乞讨人员救助管理机构工作规程》和《流浪未成年人救助保护中心建设标准》的要求。该项目的建设以</w:t>
      </w:r>
      <w:r>
        <w:rPr>
          <w:rStyle w:val="18"/>
          <w:rFonts w:hint="eastAsia" w:ascii="仿宋" w:hAnsi="仿宋" w:eastAsia="仿宋" w:cs="仿宋"/>
          <w:b w:val="0"/>
          <w:bCs w:val="0"/>
          <w:spacing w:val="-4"/>
          <w:sz w:val="32"/>
          <w:szCs w:val="32"/>
          <w:lang w:eastAsia="zh-CN"/>
        </w:rPr>
        <w:t>《城市生活无着的流浪乞讨人员救助管理办法》</w:t>
      </w:r>
      <w:r>
        <w:rPr>
          <w:rStyle w:val="18"/>
          <w:rFonts w:hint="eastAsia" w:ascii="仿宋" w:hAnsi="仿宋" w:eastAsia="仿宋" w:cs="仿宋"/>
          <w:b w:val="0"/>
          <w:bCs w:val="0"/>
          <w:spacing w:val="-4"/>
          <w:sz w:val="32"/>
          <w:szCs w:val="32"/>
        </w:rPr>
        <w:t>作为法律依据，，并组织实施。围绕2023年度工作重点和工作计划制定经费预算，根据评分标准，该指标不扣分，得3分。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（2）立项程序规范性：根据决策依据编制工作计划和经费预算，经过与财务和业务分管领导进行沟通、筛选确定经费预算计划，上党委会研究确定最终预算方案，根据评分标准，该指标不扣分，得2分。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（3）绩效目标合理性：制定《喀什地区救助管理站安全风险整改维修改造项目实施方案》，明确了总体思路及目标、并对任务进行了详细分解，对目标进行了细化，根据评分标准，该指标不扣分，得3分。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将项目绩效目标细化分解为维修改造项目数指标、维修改造成本、提升站内救助流浪乞讨人员生活环境指标等，根据评分标准，该指标不扣分，得2分。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预算编制经过科学论证，内容与项目内容匹配，项目投资额与工作任务较不匹配，根据评分标准，该指标扣1分，得2分。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14:paraId="1AA6C8E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6F2AAC5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5个三级指标构成，权重分为20分，实际得分19.88分，得分率为99.4%。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资金到位率=（实际到位资金28.59万元/预算资金28.59万元）×100%=100%，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（2）预算执行率：预算编制较为详细，项目资金支出总体能够按照预算执行，预算执行率=（实际支出资金28.16万元/实际到位资金28.59万元）×100%=98.49%根据评分标准，该指标扣0.02分，得2.88分。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（3）资金使用合规性：制定了《喀什地区救助管理站财务管理制度》对经费使用进行规范管理，财务制度健全、执行严格，根据评分标准，该指标不扣分，得4分。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喀什地区救助管理站资金管理工作实施办法》《喀什地区救助管理站项目实施管理办法》，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预算资金使用符合国家法规和喀什地区救助管理站财务管理制度；预算资金拨付有完整的审批程序和手续，符合项目预算批复或合同规定的用途；不存在截留、挤占、挪用、虚列支出等情况，确保我单位预算资金规范运行，报党支部会议研究执行，财务对资金的使用合法合规性进行监督，年底对资金使用效果进行自评，根据评分标准，该指标不扣分，得5分。</w:t>
      </w:r>
    </w:p>
    <w:p w14:paraId="24EAA33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2BA6E9F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项目产出类指标包括产出数量、产出质量、产出时效、产出成本四方面的内容，由4个三级指标构成，权重分为45分，实际得分44.1分，得分率为98%。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数量指标，预期指标值为维修改造项目数&gt;=3项，实际完成值为3项，指标完成率为100%，印证资料：围墙及国旗台旗杆维修中标通知书、合同书等，实际完成率与预期目标有偏差，根据评分标准，该指标扣0.5分，得9.5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质量指标，预期指标值为竣工验收合格率（%）=100%，实际完成值为100%，指标完成率为100%，印证资料：工程造价审定书，与预期目标一致，根据评分标准，该指标不扣分，得10分。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时效指标，预期指标值为100%，实际完成值为100%，指标完成率为100%，印证资料：监理费支付凭证、设计费凭证、建设费凭证、评审费凭证等与预期目标一致，根据评分标准，该指标不扣分，得10分。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济指标，预期指标值为维修改造成本，实际完成值为&lt;=27.69万元，指标完成率为27.26万元，本年支付工程款金额27.26万元，余0.43万元收回财政，项目经费都能控制绩效目标范围内，印证资料：工程建设费国库集中支付凭证，根据评分标准，该指标扣0.4分，得9.6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济指标，预期指标值为救助区、办公区水电表安装成本，&lt;=0.9万元，实际完成值为0.9万元，指标完成率为0.9万元，本年支付工程余款金额0.9万元，项目经费都能控制绩效目标范围内，印证资料：工程建设费国库集中支付凭证，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合计得14.6分。</w:t>
      </w:r>
    </w:p>
    <w:p w14:paraId="79459C80">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69964CB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站内救助流浪乞讨人员生活环境指标，该指标预期指标值为提升，实际完成值为提升，指标完成率为100%，印证资料：安全风险项目满意度测评表45份，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对于“满意度指标：受助人员满意度，该指标预期指标值为提升，实际完成值为有效提升，指标完成率为100%，印证资料：满意度调查问卷，与预期目标一致，根据评分标准，该指标不扣分,得10分。</w:t>
      </w:r>
    </w:p>
    <w:p w14:paraId="17B62DC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64748E95">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安全风险整改维修改造项目预算28.59万元，到位28.59万元，实际支出28.16万元，预算执行率为98.5%，项目绩效指标总体完成率为98.98%，偏差率为1.02%,偏出去原因该项目按设计工程量完成施工，并验收，审计决算核减部分施工材料成本，因而造成偏差，属于正常偏差，采取的措施：下一步我单位将结合此次施工中的经验和不足总结项目实施计划、方案的经验，做好今后项目，进一步达到年度年初项目目标。</w:t>
      </w:r>
    </w:p>
    <w:p w14:paraId="6206C10F">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5FCE4A3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主要经验及做法、存在的问题及原因分析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是单位安全风险整改维修、改造项目，项目实施严格落实采购管理办法依规执行采购程序，同时对项目工程进度、质量聘请第三方监理机构进行监督。能够严格按照《项目实施方案》执行，项目执行受疫情原因集响情况未接时完成、二是项目通过加强组织领导、加强沟通协调来推进落实，由站领导亲自监督，从项目到资金，均依规合理合法的执行。同时及时向地区民政局汇报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一是受疫情原因影响项目执行进度被迫延误，项目未能如期完成;二是对各项指标和指标值的设置因对工程成本测算不专业未能精准设置，应结合实际进一步优化、完善，主要在细化、量化上改进。</w:t>
      </w:r>
    </w:p>
    <w:p w14:paraId="4B1BBEE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547A2ED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一是加强预算绩效目标管理工作。明确预算项目绩效目标编制要求，分类别建立科学合理、细化量化、可比可测预算绩效指标体系，突出结果导向，重点考核实绩。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二是加强绩效业务学习及培训，提高业务人员绩效管理意识，进一步加强预算绩效管理工作，优化项目支出绩效指标体系，完善预算绩效管理制度，有效推动我单位下一年度预算绩效管理工作常态化、规范化。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四是项目评价资料有待进一步完善。项目启动时同步做好档案的归纳与整理，及时整理、收集、汇总，健全档案资料。项目后续管理有待进一步加强和跟踪。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五是通过绩效管理，发现实施中存在漏洞，以后加强管理，及时掌握与之相关的各类信息，减少成本，使资金效益最大化。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六是评价工作应从项目实施方案源头抓起，评价工作和意识应贯穿项目整个过程。</w:t>
      </w:r>
    </w:p>
    <w:p w14:paraId="5BBBE6D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638E36B7">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055B16E">
        <w:pPr>
          <w:pStyle w:val="12"/>
          <w:jc w:val="center"/>
        </w:pPr>
        <w:r>
          <w:fldChar w:fldCharType="begin"/>
        </w:r>
        <w:r>
          <w:instrText xml:space="preserve">PAGE   \* MERGEFORMAT</w:instrText>
        </w:r>
        <w:r>
          <w:fldChar w:fldCharType="separate"/>
        </w:r>
        <w:r>
          <w:rPr>
            <w:lang w:val="zh-CN"/>
          </w:rPr>
          <w:t>1</w:t>
        </w:r>
        <w:r>
          <w:fldChar w:fldCharType="end"/>
        </w:r>
      </w:p>
    </w:sdtContent>
  </w:sdt>
  <w:p w14:paraId="695B104F">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AD04922"/>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110</Words>
  <Characters>633</Characters>
  <Lines>5</Lines>
  <Paragraphs>1</Paragraphs>
  <TotalTime>2</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2024-11-20T03:19:29Z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D1084C1C2FE3474AA20EAF7200BE1479_12</vt:lpwstr>
  </property>
</Properties>
</file>