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2A570">
      <w:pPr>
        <w:spacing w:line="570" w:lineRule="exact"/>
        <w:jc w:val="center"/>
        <w:rPr>
          <w:rFonts w:ascii="华文中宋" w:hAnsi="华文中宋" w:eastAsia="华文中宋" w:cs="宋体"/>
          <w:b/>
          <w:kern w:val="0"/>
          <w:sz w:val="52"/>
          <w:szCs w:val="52"/>
        </w:rPr>
      </w:pPr>
      <w:bookmarkStart w:id="0" w:name="_GoBack"/>
      <w:bookmarkEnd w:id="0"/>
    </w:p>
    <w:p w14:paraId="7D320727">
      <w:pPr>
        <w:spacing w:line="570" w:lineRule="exact"/>
        <w:jc w:val="center"/>
        <w:rPr>
          <w:rFonts w:ascii="华文中宋" w:hAnsi="华文中宋" w:eastAsia="华文中宋" w:cs="宋体"/>
          <w:b/>
          <w:kern w:val="0"/>
          <w:sz w:val="52"/>
          <w:szCs w:val="52"/>
        </w:rPr>
      </w:pPr>
    </w:p>
    <w:p w14:paraId="04457F31">
      <w:pPr>
        <w:spacing w:line="570" w:lineRule="exact"/>
        <w:jc w:val="center"/>
        <w:rPr>
          <w:rFonts w:ascii="华文中宋" w:hAnsi="华文中宋" w:eastAsia="华文中宋" w:cs="宋体"/>
          <w:b/>
          <w:kern w:val="0"/>
          <w:sz w:val="52"/>
          <w:szCs w:val="52"/>
        </w:rPr>
      </w:pPr>
    </w:p>
    <w:p w14:paraId="5561001D">
      <w:pPr>
        <w:spacing w:line="570" w:lineRule="exact"/>
        <w:jc w:val="center"/>
        <w:rPr>
          <w:rFonts w:ascii="华文中宋" w:hAnsi="华文中宋" w:eastAsia="华文中宋" w:cs="宋体"/>
          <w:b/>
          <w:kern w:val="0"/>
          <w:sz w:val="52"/>
          <w:szCs w:val="52"/>
        </w:rPr>
      </w:pPr>
    </w:p>
    <w:p w14:paraId="6FF5B3A2">
      <w:pPr>
        <w:spacing w:line="570" w:lineRule="exact"/>
        <w:jc w:val="both"/>
        <w:rPr>
          <w:rFonts w:ascii="华文中宋" w:hAnsi="华文中宋" w:eastAsia="华文中宋" w:cs="宋体"/>
          <w:b/>
          <w:kern w:val="0"/>
          <w:sz w:val="52"/>
          <w:szCs w:val="52"/>
        </w:rPr>
      </w:pPr>
    </w:p>
    <w:p w14:paraId="647A03CF">
      <w:pPr>
        <w:spacing w:line="570" w:lineRule="exact"/>
        <w:jc w:val="center"/>
        <w:rPr>
          <w:rFonts w:ascii="华文中宋" w:hAnsi="华文中宋" w:eastAsia="华文中宋" w:cs="宋体"/>
          <w:b/>
          <w:kern w:val="0"/>
          <w:sz w:val="52"/>
          <w:szCs w:val="52"/>
        </w:rPr>
      </w:pPr>
    </w:p>
    <w:p w14:paraId="4C73BA4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1EE84E52">
      <w:pPr>
        <w:spacing w:line="570" w:lineRule="exact"/>
        <w:jc w:val="center"/>
        <w:rPr>
          <w:rFonts w:ascii="华文中宋" w:hAnsi="华文中宋" w:eastAsia="华文中宋" w:cs="宋体"/>
          <w:b/>
          <w:kern w:val="0"/>
          <w:sz w:val="52"/>
          <w:szCs w:val="52"/>
        </w:rPr>
      </w:pPr>
    </w:p>
    <w:p w14:paraId="3321A84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1AE03A4">
      <w:pPr>
        <w:spacing w:line="570" w:lineRule="exact"/>
        <w:jc w:val="center"/>
        <w:rPr>
          <w:rFonts w:hAnsi="宋体" w:eastAsia="仿宋_GB2312" w:cs="宋体"/>
          <w:kern w:val="0"/>
          <w:sz w:val="30"/>
          <w:szCs w:val="30"/>
        </w:rPr>
      </w:pPr>
    </w:p>
    <w:p w14:paraId="415FAD4F">
      <w:pPr>
        <w:spacing w:line="570" w:lineRule="exact"/>
        <w:jc w:val="center"/>
        <w:rPr>
          <w:rFonts w:hAnsi="宋体" w:eastAsia="仿宋_GB2312" w:cs="宋体"/>
          <w:kern w:val="0"/>
          <w:sz w:val="30"/>
          <w:szCs w:val="30"/>
        </w:rPr>
      </w:pPr>
    </w:p>
    <w:p w14:paraId="2B319C98">
      <w:pPr>
        <w:spacing w:line="570" w:lineRule="exact"/>
        <w:jc w:val="center"/>
        <w:rPr>
          <w:rFonts w:hAnsi="宋体" w:eastAsia="仿宋_GB2312" w:cs="宋体"/>
          <w:kern w:val="0"/>
          <w:sz w:val="30"/>
          <w:szCs w:val="30"/>
        </w:rPr>
      </w:pPr>
    </w:p>
    <w:p w14:paraId="453084D6">
      <w:pPr>
        <w:spacing w:line="570" w:lineRule="exact"/>
        <w:jc w:val="center"/>
        <w:rPr>
          <w:rFonts w:hAnsi="宋体" w:eastAsia="仿宋_GB2312" w:cs="宋体"/>
          <w:kern w:val="0"/>
          <w:sz w:val="30"/>
          <w:szCs w:val="30"/>
        </w:rPr>
      </w:pPr>
    </w:p>
    <w:p w14:paraId="4DD05001">
      <w:pPr>
        <w:spacing w:line="570" w:lineRule="exact"/>
        <w:jc w:val="center"/>
        <w:rPr>
          <w:rFonts w:hAnsi="宋体" w:eastAsia="仿宋_GB2312" w:cs="宋体"/>
          <w:kern w:val="0"/>
          <w:sz w:val="30"/>
          <w:szCs w:val="30"/>
        </w:rPr>
      </w:pPr>
    </w:p>
    <w:p w14:paraId="6678659D">
      <w:pPr>
        <w:spacing w:line="570" w:lineRule="exact"/>
        <w:jc w:val="center"/>
        <w:rPr>
          <w:rFonts w:hAnsi="宋体" w:eastAsia="仿宋_GB2312" w:cs="宋体"/>
          <w:kern w:val="0"/>
          <w:sz w:val="30"/>
          <w:szCs w:val="30"/>
        </w:rPr>
      </w:pPr>
    </w:p>
    <w:p w14:paraId="613B4233">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医院综合业务运行项目</w:t>
      </w:r>
    </w:p>
    <w:p w14:paraId="0DCE6755">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新疆维吾尔自治区喀什地区结核病防治所</w:t>
      </w:r>
    </w:p>
    <w:p w14:paraId="4133651C">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喀什地区卫健委</w:t>
      </w:r>
    </w:p>
    <w:p w14:paraId="37CC0DF8">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刘振江</w:t>
      </w:r>
    </w:p>
    <w:p w14:paraId="7DADCB94">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6CC4974C">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39B526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8ED894F">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B586C2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喀什地区结核病防治所肺科医院2022年第十次党总支（扩大）会议纪要》（喀结防党字【2022】51号）等相关文件与规定，下达项目资金3828.88万元，项目资金主要用于购买大型医疗设备，医院软件升级和大型设备修缮服务，贯彻</w:t>
      </w:r>
      <w:r>
        <w:rPr>
          <w:rStyle w:val="18"/>
          <w:rFonts w:hint="eastAsia" w:ascii="仿宋" w:hAnsi="仿宋" w:eastAsia="仿宋" w:cs="仿宋"/>
          <w:b w:val="0"/>
          <w:bCs w:val="0"/>
          <w:spacing w:val="-4"/>
          <w:sz w:val="32"/>
          <w:szCs w:val="32"/>
          <w:lang w:eastAsia="zh-CN"/>
        </w:rPr>
        <w:t>落实党中央、国务院</w:t>
      </w:r>
      <w:r>
        <w:rPr>
          <w:rStyle w:val="18"/>
          <w:rFonts w:hint="eastAsia" w:ascii="仿宋" w:hAnsi="仿宋" w:eastAsia="仿宋" w:cs="仿宋"/>
          <w:b w:val="0"/>
          <w:bCs w:val="0"/>
          <w:spacing w:val="-4"/>
          <w:sz w:val="32"/>
          <w:szCs w:val="32"/>
        </w:rPr>
        <w:t>，自治区党委，人民政府决策部署，落实对医务人员的关心关爱，不断优化医务人员的工作设备和工作环境，重点解决医院提高医疗水平和服务质量。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医院业务提升能力项目为更好的推动喀什地区结核病防治所结核病防空工作，主要购置医疗设备，软件升级，大型修缮设备等，项目预算支出3828.88万元，实际支出2042.86万元，购置医疗设备261台，实际支出920.08万元；购置医疗设备146台，实际支出60.22万元；软件升级数量9项，实际支出831.59万元，大型修缮设备15套，实际支出141.13万元，给就诊住院患者提供更好的治疗质量和技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随着医院的发展和业务量的逐步提升，现有的医疗设施陈旧，就医流程不合理等问题严重制约了医院的进一步发展和形象的提升，为进一步达到要求，提高我院肺部疾病的医疗水平，给就诊住院患者提供更好的治疗质量和技术，医院综合业务运行项目根据《喀什地区结核病防治所肺科医院2022年第十次党总支（扩大）会议纪要》（喀结防党字【2022】51号）等相关文件与规定，实际支出2042.86万元资金，主要用于购置医疗设备，软件升级，大型修缮设备，完善结核病治疗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综合业务运行项目根据《喀什地区结核病防治所肺科医院2022年第十次党总支（扩大）会议纪要》（喀结防党字【2022】51号）等相关文件与规定，资金投入3828.88万元，提升结核病救助能力，最终确定项目资金总数为3828.88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截至2023年12月31日，实际支出2042.86万元，主要用于购置医疗设备146台，支出60.22万元；软件升级数量9项，支出831.59万元，大型修缮设备15套，支出141.13万元，预算执行率为53.4%。</w:t>
      </w:r>
    </w:p>
    <w:p w14:paraId="7991A28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C1CE40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综合业务运行项目为了提高我院肺部疾病的医疗水平，2023年预算支出3828.88万元，主要用于购置医疗设备，计划费用1365.39万元；购置医疗设备，计划费用60.22万元；软件升级，计划费用141.13万元，大型修缮设备，计划费用902.13万元；购置信息化硬件89.84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此项目开始于2022年12月17日，项目还未结束，目前执行了2,042.86万元项目资金，其中2022年12月17日之2022年12月31日执行了920.08万元，2023年1月1日至2023年12月31日执行了1104.78万元。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此项目主要购买医疗设备，修缮大型医疗设备，购置信息化硬件和系统升级改造，全面升级医院软件，为就诊住院患者提供更好的治疗质量和技术，提高了医疗成功率，减少因为设备，系统原因导致的就诊患者看病困难的问题，取得了良好的社会效应。</w:t>
      </w:r>
    </w:p>
    <w:p w14:paraId="04A8955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9CFA0F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5AC5D18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2C61540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2A56F3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54A18A7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4581F9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刘振江任评价组组长，绩效评价工作职责为负责全盘工作。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白欣煜任评价组副组长，绩效评价工作职责为为对项目实施情况进行实地调查。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阿地里江任评价组成员，绩效评价工作职责为负责资料审核等工作。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605480C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EB6543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通过实施医院综合业务运行项目产生医疗服务与保障能力提升效益。项目实施主要通过项目决策、项目过程、项目产出以及项目效益等方面进行评价，其中：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独立决策，深入研究，明确目标，详细的预算计划和执行方案,进一步提高预算执行的效率和质量。为就诊住院患者提供更好的治疗质量和技术，确保项目决策的有效性和持续发展。项目实施符合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医院综合业务运行项目预算安排3828.88万元，实际支出2,042.86，预算执行率53.4%。购置医疗设备261台，支出920.08万元；购置医疗设备146台，支出60.22万元；软件升级数量9项，支出831.59万元，大型修缮设备15套，支出141.13万元，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项目产出：购置办公家具电器数量261台，购置医疗设备数量146台，软件升级数量15套，修缮改造数量9项，购置信息化硬件数量228台，政府采购率100%，设备验收合格率100%。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项目效益：通过实施此项目保障医院医疗业务收入增长3%，提高为就诊住院患者提供更好的治疗质量和技术。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医院综合业务运行项目进行客观评价，最终评分结果：评价总分94分，绩效等级为“优”。</w:t>
      </w:r>
    </w:p>
    <w:p w14:paraId="0F4BD7AB">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04A32F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B32323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遵循《喀什地区结核病防治所肺科医院2022年第十次党总支（扩大）会议纪要》（喀结防党字【2022】51号）等相关文件与规定，下达项目资金3828.88万元，项目资金主要用于购买大型医疗设备，医院软件升级和大型设备修缮服务，不断优化医务人员的工作设备和工作环境，重点解决医院提高医疗水平和服务质量，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分管领导进行沟通、筛选确定经费预算计划，上党委会研究确定最终预算方案，有效沟通，合理分配资源，及时解决风险管理，有效提高项目管理效果。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我单位制定了实施方案，明确了总体思路及目标、并对任务进行了详细分解，对目标进行了细化，制定详细的预算计划和执行方案，确保预算的合理性和可行性，加强内部管理和控制，确保预算的合理使用和节约，进一步提高预算执行的效率和质量。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根据我单位医院综合业务运行项目绩效目标表显示，我单位没有根据项目实际情况将项目绩效目标细化分解为具体的绩效指标，因此扣0.5分，同时，未与项目目标任务数或计划数相对应扣0.5分，根据评分标准，该指标扣1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（5）预算编制科学性：预算编制经过科学论证，内容与项目内容匹配，项目投资额与工作任务相匹配，合理分配资源，及时解决风险管理，有效提高项目管理效果。根据评分标准，该指标不扣分，得3分。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有明确的工作任务和目标，通过查看《项目支出绩效目标表》该项目实际工作内容具有相关性，资金分配与实际相适应，项目资金明确预算计划，加强资金的监督和管理，加强资金的使用效益，定期检查资金状况，发现问题及时解决。根据评分标准</w:t>
      </w:r>
    </w:p>
    <w:p w14:paraId="0FA9755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37EA4C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（1）资金到位率：医院综合业务运行项目预算金额为3828.88万元，实际到位金额为3828.88万元，项目预算金额全额到位，因此根据评分标准，该指标不扣分，得3分。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预算资金3828.88万元，实际支出2,042.86，预算执行率53.4%。有明确详细的的预算编制，但项目资金实际支出未达到预算执行率，偏差原因：第二批采购医疗设备手续正在办理中。改进措施：督促相关业务科室，尽快办理相关手续，加快项目进度。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项目情况制定了医院的财务管理制度，资产管理制度和招标采购管理制度，对经费使用进行规范管理，加强资金的使用效益，定期检查资金状况，及时解决风险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（4）管理制度健全性：本项目对单位资金进行严格管理，加强内部管理和控制，确保预算的合理使用和节约，进一步提高预算执行的质量，基本做到了专款专用，根据评分标准，该指标不扣分，得5分。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分管领导沟通后执行，财务对单位资金的使用合法合规性进行监督，年底对资金使用效果进行自评，但项目实际支出金额与预算金额之间存在偏差，偏差原因：年初绩效目标值设置偏低。改进措施：以后年度按照项目实际情况设置指标。根据评分标准，该指标扣1分，得4分。</w:t>
      </w:r>
    </w:p>
    <w:p w14:paraId="01AC049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E1CACC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项目产出类指标包括产出数量、产出质量、产出时效、产出成本四方面的内容，由4个三级指标构成，权重分为45分，实际得分42分，得分率为93.3%。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购置办公家具电器数量，预期指标值为261台，实际完成值为261台，指标完成率为100%，与预期目标一致，根据评分标准，该指标不扣分，得2分。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购置医疗设备数量，预期指标值为146台，实际完成值为146台，指标完成率为100%，与预期目标一致，根据评分标准，该指标不扣分，得2分。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软件升级数量指标，预期指标值为3804.5天15套，实际完成值为15套，指标完成率为100%，与预期目标一致，根据评分标准，该指标不扣分，得2分。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修缮改造数量指标，预期指标值为9项，实际完成值为9项，指标完成率为100%，与预期目标一致，根据评分标准，该指标不扣分，得2分。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购置信息化硬件数量指标，预期指标值为228台，实际完成值为228台，指标完成率为100%，与预期目标一致，根据评分标准，该指标不扣分，得2分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政府采购率指标，预期指标值为100%，实际完成值为100%，指标完成率为100%，与预期目标一致，根据评分标准，该指标不扣分，得5分。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设备验收合格率指标，预期指标值为100%，实际完成值为100%，指标完成率为100%，与预期目标一致，根据评分标准，该指标不扣分，得5分。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设备采购及时率指标，预期指标值为100%，实际完成值为100%，指标完成率为100%，与预期目标一致，根据评分标准，该指标不扣分，得10分。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医疗设备支出成本指标，预期指标值为1365.39万元，实际完成值为920.08万元，偏差原因：购置医疗设备支出成本指标第一批采购家具电器材料正在办理中。改进措施：督促相关业务科室，尽快办理相关手续，加快项目进度。根据评分标准，该指标扣 2 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购置办公家具电器支出成本指标，预期指标值为60.22万元，实际完成值为60.22万元，项目经费都能控制绩效目标范围内，根据评分标准，该指标不扣分，得3分。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大型修缮费用成本指标，预期指标值为902.13万元，实际完成值为831.59万元，项目经费都能控制绩效目标范围内，偏差原因：成本节约，年初预算不合理。改进措施根据项目实际情况及时调整指标值。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升级信息化软件支出成本指标，预期指标值为141.13万元，实际完成值为141.13万元，项目经费都能控制绩效目标范围内，根据评分标准，该指标不扣分，得3分。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采购信息化硬件设备支出成本指标，预期指标值为89.84万元，实际完成值为89.84万元，项目经费都能控制绩效目标范围内，根据评分标准，该指标不扣分，得3分。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合计得12分。</w:t>
      </w:r>
    </w:p>
    <w:p w14:paraId="1CF5094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2D75A66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提升为就诊住院患者提供更好的治疗质量和技术指标，预期指标值为有效提高，实际完成值为有效提高，指标完成率为100%，与预期指标一致，根据评分标准，该指标不扣分，得5分。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保障医院医疗业务收入增长指标，预期指标值为提高3%，实际完成值为提高3%，指标完成率为100%，与预期指标一致，根据评分标准，该指标不扣分，得5分。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（3）对于“可持续效益指标”：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患者满意度指标，预期指标值为95%，实际完成值为95%，指标完成率为100%，与预期目标一致，根据评分标准，该指标不扣分,得10分。</w:t>
      </w:r>
    </w:p>
    <w:p w14:paraId="4B126AF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742A456F">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综合业务运行项目预算3828.88万元，到位3828.88万元，实际支出2042.86万元，预算执行率为53.4%，项目绩效指标总体完成率为97.5%，偏差原因：第二批大型修缮服务和医疗设备采购手续材料正在办理中。改进措施：督促相关业务科室，尽快办理相关手续，加快项目进度。</w:t>
      </w:r>
    </w:p>
    <w:p w14:paraId="32D83D4C">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076D21F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综合业务运行项目主要是管理制度完善、责任落实到位，跟踪考核机制完善且运行有效，在项目实施过程中创新管理办法，绩效自评工作首先是要工作准备充分，评价小组成员要加强绩效基础理论学习，用绩效的理论和知识进行分析评价，客观、公正的分析项目实施情况、资金使用和支付情况、绩效目标的完成情况，对发现的问题要及时总结，是要对项目的事前、事中、事后全方位、全过程进行分析、掌握，注重评价过程的记录和档案整理，为下一年度工作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综合业务运行项目，该项资金确保能够专款专用，但也存在一些问题。主要问题是预算编制不精准，虽然制定该专项资金的使用计划，但由于对资金的到位情况了解不够全面，影响资金使用，此项目资金第二批大型修缮服务和医疗设备采购手续较慢，需要相关业务科室尽快办理相关手续，加快项目进度。</w:t>
      </w:r>
    </w:p>
    <w:p w14:paraId="7819DA9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3E3D27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加强经济管理，实行成本核算，强化成本控制，提高资金使用效益，加强资产管理，合理配置和有效利用资产，维护资产权益，加强经济活动的财务控制和监督，防范风险。 深入细致的规划，保证每一个环节都有人负责，保证整个绩效管理过程是可以追踪和衡量。</w:t>
      </w:r>
    </w:p>
    <w:p w14:paraId="4747A8B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047152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C681551">
        <w:pPr>
          <w:pStyle w:val="12"/>
          <w:jc w:val="center"/>
        </w:pPr>
        <w:r>
          <w:fldChar w:fldCharType="begin"/>
        </w:r>
        <w:r>
          <w:instrText xml:space="preserve">PAGE   \* MERGEFORMAT</w:instrText>
        </w:r>
        <w:r>
          <w:fldChar w:fldCharType="separate"/>
        </w:r>
        <w:r>
          <w:rPr>
            <w:lang w:val="zh-CN"/>
          </w:rPr>
          <w:t>1</w:t>
        </w:r>
        <w:r>
          <w:fldChar w:fldCharType="end"/>
        </w:r>
      </w:p>
    </w:sdtContent>
  </w:sdt>
  <w:p w14:paraId="4D62A7B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4F0B7C06"/>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2024-11-20T03:15:02Z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10156459856D4228A9709268712BF717_12</vt:lpwstr>
  </property>
</Properties>
</file>