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2765" w14:textId="77777777" w:rsidR="00E7612A" w:rsidRDefault="00E7612A">
      <w:pPr>
        <w:spacing w:line="570" w:lineRule="exact"/>
        <w:jc w:val="center"/>
        <w:rPr>
          <w:rFonts w:ascii="华文中宋" w:eastAsia="华文中宋" w:hAnsi="华文中宋" w:cs="宋体"/>
          <w:b/>
          <w:kern w:val="0"/>
          <w:sz w:val="52"/>
          <w:szCs w:val="52"/>
        </w:rPr>
      </w:pPr>
    </w:p>
    <w:p w14:paraId="2E450B95" w14:textId="77777777" w:rsidR="00E7612A" w:rsidRDefault="00E7612A">
      <w:pPr>
        <w:spacing w:line="570" w:lineRule="exact"/>
        <w:jc w:val="center"/>
        <w:rPr>
          <w:rFonts w:ascii="华文中宋" w:eastAsia="华文中宋" w:hAnsi="华文中宋" w:cs="宋体"/>
          <w:b/>
          <w:kern w:val="0"/>
          <w:sz w:val="52"/>
          <w:szCs w:val="52"/>
        </w:rPr>
      </w:pPr>
    </w:p>
    <w:p w14:paraId="29DA2E51" w14:textId="77777777" w:rsidR="00E7612A" w:rsidRDefault="00E7612A">
      <w:pPr>
        <w:spacing w:line="570" w:lineRule="exact"/>
        <w:jc w:val="center"/>
        <w:rPr>
          <w:rFonts w:ascii="华文中宋" w:eastAsia="华文中宋" w:hAnsi="华文中宋" w:cs="宋体"/>
          <w:b/>
          <w:kern w:val="0"/>
          <w:sz w:val="52"/>
          <w:szCs w:val="52"/>
        </w:rPr>
      </w:pPr>
    </w:p>
    <w:p w14:paraId="322FB570" w14:textId="77777777" w:rsidR="00E7612A" w:rsidRDefault="00E7612A">
      <w:pPr>
        <w:spacing w:line="570" w:lineRule="exact"/>
        <w:jc w:val="center"/>
        <w:rPr>
          <w:rFonts w:ascii="华文中宋" w:eastAsia="华文中宋" w:hAnsi="华文中宋" w:cs="宋体"/>
          <w:b/>
          <w:kern w:val="0"/>
          <w:sz w:val="52"/>
          <w:szCs w:val="52"/>
        </w:rPr>
      </w:pPr>
    </w:p>
    <w:p w14:paraId="6B50659F" w14:textId="77777777" w:rsidR="00E7612A" w:rsidRDefault="00E7612A">
      <w:pPr>
        <w:spacing w:line="570" w:lineRule="exact"/>
        <w:jc w:val="center"/>
        <w:rPr>
          <w:rFonts w:ascii="华文中宋" w:eastAsia="华文中宋" w:hAnsi="华文中宋" w:cs="宋体"/>
          <w:b/>
          <w:kern w:val="0"/>
          <w:sz w:val="52"/>
          <w:szCs w:val="52"/>
        </w:rPr>
      </w:pPr>
    </w:p>
    <w:p w14:paraId="06578019" w14:textId="77777777" w:rsidR="00E7612A" w:rsidRDefault="00E7612A">
      <w:pPr>
        <w:spacing w:line="570" w:lineRule="exact"/>
        <w:jc w:val="center"/>
        <w:rPr>
          <w:rFonts w:ascii="华文中宋" w:eastAsia="华文中宋" w:hAnsi="华文中宋" w:cs="宋体"/>
          <w:b/>
          <w:kern w:val="0"/>
          <w:sz w:val="52"/>
          <w:szCs w:val="52"/>
        </w:rPr>
      </w:pPr>
    </w:p>
    <w:p w14:paraId="65D9F1F5" w14:textId="77777777" w:rsidR="00E7612A" w:rsidRDefault="00E7612A">
      <w:pPr>
        <w:spacing w:line="570" w:lineRule="exact"/>
        <w:jc w:val="center"/>
        <w:rPr>
          <w:rFonts w:ascii="华文中宋" w:eastAsia="华文中宋" w:hAnsi="华文中宋" w:cs="宋体"/>
          <w:b/>
          <w:kern w:val="0"/>
          <w:sz w:val="52"/>
          <w:szCs w:val="52"/>
        </w:rPr>
      </w:pPr>
    </w:p>
    <w:p w14:paraId="75242AA7" w14:textId="669A8BE6" w:rsidR="00E7612A" w:rsidRDefault="008F4CA9">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喀什地区财政</w:t>
      </w:r>
      <w:r w:rsidR="00B77738">
        <w:rPr>
          <w:rFonts w:ascii="方正小标宋_GBK" w:eastAsia="方正小标宋_GBK" w:hAnsi="华文中宋" w:cs="宋体" w:hint="eastAsia"/>
          <w:b/>
          <w:kern w:val="0"/>
          <w:sz w:val="44"/>
          <w:szCs w:val="44"/>
        </w:rPr>
        <w:t>专项</w:t>
      </w:r>
      <w:r>
        <w:rPr>
          <w:rFonts w:ascii="方正小标宋_GBK" w:eastAsia="方正小标宋_GBK" w:hAnsi="华文中宋" w:cs="宋体" w:hint="eastAsia"/>
          <w:b/>
          <w:kern w:val="0"/>
          <w:sz w:val="44"/>
          <w:szCs w:val="44"/>
        </w:rPr>
        <w:t>支出绩效自评报告</w:t>
      </w:r>
    </w:p>
    <w:p w14:paraId="07854308" w14:textId="77777777" w:rsidR="00E7612A" w:rsidRDefault="00E7612A">
      <w:pPr>
        <w:spacing w:line="570" w:lineRule="exact"/>
        <w:jc w:val="center"/>
        <w:rPr>
          <w:rFonts w:ascii="华文中宋" w:eastAsia="华文中宋" w:hAnsi="华文中宋" w:cs="宋体"/>
          <w:b/>
          <w:kern w:val="0"/>
          <w:sz w:val="52"/>
          <w:szCs w:val="52"/>
        </w:rPr>
      </w:pPr>
    </w:p>
    <w:p w14:paraId="1E692ED9" w14:textId="396E8DE4" w:rsidR="00E7612A" w:rsidRDefault="008F4CA9">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437035D" w14:textId="77777777" w:rsidR="00E7612A" w:rsidRDefault="00E7612A">
      <w:pPr>
        <w:spacing w:line="570" w:lineRule="exact"/>
        <w:jc w:val="center"/>
        <w:rPr>
          <w:rFonts w:eastAsia="仿宋_GB2312" w:hAnsi="宋体" w:cs="宋体"/>
          <w:kern w:val="0"/>
          <w:sz w:val="30"/>
          <w:szCs w:val="30"/>
        </w:rPr>
      </w:pPr>
    </w:p>
    <w:p w14:paraId="0D88DA09" w14:textId="77777777" w:rsidR="00E7612A" w:rsidRDefault="00E7612A">
      <w:pPr>
        <w:spacing w:line="570" w:lineRule="exact"/>
        <w:jc w:val="center"/>
        <w:rPr>
          <w:rFonts w:eastAsia="仿宋_GB2312" w:hAnsi="宋体" w:cs="宋体"/>
          <w:kern w:val="0"/>
          <w:sz w:val="30"/>
          <w:szCs w:val="30"/>
        </w:rPr>
      </w:pPr>
    </w:p>
    <w:p w14:paraId="5621372D" w14:textId="77777777" w:rsidR="00E7612A" w:rsidRDefault="008F4CA9">
      <w:pPr>
        <w:spacing w:line="57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p>
    <w:p w14:paraId="534EA41F" w14:textId="77777777" w:rsidR="00E7612A" w:rsidRDefault="00E7612A">
      <w:pPr>
        <w:spacing w:line="570" w:lineRule="exact"/>
        <w:jc w:val="center"/>
        <w:rPr>
          <w:rFonts w:ascii="方正小标宋_GBK" w:eastAsia="方正小标宋_GBK" w:hAnsi="宋体" w:cs="宋体"/>
          <w:kern w:val="0"/>
          <w:sz w:val="36"/>
          <w:szCs w:val="36"/>
        </w:rPr>
      </w:pPr>
    </w:p>
    <w:p w14:paraId="0AFB0CE3" w14:textId="0DA3C3AD" w:rsidR="00E7612A" w:rsidRDefault="00E7612A">
      <w:pPr>
        <w:spacing w:line="570" w:lineRule="exact"/>
        <w:rPr>
          <w:rFonts w:eastAsia="仿宋_GB2312" w:hAnsi="宋体" w:cs="宋体"/>
          <w:kern w:val="0"/>
          <w:sz w:val="30"/>
          <w:szCs w:val="30"/>
        </w:rPr>
      </w:pPr>
    </w:p>
    <w:p w14:paraId="5E968ACE" w14:textId="77777777" w:rsidR="007C0EA3" w:rsidRDefault="007C0EA3">
      <w:pPr>
        <w:spacing w:line="570" w:lineRule="exact"/>
        <w:rPr>
          <w:rFonts w:eastAsia="仿宋_GB2312" w:hAnsi="宋体" w:cs="宋体"/>
          <w:kern w:val="0"/>
          <w:sz w:val="30"/>
          <w:szCs w:val="30"/>
        </w:rPr>
      </w:pPr>
    </w:p>
    <w:p w14:paraId="5C2A08DA" w14:textId="5D4E6B16" w:rsidR="00E7612A" w:rsidRDefault="008F4CA9">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自治区人才发展专项资金项目</w:t>
      </w:r>
    </w:p>
    <w:p w14:paraId="53A2695D" w14:textId="551B8E64" w:rsidR="00E7612A" w:rsidRDefault="008F4CA9">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喀什地区农业农村局</w:t>
      </w:r>
    </w:p>
    <w:p w14:paraId="18B0EA48" w14:textId="05BA31A1" w:rsidR="00E7612A" w:rsidRDefault="008F4CA9" w:rsidP="007A3C1F">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sidR="007A3C1F">
        <w:rPr>
          <w:rStyle w:val="ad"/>
          <w:rFonts w:ascii="仿宋" w:eastAsia="仿宋" w:hAnsi="仿宋" w:cs="仿宋" w:hint="eastAsia"/>
          <w:b w:val="0"/>
          <w:bCs w:val="0"/>
          <w:spacing w:val="-4"/>
          <w:sz w:val="32"/>
          <w:szCs w:val="32"/>
        </w:rPr>
        <w:t>喀什地区行政公署</w:t>
      </w:r>
    </w:p>
    <w:p w14:paraId="711D26DE" w14:textId="0ED18634" w:rsidR="005E259B" w:rsidRDefault="005E259B" w:rsidP="005E259B">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张强</w:t>
      </w:r>
    </w:p>
    <w:p w14:paraId="06580AD8" w14:textId="35781503" w:rsidR="00E7612A" w:rsidRDefault="008F4CA9">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2023年02月01日</w:t>
      </w:r>
    </w:p>
    <w:p w14:paraId="7AA4B8F6" w14:textId="77777777" w:rsidR="00E7612A" w:rsidRDefault="00E7612A">
      <w:pPr>
        <w:spacing w:line="570" w:lineRule="exact"/>
        <w:ind w:firstLineChars="200" w:firstLine="627"/>
        <w:rPr>
          <w:rStyle w:val="ad"/>
          <w:rFonts w:ascii="楷体" w:eastAsia="楷体" w:hAnsi="楷体"/>
          <w:spacing w:val="-4"/>
          <w:sz w:val="32"/>
          <w:szCs w:val="32"/>
        </w:rPr>
      </w:pPr>
    </w:p>
    <w:p w14:paraId="11FB36A2" w14:textId="64C82E2B" w:rsidR="00E7612A" w:rsidRDefault="00E7612A">
      <w:pPr>
        <w:spacing w:line="570" w:lineRule="exact"/>
        <w:rPr>
          <w:rFonts w:eastAsia="仿宋_GB2312" w:hAnsi="宋体" w:cs="宋体"/>
          <w:kern w:val="0"/>
          <w:sz w:val="30"/>
          <w:szCs w:val="30"/>
        </w:rPr>
      </w:pPr>
    </w:p>
    <w:p w14:paraId="6D6BACC8" w14:textId="77777777" w:rsidR="00E7612A" w:rsidRDefault="00E7612A">
      <w:pPr>
        <w:spacing w:line="570" w:lineRule="exact"/>
        <w:rPr>
          <w:rStyle w:val="ad"/>
          <w:rFonts w:ascii="黑体" w:eastAsia="黑体" w:hAnsi="黑体"/>
          <w:b w:val="0"/>
          <w:spacing w:val="-4"/>
          <w:sz w:val="32"/>
          <w:szCs w:val="32"/>
        </w:rPr>
      </w:pPr>
    </w:p>
    <w:p w14:paraId="56D05CE1"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1288170E" w14:textId="77777777" w:rsidR="00E7612A" w:rsidRDefault="008F4CA9">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09E93C78" w14:textId="35CBD87F"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以地区农业科技服务骨干人才为主，组建专家技术服务团队，在试点村集成应用一批先进成果，示范推广一批农业可持续发展模式，打造一批科技引领示范村，培育壮大一批新型农业生产经营主体，建立健全科技支撑乡村振兴的制度政策，加快农业农村现代化对新品种、新技术和新模式等科技成果需求的有效供给。</w:t>
        <w:br/>
        <w:t>2. 主要内容及实施情况</w:t>
        <w:br/>
        <w:t>以提高喀什蔬菜、林果、粮棉及特色作物产业产品科技含量和产出效益为目标，充分利用中国农业科学院郑州果树研究所、山东省农业科学院果树研究所、山东农业科学院蔬菜研究所、新疆农科院等科技平台，针对喀什地区果树、粮棉、蔬菜产业中存在的问题，突出抓好新品种、新技术、新模式的引进、试验示范，开展技术服务、咨询、推广等工作，加强农民的农技知识培训，培养种植能手，以及产品品牌的培育和市场推介，加快喀什蔬菜、林果、粮棉等产业换代升级步伐，为乡村振兴提供强力科技支撑。本项目总额603.50万元，1.新疆农科院农业专家助力喀什农业高质量发展合作人才补助费50.00万元；2. 中国农业科学院郑州果树研究所专家助力喀什鲜果业提质增效人才合作人才补助费200.00万元；3.樱桃产业提质增效专家团队支持人才补助费100.00万元；4.山东农业科学院果树研究所专家助力喀什鲜果业提质增效人才合作人才补助费100.00万元；5. 喀什地区万名农业科技人才服务乡村振兴行动业人才补助费3.50万元。</w:t>
        <w:br/>
        <w:t>3.项目实施主体</w:t>
        <w:br/>
        <w:t>喀什地区农业农村局单位性质为行政单位，执行会计制度为政府会计制度。独立核算机构1个；一级预算单位1户，与上年度相比无变动。</w:t>
        <w:br/>
        <w:t>截止2022年12月31日，本单位人员编制经地区编委核定:地区农业农村局行政编制34人，依照公务员编制29人，全额拨款的事业编制41人，工勤编制2人，总编制人数106人。截止2022年12月31日位实有在职工数为74人，其中：行政在职28人，事业在职24人，依照公务员22人。退休64人，其他人员2人（2名临聘人员）。遗属人员人4名。</w:t>
        <w:br/>
        <w:t>4. 资金投入和使用情况</w:t>
        <w:br/>
        <w:t>喀地财发【2022】1号共安排下达资金603.50万元，为一般公共预算资金，最终确定项目资金总数为603.50万元。</w:t>
        <w:br/>
        <w:t>截至2022年12月31日，实际支出603.50万元，预算执行率100%。</w:t>
      </w:r>
    </w:p>
    <w:p w14:paraId="53C18CE7"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4347546E" w14:textId="136FABFB"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（二）项目绩效目标</w:t>
        <w:br/>
        <w:t>项目绩效目标包括项目绩效总目标和阶段性目标。</w:t>
        <w:br/>
        <w:t>1.项目绩效总目标</w:t>
        <w:br/>
        <w:t>以提高喀什蔬菜、林果、粮棉及特色作物产业产品科技含量和产出效益为目标，充分利用中国农业科学院郑州果树研究所、山东省农业科学院果树研究所、山东农业科学院蔬菜研究所、新疆农科院等科技平台，针对喀什地区果树、粮棉、蔬菜产业中存在的问题，突出抓好新品种、新技术、新模式的引进、试验示范，开展技术服务、咨询、推广等工作，加强农民的农技知识培训，培养种植能手，以及产品品牌的培育和市场推介，加快喀什蔬菜、林果、粮棉等产业换代升级步伐，为乡村振兴提供强力科技支撑。本项目总额603.50万元，计划于2022年开始实施并完成。</w:t>
        <w:br/>
        <w:t>2.阶段性目标</w:t>
        <w:br/>
        <w:t>前期准备：制定实施方案，申请项目资金。</w:t>
        <w:br/>
        <w:t>实施阶段：根据实施方案，结合喀什地区林果实际情况、制定鲜果产业发展规划1个，建立核心蔬菜试验示范园区1个，建立鲜果现代标准化生产示范园1个，示范推广高效栽培技术，推广绿色生产技术，减少化学品投入，保证食品安全，提高果实品质及产量，同时做好本地农业生产技术能力地提升，力争培养骨干人才88人。努力做好示范园带动辐射区内农户节本增收率，提升农业生产能力。</w:t>
        <w:br/>
        <w:t>验收阶段：紧紧围绕项目管理办法和项目实施方案，相关自治区人才发展专项资金项目建设，决策按程序、预算编制科学合理、资金由地区财政局保障下达至单位，根据所报资料，管理制度和管控措施健全有效。</w:t>
      </w:r>
    </w:p>
    <w:p w14:paraId="227EE9FD"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9E34335"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1E964037" w14:textId="3D5636C6"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052A507B"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435E31A3" w14:textId="616A93E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3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 绩效评价方法</w:t>
        <w:br/>
        <w:t>本次绩效评价方法的选用坚持简便有效的原则采用综合分析法。具体方法如下：</w:t>
        <w:br/>
        <w:t>（一）成本效益分析法。是指将投入与产出、效益进行关联性分析的方法。 </w:t>
        <w:br/>
        <w:t>（二）比较法。是指将实施情况与绩效目标、历史情况、不同部门和地区同类支出情况进行比较的方法。通过整理本项目相关资料和数据，评价数量指标的完成情况；通过分析项目的实施情况与绩效目标实现情况，评价项目实施的效果；通过分析项目资金使用情况及产生的效果，评价预算资金分配的合理。 </w:t>
        <w:br/>
        <w:t>（三）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绩效评价标准通常包括计划标准、行业标准、历史标准等，用于对绩效指标完成情况进行比较、分析、评价。本次评价主要采用了计划标准和和历史标准。</w:t>
        <w:br/>
        <w:t>计划标准：指以预先制定的目标、计划、预算、定额等作为评价标准。</w:t>
        <w:br/>
        <w:t>历史标准：指参照历史数据制定的评价标准，为体现绩效改进的原则，在实现的条件下应当确定相对较高的评价标准。</w:t>
        <w:br/>
        <w:t>本项目评价指标体系的评价标准按照计划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FA3017A"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7B7C4ED4" w14:textId="05E10D88"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本次评价设计了评价方案、评价指标体系，通过资料分析、调研、访谈满意度调查等方式形成评价结论，在与项目单位沟通后确定评价意见，并出具评价报告。评价过程如下：</w:t>
        <w:br/>
        <w:t>第一阶段：前期准备。</w:t>
        <w:br/>
        <w:t>我单位绩效评价人员根据《项目支出绩效评价管理办法》（财预〔2020〕10号）文件精神认真学习相关要求与规定，成立绩效评价工作组，作为绩效评价工作具体实施机构。</w:t>
        <w:br/>
        <w:t>农业农村局为实施好该项目，成立由项目负责人、财务人员等组成的专门评估小组：郭小品任评价组组长，绩效评价工作职责为负责全盘工作。张强任评价组副组长，绩效评价工作职责为为对项目实施情况进行实地调查。罗曾泽，曲婷任评价组成员，绩效评价工作职责为负责资料审核等工作。</w:t>
        <w:br/>
        <w:t>组织相关人员收集整理该项目相关资料，进行项目支撑调查，了解项目运行可能产生的经济效益、社会效益等。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14:paraId="6AE90CFB"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09A3DDAB" w14:textId="54943E80"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经评价组通过综合分析法、问卷调查法等方式，主要采用综合分析法对项目的决策、实施、产出、效益进行综合评价分析，最终评分98.5分。</w:t>
        <w:br/>
        <w:t>自治区人才发展专项资金项目项目得分情况表</w:t>
        <w:br/>
        <w:t>一级指标	权重	得分率	实际得分</w:t>
        <w:br/>
        <w:t>项目决策	20	95%	19</w:t>
        <w:br/>
        <w:t>项目过程	20	100%	20</w:t>
        <w:br/>
        <w:t>项目产出	40	98.75%	39.5</w:t>
        <w:br/>
        <w:t>项目效益	20	100%	20</w:t>
        <w:br/>
        <w:t>合计	100	98.5%	98.5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5分、项目过程5分、项目产出50分、项目效益40分。评价结果分为优、良、中、差四个等级：优（90分（含）—100分）；良（80分（含）—90分）；中（60分（含）—80分）；差（0分—60分）。</w:t>
        <w:br/>
        <w:t>自治区人才发展专项资金项目项目已完成充分利用中国农业科学院郑州果树研究所、山东省农业科学院果树研究所、山东农业科学院蔬菜研究所、新疆农科院等科技平台，针对喀什地区果树、粮棉、蔬菜产业中存在的问题，突出抓好新品种、新技术、新模式的引进、试验示范，开展技术服务、咨询、推广等工作，加强农民的农技知识培训，培养种植能手，以及产品品牌的培育和市场推介，加快喀什蔬菜、林果、粮棉等产业换代升级步伐，为乡村振兴提供强力科技支撑。2022年实施并完成资金总额603.50万元，制定鲜果产业发展规划1个，建立核心蔬菜试验示范园区1个，建立鲜果现代标准化生产示范园1个，示范推广高效栽培技术，推广绿色生产技术，减少化学品投入，保证食品安全，提高果实品质及产量，同时做好本地农业生产技术能力地提升，培养骨干人才88人。努力做好示范园带动辐射区内农户节本增收率，提升农业生产能力。通过项目实施推动了果菜产业产生社会效益和经济效益，培训人员满意度100% 。该项目最终评分98.5分，绩效评级为“优”。</w:t>
      </w:r>
    </w:p>
    <w:p w14:paraId="6E7B8C8F" w14:textId="77777777" w:rsidR="00E7612A" w:rsidRDefault="008F4CA9">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14CC46EF"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7BC9F166" w14:textId="534B2EF3"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分，实际得分19分，得分率为95%。</w:t>
        <w:br/>
        <w:t>项目决策指标得分情况</w:t>
        <w:br/>
        <w:t>三级指标	权重	得分率	实际得分</w:t>
        <w:br/>
        <w:t>立项依据充分性	5	100%	5</w:t>
        <w:br/>
        <w:t>立项程序规范性	3	100%	3</w:t>
        <w:br/>
        <w:t>绩效目标合理性	3	100%	3</w:t>
        <w:br/>
        <w:t>绩效指标明确性	2	50%	1</w:t>
        <w:br/>
        <w:t>预算编制科学性	5	100%	5</w:t>
        <w:br/>
        <w:t>资金分配合理性	2	100%	2</w:t>
        <w:br/>
        <w:t>合计	20	95%	19</w:t>
        <w:br/>
        <w:t>（1）立项依据充分性：项目立项符合《中华人民共和国农业法》、《中华人民共和国农业技术推广法》；符合行业发展规划和政策要求，与喀什地区农业农村局部门职责范围相符，属于部门履职所需，根据2022年度工作重点和工作计划制定经费预算，属于公共财政支持范围，符合中央、地方事权支出责任划分原则，与相关业务部门同类项目或部门内部相关项目不重复。根据评分标准，该指标不扣分，得5分。</w:t>
        <w:br/>
        <w:t>（2）立项程序规范性：项目按照规定的项目申请程序申请设立；与《喀什地区组织部关于自治区人才发展专项资金分配方案》相关要求符合；根据决策依据编制工作计划和经费预算，经过与单位领导进行沟通、筛选确定经费预算计划，研究确定最终预算方案。根据评分标准，该指标不扣分，得3分。</w:t>
        <w:br/>
        <w:t>（3）绩效目标合理性：制定了《自治区人才发展专项资金项目项目实施方案》，科学合理的进行了绩效目标设置；项目绩效目标与实际工作内容具有相关性，项目预期产出效益和效果符合正常的业绩水平，与预算确定的项目投资额或资金量相匹配，明确了总体思路及目标、并对任务进行了详细分解，对目标进行了细化，根据评分标准，该指标不扣分，得3分。</w:t>
        <w:br/>
        <w:t>（4）绩效指标明确性： 项目绩效目标细化分解为具体的绩效指标，通过清晰、可衡量的指标值予以体现，绩效目标设置明确合理，项目设计一级指标3个，二级指标8个，三级指标14个，项目目标任务数或计划数相对应，将项目绩效目标细化分解为具体的绩效指标。但是项目绩效目标细化分解不科学，具体的绩效指标不能全面反应项目的执行情况，根据评分标准，该指标扣1分，得1分。</w:t>
        <w:br/>
        <w:t>（5）预算编制科学性： 预算编制经过科学论证，预算内容与项目内容匹配，预算额度测算依据充分，严格按照标准编制，预算确定的项目投资额603.50万元与单位制定鲜果产业发展规划1个，建立核心蔬菜试验示范园区1个，建立鲜果现代标准化生产示范园1个，示范推广高效栽培技术，推广绿色生产技术，减少化学品投入，保证食品安全，提高果实品质及产量，同时做好本地农业生产技术能力地提升，培养骨干人才88人等工作任务相匹配，根据评分标准，该指标不扣分，得5分。</w:t>
        <w:br/>
        <w:t>（6）资金分配合理性：预算资金分配依据充分，资金分配额度合理，与2022年人才发展专项资金项目实施工作的实际情况相适，根据评分标准，该指标不扣分，得2分。</w:t>
      </w:r>
    </w:p>
    <w:p w14:paraId="0D3EC733"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3C6CADCB" w14:textId="055C9EF4"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2	100%	2</w:t>
        <w:br/>
        <w:t>预算执行率	5	100%	5</w:t>
        <w:br/>
        <w:t>资金使用合规性	5	100%	5</w:t>
        <w:br/>
        <w:t>管理制度健全性	4	100%	4</w:t>
        <w:br/>
        <w:t>制度执行	4	100%	4</w:t>
        <w:br/>
        <w:t>合计	20	100%	20</w:t>
        <w:br/>
        <w:t>（1）资金到位率：实际到位资金：2022年度落实到具体项目的资金603.5万元，预算资金：2022年度根据财政局“喀地财发[2022]1号文件预算安排到具体项目的资金603.50万元。资金到位率100%=（实际到位资金/预算资金）×100%=（15万元/15万元）×100%=100%。根据评分标准，该指标不扣分，得2分。   </w:t>
        <w:br/>
        <w:t>（2）预算执行率：实际支出资金为603.50万元，实际到位资金为603.50万元，预算执行率=（实际支出资金/实际到位资金）×100%=（15万元/15万元）×100%=100%。根据评分标准，该指标不扣分，得5分。 </w:t>
        <w:br/>
        <w:t>（3）资金使用合规性：符合《喀什地区农业农村局财务管理制度》和《喀什地区农业农村局“三重一大“实施办法》的规定，资金的拨付有完整的申请资料，会议纪要和发票等相关原始资料，符合项目预算批复规定的用途，无截留、挤占、挪用、虚列支出等情况。根据《喀什地区农业农村局项目资金管理办法》以及《喀什地区农业农村局财务管理制度》等相关的制度规定对经费使用进行规范管理，财务制度健全、执行严格，根据评分标准，该指标不扣分，得5分。</w:t>
        <w:br/>
        <w:t>（4）管理制度健全性：制定合法、合规、完整的《喀什地区农业农村局财务管理制度》和《喀什地区农业农村局项目管理办法》，严格按本项目的实施方案，对财政项目资金进行严格管理，基本做到了专款专用，根据评分标准，该指标不扣分，得4分。</w:t>
        <w:br/>
        <w:t>（5）制度执行有效性：遵守相关《行政事业性单位会计制度》，《喀什地区农业农村局财务管理办法》和《喀什地区农业农村局财务收支报销制度》，项目支出手续完备，项目资料齐全并及时归档。由项目实施部门提出项目经费支付申请，经过与单位领导沟通后，报党委会议研究执行，财务对资金的使用合法合规性进行监督，根据评分标准，该指标不扣分，得4分。</w:t>
      </w:r>
    </w:p>
    <w:p w14:paraId="30541C6A"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25D2D5EB" w14:textId="445053D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项目产出类指标包括产出数量、产出质量、产出时效、产出成本四方面的内容，由10个三级指标构成，权重分为40分，实际得分39.5分，得分率为98.75%。</w:t>
        <w:br/>
        <w:t>项目产出指标得分情况</w:t>
        <w:br/>
        <w:t>三级指标	权重	得分率	实际得分</w:t>
        <w:br/>
        <w:t>产出数量	10	95%	9.5</w:t>
        <w:br/>
        <w:t>产出质量	10	100%	10</w:t>
        <w:br/>
        <w:t>产出时效	5	100%	5</w:t>
        <w:br/>
        <w:t>成本情况	15	100%	15</w:t>
        <w:br/>
        <w:t>合计	40	98.75%	39.5</w:t>
        <w:br/>
        <w:t>（1）对于“产出数量”</w:t>
        <w:br/>
        <w:t>建立核心蔬菜试验示范园区（个），预期目标值为等于1个，实际完成值为1个，指标完成率100%，与预期目标一致，根据评分标准，该指标不扣分，得3分。</w:t>
        <w:br/>
        <w:t>培养骨干人才（人），预期目标值为大于等于80人，实际完成值为80人，指标完成率100%，与预期目标一致，根据评分标准，该指标不扣分，得2分。</w:t>
        <w:br/>
        <w:t>制定鲜果产业发展规划（个），预期目标值为等于1个，实际完成值为1个，指标完成率100%，与预期目标一致，但由于制定鲜果产业发展规划质量不高，根据评分标准，该指标扣0.5分，得1.5分。</w:t>
        <w:br/>
        <w:t>建立鲜果现代标准化生产示范园（个），预期目标值为等于1个，实际完成值为1个，指标完成率100%，与预期目标一致，根据评分标准，该指标不扣分，得3分。</w:t>
        <w:br/>
        <w:t>合计得9.5分。</w:t>
        <w:br/>
        <w:t>（2）对于“产出质量”：</w:t>
        <w:br/>
        <w:t>培训本地技术人员合格率（%），预期目标值为等于100%，实际完成值为100%，指标完成率100%，与预期目标一致，根据评分标准，该指标不扣分，得5分。</w:t>
        <w:br/>
        <w:t>建设核心蔬菜试验示范园区和鲜果现代标准化生产示范园合格率（%），预期目标值为等于100%，实际完成值为100%，指标完成率100%，与预期目标一致，根据评分标准，该指标不扣分，得5分。</w:t>
        <w:br/>
        <w:t>合计得10分。</w:t>
        <w:br/>
        <w:t>（3）对于“产出时效”：</w:t>
        <w:br/>
        <w:t>年度执行任务完成率（%），预期目标值为等于100%，实际完成值为100%，指标完成率100%，与预期目标一致，根据评分标准，该指标不扣分，得5分。</w:t>
        <w:br/>
        <w:t>合计得5分。</w:t>
        <w:br/>
        <w:t>（4）对于“产出成本”：</w:t>
        <w:br/>
        <w:t>喀什地区昆仑仙果产业研究院技术服务费（万元），预期目标值为小于等于350万元，实际完成值为350万元，指标完成率100%，与预期目标一致，根据评分标准，该指标不扣分，得5分。</w:t>
        <w:br/>
        <w:t>喀什地区昆仑蔬菜产业研究院技术服务费（万元），预期目标值为小于等于250万元，实际完成值为250万元，指标完成率100%，与预期目标一致，根据评分标准，该指标不扣分，得5分。</w:t>
        <w:br/>
        <w:t>全生物降解膜推广经费（万元），预期目标值为小于等于3.50万元，实际完成值为3.50万元，指标完成率100%，与预期目标一致，根据评分标准，得5分。</w:t>
        <w:br/>
        <w:t>合计得15分。</w:t>
      </w:r>
    </w:p>
    <w:p w14:paraId="24654FD2"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5DB3EEA6" w14:textId="2B48DC29"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项目效益类指标包括项目效益3个方面的内容，由4个三级指标构成，权重分为20分，实际得分20分，得分率为100%。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（1）对于“经济效益指标”：</w:t>
        <w:br/>
        <w:t>辐射区带动农户节本增收率（%），预期目标值为大于等于1%，实际完成值为1%，指标完成率100%，与预期目标一致，根据评分标准，该指标不扣分，得4分。</w:t>
        <w:br/>
        <w:t>（2）对于“社会效益指标”：</w:t>
        <w:br/>
        <w:t>示范推广高效栽培技术，提高果实品质及产量，预期目标值为显著提高，实际完成值为显著提高，指标完成率100%，与预期目标一致，根据评分标准，该指标不扣分，得3分。</w:t>
        <w:br/>
        <w:t>（3）对于“生态效益指标”：</w:t>
        <w:br/>
        <w:t>通过示范推广绿色生产技术，减少化学品投入，保证食品安全，预期目标值为显著提高，实际完成值为显著提高，指标完成率100%，与预期目标一致，根据评分标准，该指标不扣分，得3分。</w:t>
        <w:br/>
        <w:t>（4）对于“可持续影响指标”：</w:t>
        <w:br/>
        <w:t>无</w:t>
        <w:br/>
        <w:t>实施效益指标合计得10分。</w:t>
        <w:br/>
        <w:t>2.满意度指标:</w:t>
        <w:br/>
        <w:t>	培训人员满意度（%），预期目标值为大于等于95%，实际完成值为95%，指标完成率105%，与预期目标存在合理偏差，根据评分标准，该指标不扣分，得10分。</w:t>
        <w:br/>
        <w:t>满意度指标合计得10分</w:t>
      </w:r>
    </w:p>
    <w:p w14:paraId="3778206A" w14:textId="4DCC0B44"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168062F2" w14:textId="29F2A2A3" w:rsidR="00E7612A" w:rsidRDefault="008F4CA9">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自治区人才发展专项资金项目项目预算603.5万元，到位603.5万元，实际支出603.5万元，预算执行率为100%，项目绩效指标总体完成率为100%，此项目无偏差。</w:t>
      </w:r>
    </w:p>
    <w:p w14:paraId="5660889F"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0662A21" w14:textId="6DC93891"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自治区人才发展专项资金项目实施方案》，《喀什地区农业农村局项目管理办法》和《喀什地区农业农村局财务管理制度》进行执行，项目执行情况较好。二是单位领导重视，统筹项目执行工作，分管领导具体负责管理，由地区瓜果蔬菜产业发展中心具体执行，按项目进度做好资金的申请和支付，确保项目如期完成。三是做好项目执行的督促工作，建立项目实施进度台账，及时向农业农村局领导汇报项目建设进度，确保项目按时完成。</w:t>
        <w:br/>
        <w:t>（二）存在问题及原因分析</w:t>
        <w:br/>
        <w:t>一是对项目在年初的各项指标设计还不科学，指标值还应进一步优化、完善，主要应在指标细化、量化上改进，确保指标能较好反应项目的执行。二是自评价工作还存局限性，单位组织评审工作人员业务能力不强，会影响评价质量，容易造成问题的疏漏，在客观性和公正性上说服力不强。三是评价工作收集资料不全，造成评价不能全覆盖项目的执行，后续效益评价具体措施和方法较少。</w:t>
      </w:r>
    </w:p>
    <w:p w14:paraId="7A6B232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B318AD4" w14:textId="27781697"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七、有关建议</w:t>
        <w:br/>
        <w:t>1.项目评价工作收集资料不齐全。建议执行项目时，应同步做好档案的归纳与整理，应项目执行单位安排专人负责及时收集、汇总，健全档案资料，确保项目执行的各类资料的完整性、真实性，确保项目管理得到进一步加强。</w:t>
        <w:br/>
        <w:t>2.做好项目执行的监督工作，充分利用绩效管理的成果，发现实施中存在漏洞，以后加强管理，及时掌握与之相关的各类信息，减少成本，使资金效益最大化，确保项目高质量的执行完成。</w:t>
        <w:br/>
        <w:t>3．评价工作应从项目实施源头做起，单位在编制项目前期可行性研究报告时，更要细化实施内容，科学的结合项目的客观实际编制项目方案严格执行资金管理办法和财政资金管理制度，严格按照项目实施方案。</w:t>
      </w:r>
    </w:p>
    <w:p w14:paraId="36A7CF3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5EC64A79" w14:textId="493B4705"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八、其他需要说明的问题</w:t>
        <w:br/>
        <w:t>我单位对上述项目支出绩效评价报告内反映内容的真实性、完整性负责，接受上级部门及社会公众监督。</w:t>
      </w:r>
    </w:p>
    <w:p w14:paraId="7823F2B3" w14:textId="77777777" w:rsidR="00E7612A" w:rsidRDefault="00E7612A">
      <w:pPr>
        <w:spacing w:line="570" w:lineRule="exact"/>
        <w:rPr>
          <w:rStyle w:val="ad"/>
          <w:rFonts w:ascii="方正黑体_GBK" w:eastAsia="方正黑体_GBK" w:hAnsi="方正黑体_GBK" w:cs="方正黑体_GBK"/>
          <w:b w:val="0"/>
          <w:spacing w:val="-4"/>
          <w:sz w:val="32"/>
          <w:szCs w:val="32"/>
        </w:rPr>
      </w:pPr>
    </w:p>
    <w:p w14:paraId="1622A8B4" w14:textId="77777777" w:rsidR="00E7612A" w:rsidRDefault="00E7612A">
      <w:pPr>
        <w:spacing w:line="570" w:lineRule="exact"/>
        <w:rPr>
          <w:rStyle w:val="ad"/>
          <w:rFonts w:ascii="楷体" w:eastAsia="楷体" w:hAnsi="楷体"/>
          <w:spacing w:val="-4"/>
          <w:sz w:val="32"/>
          <w:szCs w:val="32"/>
        </w:rPr>
      </w:pPr>
    </w:p>
    <w:p w14:paraId="4AAEB59E" w14:textId="77777777" w:rsidR="00E7612A" w:rsidRDefault="00E7612A">
      <w:pPr>
        <w:spacing w:line="570" w:lineRule="exact"/>
        <w:rPr>
          <w:rStyle w:val="ad"/>
          <w:rFonts w:ascii="仿宋" w:eastAsia="仿宋" w:hAnsi="仿宋"/>
          <w:b w:val="0"/>
          <w:spacing w:val="-4"/>
          <w:sz w:val="32"/>
          <w:szCs w:val="32"/>
        </w:rPr>
      </w:pPr>
    </w:p>
    <w:p w14:paraId="2B7A3907" w14:textId="77777777" w:rsidR="00E7612A" w:rsidRDefault="00E7612A">
      <w:pPr>
        <w:spacing w:line="570" w:lineRule="exact"/>
        <w:rPr>
          <w:rStyle w:val="ad"/>
          <w:rFonts w:ascii="仿宋" w:eastAsia="仿宋" w:hAnsi="仿宋"/>
          <w:b w:val="0"/>
          <w:spacing w:val="-4"/>
          <w:sz w:val="32"/>
          <w:szCs w:val="32"/>
        </w:rPr>
      </w:pPr>
    </w:p>
    <w:p w14:paraId="0AEA9817" w14:textId="77777777" w:rsidR="00E7612A" w:rsidRDefault="00E7612A">
      <w:pPr>
        <w:spacing w:line="570" w:lineRule="exact"/>
        <w:rPr>
          <w:rStyle w:val="ad"/>
          <w:rFonts w:ascii="仿宋" w:eastAsia="仿宋" w:hAnsi="仿宋"/>
          <w:b w:val="0"/>
          <w:spacing w:val="-4"/>
          <w:sz w:val="32"/>
          <w:szCs w:val="32"/>
        </w:rPr>
      </w:pPr>
    </w:p>
    <w:p w14:paraId="64D955F6" w14:textId="77777777" w:rsidR="00E7612A" w:rsidRDefault="00E7612A">
      <w:pPr>
        <w:spacing w:line="570" w:lineRule="exact"/>
        <w:rPr>
          <w:rStyle w:val="ad"/>
          <w:rFonts w:ascii="仿宋" w:eastAsia="仿宋" w:hAnsi="仿宋"/>
          <w:b w:val="0"/>
          <w:spacing w:val="-4"/>
          <w:sz w:val="32"/>
          <w:szCs w:val="32"/>
        </w:rPr>
      </w:pPr>
    </w:p>
    <w:p w14:paraId="00C3B3A2" w14:textId="77777777" w:rsidR="00E7612A" w:rsidRDefault="00E7612A">
      <w:pPr>
        <w:spacing w:line="570" w:lineRule="exact"/>
        <w:rPr>
          <w:rStyle w:val="ad"/>
          <w:rFonts w:ascii="仿宋" w:eastAsia="仿宋" w:hAnsi="仿宋"/>
          <w:b w:val="0"/>
          <w:spacing w:val="-4"/>
          <w:sz w:val="32"/>
          <w:szCs w:val="32"/>
        </w:rPr>
      </w:pPr>
    </w:p>
    <w:p w14:paraId="6ECF0B97" w14:textId="77777777" w:rsidR="00E7612A" w:rsidRDefault="00E7612A">
      <w:pPr>
        <w:spacing w:line="570" w:lineRule="exact"/>
        <w:rPr>
          <w:rStyle w:val="ad"/>
          <w:rFonts w:ascii="仿宋" w:eastAsia="仿宋" w:hAnsi="仿宋"/>
          <w:b w:val="0"/>
          <w:spacing w:val="-4"/>
          <w:sz w:val="32"/>
          <w:szCs w:val="32"/>
        </w:rPr>
      </w:pPr>
    </w:p>
    <w:p w14:paraId="4FB25276" w14:textId="77777777" w:rsidR="00E7612A" w:rsidRDefault="00E7612A">
      <w:pPr>
        <w:spacing w:line="570" w:lineRule="exact"/>
        <w:rPr>
          <w:rStyle w:val="ad"/>
          <w:rFonts w:ascii="仿宋" w:eastAsia="仿宋" w:hAnsi="仿宋"/>
          <w:b w:val="0"/>
          <w:spacing w:val="-4"/>
          <w:sz w:val="32"/>
          <w:szCs w:val="32"/>
        </w:rPr>
      </w:pPr>
    </w:p>
    <w:p w14:paraId="071259FA" w14:textId="77777777" w:rsidR="00E7612A" w:rsidRDefault="00E7612A">
      <w:pPr>
        <w:spacing w:line="570" w:lineRule="exact"/>
        <w:rPr>
          <w:rStyle w:val="ad"/>
          <w:rFonts w:ascii="仿宋" w:eastAsia="仿宋" w:hAnsi="仿宋"/>
          <w:b w:val="0"/>
          <w:spacing w:val="-4"/>
          <w:sz w:val="32"/>
          <w:szCs w:val="32"/>
        </w:rPr>
      </w:pPr>
    </w:p>
    <w:p w14:paraId="66128EE1" w14:textId="77777777" w:rsidR="00E7612A" w:rsidRDefault="00E7612A">
      <w:pPr>
        <w:spacing w:line="570" w:lineRule="exact"/>
        <w:rPr>
          <w:rStyle w:val="ad"/>
          <w:rFonts w:ascii="仿宋" w:eastAsia="仿宋" w:hAnsi="仿宋"/>
          <w:b w:val="0"/>
          <w:spacing w:val="-4"/>
          <w:sz w:val="32"/>
          <w:szCs w:val="32"/>
        </w:rPr>
      </w:pPr>
    </w:p>
    <w:sectPr w:rsidR="00E7612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6440" w14:textId="77777777" w:rsidR="00FE2348" w:rsidRDefault="00FE2348">
      <w:r>
        <w:separator/>
      </w:r>
    </w:p>
  </w:endnote>
  <w:endnote w:type="continuationSeparator" w:id="0">
    <w:p w14:paraId="760EA34F" w14:textId="77777777" w:rsidR="00FE2348" w:rsidRDefault="00FE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7EF6D006" w14:textId="77777777" w:rsidR="00E7612A" w:rsidRDefault="008F4CA9">
        <w:pPr>
          <w:pStyle w:val="a5"/>
          <w:jc w:val="center"/>
        </w:pPr>
        <w:r>
          <w:fldChar w:fldCharType="begin"/>
        </w:r>
        <w:r>
          <w:instrText>PAGE   \* MERGEFORMAT</w:instrText>
        </w:r>
        <w:r>
          <w:fldChar w:fldCharType="separate"/>
        </w:r>
        <w:r>
          <w:rPr>
            <w:lang w:val="zh-CN"/>
          </w:rPr>
          <w:t>1</w:t>
        </w:r>
        <w:r>
          <w:fldChar w:fldCharType="end"/>
        </w:r>
      </w:p>
    </w:sdtContent>
  </w:sdt>
  <w:p w14:paraId="5D977A94" w14:textId="77777777" w:rsidR="00E7612A" w:rsidRDefault="00E761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D30D" w14:textId="77777777" w:rsidR="00FE2348" w:rsidRDefault="00FE2348">
      <w:r>
        <w:separator/>
      </w:r>
    </w:p>
  </w:footnote>
  <w:footnote w:type="continuationSeparator" w:id="0">
    <w:p w14:paraId="49E7A73D" w14:textId="77777777" w:rsidR="00FE2348" w:rsidRDefault="00FE2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43880"/>
    <w:rsid w:val="0005127A"/>
    <w:rsid w:val="0005416C"/>
    <w:rsid w:val="00056465"/>
    <w:rsid w:val="000B3872"/>
    <w:rsid w:val="000E0F73"/>
    <w:rsid w:val="000E4EDC"/>
    <w:rsid w:val="001028C5"/>
    <w:rsid w:val="00102DFF"/>
    <w:rsid w:val="00121328"/>
    <w:rsid w:val="00121AE4"/>
    <w:rsid w:val="0014601B"/>
    <w:rsid w:val="00146AAD"/>
    <w:rsid w:val="00150F05"/>
    <w:rsid w:val="00161856"/>
    <w:rsid w:val="00187874"/>
    <w:rsid w:val="001B3A40"/>
    <w:rsid w:val="001F78EB"/>
    <w:rsid w:val="0022555A"/>
    <w:rsid w:val="00273CCD"/>
    <w:rsid w:val="00291BC0"/>
    <w:rsid w:val="002A6E1A"/>
    <w:rsid w:val="002E53FC"/>
    <w:rsid w:val="00311DBE"/>
    <w:rsid w:val="00345DD7"/>
    <w:rsid w:val="00351EFF"/>
    <w:rsid w:val="003B0577"/>
    <w:rsid w:val="003B4B1E"/>
    <w:rsid w:val="003D054F"/>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80E14"/>
    <w:rsid w:val="005A4F2E"/>
    <w:rsid w:val="005A5018"/>
    <w:rsid w:val="005C51DF"/>
    <w:rsid w:val="005D10D6"/>
    <w:rsid w:val="005E259B"/>
    <w:rsid w:val="005E7C5E"/>
    <w:rsid w:val="006A1CC4"/>
    <w:rsid w:val="0075584F"/>
    <w:rsid w:val="0076216D"/>
    <w:rsid w:val="007A3C1F"/>
    <w:rsid w:val="007C0EA3"/>
    <w:rsid w:val="00810970"/>
    <w:rsid w:val="00855E3A"/>
    <w:rsid w:val="008B7343"/>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77738"/>
    <w:rsid w:val="00BA187C"/>
    <w:rsid w:val="00BA46E6"/>
    <w:rsid w:val="00BB5015"/>
    <w:rsid w:val="00C34DD1"/>
    <w:rsid w:val="00C56C72"/>
    <w:rsid w:val="00C62CB9"/>
    <w:rsid w:val="00CA5AD1"/>
    <w:rsid w:val="00CA6457"/>
    <w:rsid w:val="00CA6DC2"/>
    <w:rsid w:val="00CD37A4"/>
    <w:rsid w:val="00CE2FD9"/>
    <w:rsid w:val="00D00E38"/>
    <w:rsid w:val="00D032EA"/>
    <w:rsid w:val="00D17F2E"/>
    <w:rsid w:val="00D30354"/>
    <w:rsid w:val="00D40DCC"/>
    <w:rsid w:val="00D52B7C"/>
    <w:rsid w:val="00D73190"/>
    <w:rsid w:val="00D80C1E"/>
    <w:rsid w:val="00D967F5"/>
    <w:rsid w:val="00DA4559"/>
    <w:rsid w:val="00DB1661"/>
    <w:rsid w:val="00DD3412"/>
    <w:rsid w:val="00DF42A0"/>
    <w:rsid w:val="00E30E91"/>
    <w:rsid w:val="00E655F7"/>
    <w:rsid w:val="00E7612A"/>
    <w:rsid w:val="00E769FE"/>
    <w:rsid w:val="00E774CE"/>
    <w:rsid w:val="00E90349"/>
    <w:rsid w:val="00E96D03"/>
    <w:rsid w:val="00EA2CBE"/>
    <w:rsid w:val="00EB10A0"/>
    <w:rsid w:val="00F32FEE"/>
    <w:rsid w:val="00F332D7"/>
    <w:rsid w:val="00FB10BB"/>
    <w:rsid w:val="00FE2348"/>
    <w:rsid w:val="00FF3B44"/>
    <w:rsid w:val="2AE11386"/>
    <w:rsid w:val="2D5A6638"/>
    <w:rsid w:val="4609551D"/>
    <w:rsid w:val="4D2606A1"/>
    <w:rsid w:val="4DD42C22"/>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8CF93"/>
  <w15:docId w15:val="{EA503E47-86E4-41A1-9420-C3641E85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134</Words>
  <Characters>767</Characters>
  <Application>Microsoft Office Word</Application>
  <DocSecurity>0</DocSecurity>
  <Lines>6</Lines>
  <Paragraphs>1</Paragraphs>
  <ScaleCrop>false</ScaleCrop>
  <Company>Microsoft</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2023-01-05T10:03:00Z</dcterms:created>
  <dc:creator>赵 恺（预算处）</dc:creator>
  <cp:lastModifiedBy>Admin</cp:lastModifiedBy>
  <cp:lastPrinted>2018-12-31T10:56:00Z</cp:lastPrinted>
  <dcterms:modified xsi:type="dcterms:W3CDTF">2023-01-05T11:16:00Z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