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color="auto" w:fill="FFFFFF"/>
        </w:rPr>
        <w:t>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color="auto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color="auto" w:fill="FFFFFF"/>
        </w:rPr>
        <w:t>1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u w:val="none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自动售药机设置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color="auto" w:fill="FFFFFF"/>
          <w:lang w:eastAsia="zh-CN"/>
        </w:rPr>
        <w:t>申请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color="auto" w:fill="FFFFFF"/>
        </w:rPr>
        <w:t>表</w:t>
      </w:r>
    </w:p>
    <w:bookmarkEnd w:id="0"/>
    <w:tbl>
      <w:tblPr>
        <w:tblStyle w:val="4"/>
        <w:tblW w:w="833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2251"/>
        <w:gridCol w:w="120"/>
        <w:gridCol w:w="1691"/>
        <w:gridCol w:w="22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统一信信用代码</w:t>
            </w:r>
          </w:p>
        </w:tc>
        <w:tc>
          <w:tcPr>
            <w:tcW w:w="22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注册地址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法定代表人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2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药品经营许可证号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有效期截止日期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设置企业类型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□连锁门店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□单体药店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设置地址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□地址内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□地址外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设置地点属性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□ 药店注册地址 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 □ 医院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□ 便利店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□ 机场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□ 车站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□ 学校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□ 宾馆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□ 商业区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□小区 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□ 其他（需注明）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数量：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 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设置地址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1.新疆喀什地区 XX 县（市）XX 街道 XX 路 XX 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2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□ 增加 □减少 □撤除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2.新疆喀什地区XX 县（市）XX 街道 XX 路 XX 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□ 增加 □减少 □撤除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.新疆喀什地区XX 县（市）XX 街道 XX 路 XX 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□ 增加 □减少 □撤除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经营范围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乙类非处方药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总部管理人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门店管理人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售药机管理负责人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24小时咨询电话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固定电话：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  移动电话：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守法经营承诺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  <w:lang w:eastAsia="zh-CN"/>
              </w:rPr>
              <w:t>本企业申明：1.设置自动售药机情况真实、合法，并对所提交材料点真实性负责。2.将严格按照《中华人民共和国药品管理法》《中华人民共和国药品管理法实施条例》《药品经营和使用质量监督管理办法》等法律、法规和规章，依据《喀什地区自动售药机管理规定（试行）》要求，做好自动售药机管理。3.主动接受监管部门及社会监督，如有违法违规行为，自愿承担相应责任，依法接受处置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                   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企业法定代表人（签字）：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            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  年    月    日（公章）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0A3D"/>
    <w:rsid w:val="402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2024-05-22T11:58:00Z</dcterms:created>
  <dc:creator>Administrator</dc:creator>
  <cp:lastModifiedBy>Administrator</cp:lastModifiedBy>
  <dcterms:modified xsi:type="dcterms:W3CDTF">2024-05-22T11:58:59Z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